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320"/>
        <w:jc w:val="center"/>
      </w:pPr>
      <w:r>
        <w:rPr>
          <w:rFonts w:ascii="Calibri" w:hAnsi="Calibri"/>
          <w:b/>
          <w:color w:val="0B7A75"/>
          <w:sz w:val="22"/>
        </w:rPr>
        <w:t>TECHNISCHE CURSUS</w:t>
      </w:r>
    </w:p>
    <w:p>
      <w:pPr>
        <w:pStyle w:val="Title"/>
        <w:jc w:val="center"/>
      </w:pPr>
      <w:r>
        <w:t>MIRA Backend</w:t>
      </w:r>
    </w:p>
    <w:p>
      <w:pPr>
        <w:pStyle w:val="Subtitle"/>
        <w:spacing w:after="560"/>
        <w:jc w:val="center"/>
      </w:pPr>
      <w:r>
        <w:t>Van HTTP-request tot beveiligde database en private bestandsopslag</w:t>
      </w:r>
    </w:p>
    <w:p>
      <w:pPr>
        <w:pBdr>
          <w:bottom w:val="single" w:sz="12" w:space="8" w:color="0B7A75"/>
        </w:pBdr>
        <w:spacing w:after="480"/>
      </w:pPr>
    </w:p>
    <w:p>
      <w:pPr>
        <w:spacing w:after="1040"/>
        <w:ind w:left="936" w:right="936"/>
        <w:jc w:val="center"/>
      </w:pPr>
      <w:r>
        <w:rPr>
          <w:rFonts w:ascii="Calibri" w:hAnsi="Calibri"/>
          <w:color w:val="202428"/>
          <w:sz w:val="24"/>
        </w:rPr>
        <w:t>Een codegerichte handleiding bij de volledige ASP.NET Core-backend: Identity, cookies, antiforgery, controllers, DTO's, AutoMapper, repositories, EF Core TPT, SQL-constraints, uploads, gebruikersisolatie en integratietests.</w:t>
      </w:r>
    </w:p>
    <w:p>
      <w:pPr>
        <w:spacing w:after="160"/>
        <w:jc w:val="center"/>
      </w:pPr>
      <w:r>
        <w:rPr>
          <w:rFonts w:ascii="Calibri" w:hAnsi="Calibri"/>
          <w:b/>
          <w:color w:val="5F6B76"/>
          <w:sz w:val="21"/>
        </w:rPr>
        <w:t>Codebasis: 4 augustus 2026</w:t>
      </w:r>
    </w:p>
    <w:p>
      <w:pPr>
        <w:jc w:val="center"/>
      </w:pPr>
      <w:r>
        <w:rPr>
          <w:rFonts w:ascii="Calibri" w:hAnsi="Calibri"/>
          <w:color w:val="5F6B76"/>
          <w:sz w:val="20"/>
        </w:rPr>
        <w:t>ASP.NET Core 10  |  EF Core 10  |  SQL Server  |  Angular-client</w:t>
      </w:r>
    </w:p>
    <w:p>
      <w:r>
        <w:br w:type="page"/>
      </w:r>
    </w:p>
    <w:p>
      <w:bookmarkStart w:id="1" w:name="inhoud"/>
      <w:pPr>
        <w:pStyle w:val="Heading1"/>
        <w:pageBreakBefore w:val="0"/>
      </w:pPr>
      <w:r>
        <w:t>Inhoud</w:t>
      </w:r>
      <w:bookmarkEnd w:id="1"/>
    </w:p>
    <w:p>
      <w:pPr>
        <w:spacing w:after="280"/>
      </w:pPr>
      <w:r>
        <w:t>Klik op een hoofdstuk om er rechtstreeks naartoe te springen. De Word-navigatiekolom werkt daarnaast via de echte Heading-stijlen.</w:t>
      </w:r>
    </w:p>
    <w:p>
      <w:pPr>
        <w:spacing w:after="100"/>
        <w:ind w:left="259"/>
      </w:pPr>
      <w:r>
        <w:rPr>
          <w:rFonts w:ascii="Calibri" w:hAnsi="Calibri"/>
          <w:b/>
          <w:color w:val="0B7A75"/>
          <w:sz w:val="21"/>
        </w:rPr>
        <w:t xml:space="preserve">01   </w:t>
      </w:r>
      <w:hyperlink w:anchor="leeswijzer">
        <w:r>
          <w:rPr>
            <w:color w:val="2E74B5"/>
            <w:u w:val="single"/>
          </w:rPr>
          <w:t>Leeswijzer en eindresultaat</w:t>
        </w:r>
      </w:hyperlink>
    </w:p>
    <w:p>
      <w:pPr>
        <w:spacing w:after="100"/>
        <w:ind w:left="259"/>
      </w:pPr>
      <w:r>
        <w:rPr>
          <w:rFonts w:ascii="Calibri" w:hAnsi="Calibri"/>
          <w:b/>
          <w:color w:val="0B7A75"/>
          <w:sz w:val="21"/>
        </w:rPr>
        <w:t xml:space="preserve">02   </w:t>
      </w:r>
      <w:hyperlink w:anchor="architectuur">
        <w:r>
          <w:rPr>
            <w:color w:val="2E74B5"/>
            <w:u w:val="single"/>
          </w:rPr>
          <w:t>Architectuur van de solution</w:t>
        </w:r>
      </w:hyperlink>
    </w:p>
    <w:p>
      <w:pPr>
        <w:spacing w:after="100"/>
        <w:ind w:left="259"/>
      </w:pPr>
      <w:r>
        <w:rPr>
          <w:rFonts w:ascii="Calibri" w:hAnsi="Calibri"/>
          <w:b/>
          <w:color w:val="0B7A75"/>
          <w:sz w:val="21"/>
        </w:rPr>
        <w:t xml:space="preserve">03   </w:t>
      </w:r>
      <w:hyperlink w:anchor="request">
        <w:r>
          <w:rPr>
            <w:color w:val="2E74B5"/>
            <w:u w:val="single"/>
          </w:rPr>
          <w:t>Van HTTP-request naar controller</w:t>
        </w:r>
      </w:hyperlink>
    </w:p>
    <w:p>
      <w:pPr>
        <w:spacing w:after="100"/>
        <w:ind w:left="259"/>
      </w:pPr>
      <w:r>
        <w:rPr>
          <w:rFonts w:ascii="Calibri" w:hAnsi="Calibri"/>
          <w:b/>
          <w:color w:val="0B7A75"/>
          <w:sz w:val="21"/>
        </w:rPr>
        <w:t xml:space="preserve">04   </w:t>
      </w:r>
      <w:hyperlink w:anchor="program">
        <w:r>
          <w:rPr>
            <w:color w:val="2E74B5"/>
            <w:u w:val="single"/>
          </w:rPr>
          <w:t>Program.cs volledig ontleed</w:t>
        </w:r>
      </w:hyperlink>
    </w:p>
    <w:p>
      <w:pPr>
        <w:spacing w:after="100"/>
        <w:ind w:left="259"/>
      </w:pPr>
      <w:r>
        <w:rPr>
          <w:rFonts w:ascii="Calibri" w:hAnsi="Calibri"/>
          <w:b/>
          <w:color w:val="0B7A75"/>
          <w:sz w:val="21"/>
        </w:rPr>
        <w:t xml:space="preserve">05   </w:t>
      </w:r>
      <w:hyperlink w:anchor="identity">
        <w:r>
          <w:rPr>
            <w:color w:val="2E74B5"/>
            <w:u w:val="single"/>
          </w:rPr>
          <w:t>ASP.NET Core Identity van binnenuit</w:t>
        </w:r>
      </w:hyperlink>
    </w:p>
    <w:p>
      <w:pPr>
        <w:spacing w:after="100"/>
        <w:ind w:left="259"/>
      </w:pPr>
      <w:r>
        <w:rPr>
          <w:rFonts w:ascii="Calibri" w:hAnsi="Calibri"/>
          <w:b/>
          <w:color w:val="0B7A75"/>
          <w:sz w:val="21"/>
        </w:rPr>
        <w:t xml:space="preserve">06   </w:t>
      </w:r>
      <w:hyperlink w:anchor="auth">
        <w:r>
          <w:rPr>
            <w:color w:val="2E74B5"/>
            <w:u w:val="single"/>
          </w:rPr>
          <w:t>Registratie, login, me en logout</w:t>
        </w:r>
      </w:hyperlink>
    </w:p>
    <w:p>
      <w:pPr>
        <w:spacing w:after="100"/>
        <w:ind w:left="259"/>
      </w:pPr>
      <w:r>
        <w:rPr>
          <w:rFonts w:ascii="Calibri" w:hAnsi="Calibri"/>
          <w:b/>
          <w:color w:val="0B7A75"/>
          <w:sz w:val="21"/>
        </w:rPr>
        <w:t xml:space="preserve">07   </w:t>
      </w:r>
      <w:hyperlink w:anchor="antiforgery">
        <w:r>
          <w:rPr>
            <w:color w:val="2E74B5"/>
            <w:u w:val="single"/>
          </w:rPr>
          <w:t>Antiforgery en CSRF stap voor stap</w:t>
        </w:r>
      </w:hyperlink>
    </w:p>
    <w:p>
      <w:pPr>
        <w:spacing w:after="100"/>
        <w:ind w:left="259"/>
      </w:pPr>
      <w:r>
        <w:rPr>
          <w:rFonts w:ascii="Calibri" w:hAnsi="Calibri"/>
          <w:b/>
          <w:color w:val="0B7A75"/>
          <w:sz w:val="21"/>
        </w:rPr>
        <w:t xml:space="preserve">08   </w:t>
      </w:r>
      <w:hyperlink w:anchor="domain">
        <w:r>
          <w:rPr>
            <w:color w:val="2E74B5"/>
            <w:u w:val="single"/>
          </w:rPr>
          <w:t>Domain entities en gedeelde basisklasse</w:t>
        </w:r>
      </w:hyperlink>
    </w:p>
    <w:p>
      <w:pPr>
        <w:spacing w:after="100"/>
        <w:ind w:left="259"/>
      </w:pPr>
      <w:r>
        <w:rPr>
          <w:rFonts w:ascii="Calibri" w:hAnsi="Calibri"/>
          <w:b/>
          <w:color w:val="0B7A75"/>
          <w:sz w:val="21"/>
        </w:rPr>
        <w:t xml:space="preserve">09   </w:t>
      </w:r>
      <w:hyperlink w:anchor="efcore">
        <w:r>
          <w:rPr>
            <w:color w:val="2E74B5"/>
            <w:u w:val="single"/>
          </w:rPr>
          <w:t>EF Core, TPT, relaties en migrations</w:t>
        </w:r>
      </w:hyperlink>
    </w:p>
    <w:p>
      <w:pPr>
        <w:spacing w:after="100"/>
        <w:ind w:left="259"/>
      </w:pPr>
      <w:r>
        <w:rPr>
          <w:rFonts w:ascii="Calibri" w:hAnsi="Calibri"/>
          <w:b/>
          <w:color w:val="0B7A75"/>
          <w:sz w:val="21"/>
        </w:rPr>
        <w:t xml:space="preserve">10   </w:t>
      </w:r>
      <w:hyperlink w:anchor="contracts">
        <w:r>
          <w:rPr>
            <w:color w:val="2E74B5"/>
            <w:u w:val="single"/>
          </w:rPr>
          <w:t>DTO-validatie en AutoMapper</w:t>
        </w:r>
      </w:hyperlink>
    </w:p>
    <w:p>
      <w:pPr>
        <w:spacing w:after="100"/>
        <w:ind w:left="259"/>
      </w:pPr>
      <w:r>
        <w:rPr>
          <w:rFonts w:ascii="Calibri" w:hAnsi="Calibri"/>
          <w:b/>
          <w:color w:val="0B7A75"/>
          <w:sz w:val="21"/>
        </w:rPr>
        <w:t xml:space="preserve">11   </w:t>
      </w:r>
      <w:hyperlink w:anchor="repositories">
        <w:r>
          <w:rPr>
            <w:color w:val="2E74B5"/>
            <w:u w:val="single"/>
          </w:rPr>
          <w:t>Repositories, tracking en gebruikersisolatie</w:t>
        </w:r>
      </w:hyperlink>
    </w:p>
    <w:p>
      <w:pPr>
        <w:spacing w:after="100"/>
        <w:ind w:left="259"/>
      </w:pPr>
      <w:r>
        <w:rPr>
          <w:rFonts w:ascii="Calibri" w:hAnsi="Calibri"/>
          <w:b/>
          <w:color w:val="0B7A75"/>
          <w:sz w:val="21"/>
        </w:rPr>
        <w:t xml:space="preserve">12   </w:t>
      </w:r>
      <w:hyperlink w:anchor="crud">
        <w:r>
          <w:rPr>
            <w:color w:val="2E74B5"/>
            <w:u w:val="single"/>
          </w:rPr>
          <w:t>De gewone CRUD-controllers</w:t>
        </w:r>
      </w:hyperlink>
    </w:p>
    <w:p>
      <w:pPr>
        <w:spacing w:after="100"/>
        <w:ind w:left="259"/>
      </w:pPr>
      <w:r>
        <w:rPr>
          <w:rFonts w:ascii="Calibri" w:hAnsi="Calibri"/>
          <w:b/>
          <w:color w:val="0B7A75"/>
          <w:sz w:val="21"/>
        </w:rPr>
        <w:t xml:space="preserve">13   </w:t>
      </w:r>
      <w:hyperlink w:anchor="documents">
        <w:r>
          <w:rPr>
            <w:color w:val="2E74B5"/>
            <w:u w:val="single"/>
          </w:rPr>
          <w:t>Documenten, koppelingen en private opslag</w:t>
        </w:r>
      </w:hyperlink>
    </w:p>
    <w:p>
      <w:pPr>
        <w:spacing w:after="100"/>
        <w:ind w:left="259"/>
      </w:pPr>
      <w:r>
        <w:rPr>
          <w:rFonts w:ascii="Calibri" w:hAnsi="Calibri"/>
          <w:b/>
          <w:color w:val="0B7A75"/>
          <w:sz w:val="21"/>
        </w:rPr>
        <w:t xml:space="preserve">14   </w:t>
      </w:r>
      <w:hyperlink w:anchor="dashboard">
        <w:r>
          <w:rPr>
            <w:color w:val="2E74B5"/>
            <w:u w:val="single"/>
          </w:rPr>
          <w:t>Dashboard-readmodel</w:t>
        </w:r>
      </w:hyperlink>
    </w:p>
    <w:p>
      <w:pPr>
        <w:spacing w:after="100"/>
        <w:ind w:left="259"/>
      </w:pPr>
      <w:r>
        <w:rPr>
          <w:rFonts w:ascii="Calibri" w:hAnsi="Calibri"/>
          <w:b/>
          <w:color w:val="0B7A75"/>
          <w:sz w:val="21"/>
        </w:rPr>
        <w:t xml:space="preserve">15   </w:t>
      </w:r>
      <w:hyperlink w:anchor="responses">
        <w:r>
          <w:rPr>
            <w:color w:val="2E74B5"/>
            <w:u w:val="single"/>
          </w:rPr>
          <w:t>Statuscodes, fouten en speciale gevallen</w:t>
        </w:r>
      </w:hyperlink>
    </w:p>
    <w:p>
      <w:pPr>
        <w:spacing w:after="100"/>
        <w:ind w:left="259"/>
      </w:pPr>
      <w:r>
        <w:rPr>
          <w:rFonts w:ascii="Calibri" w:hAnsi="Calibri"/>
          <w:b/>
          <w:color w:val="0B7A75"/>
          <w:sz w:val="21"/>
        </w:rPr>
        <w:t xml:space="preserve">16   </w:t>
      </w:r>
      <w:hyperlink w:anchor="tests">
        <w:r>
          <w:rPr>
            <w:color w:val="2E74B5"/>
            <w:u w:val="single"/>
          </w:rPr>
          <w:t>Integratietests en uitvoerbare requestflows</w:t>
        </w:r>
      </w:hyperlink>
    </w:p>
    <w:p>
      <w:pPr>
        <w:spacing w:after="100"/>
        <w:ind w:left="259"/>
      </w:pPr>
      <w:r>
        <w:rPr>
          <w:rFonts w:ascii="Calibri" w:hAnsi="Calibri"/>
          <w:b/>
          <w:color w:val="0B7A75"/>
          <w:sz w:val="21"/>
        </w:rPr>
        <w:t xml:space="preserve">17   </w:t>
      </w:r>
      <w:hyperlink w:anchor="limitations">
        <w:r>
          <w:rPr>
            <w:color w:val="2E74B5"/>
            <w:u w:val="single"/>
          </w:rPr>
          <w:t>Bewuste grenzen en volgende productiestappen</w:t>
        </w:r>
      </w:hyperlink>
    </w:p>
    <w:p>
      <w:pPr>
        <w:spacing w:after="100"/>
        <w:ind w:left="259"/>
      </w:pPr>
      <w:r>
        <w:rPr>
          <w:rFonts w:ascii="Calibri" w:hAnsi="Calibri"/>
          <w:b/>
          <w:color w:val="0B7A75"/>
          <w:sz w:val="21"/>
        </w:rPr>
        <w:t xml:space="preserve">18   </w:t>
      </w:r>
      <w:hyperlink w:anchor="reference">
        <w:r>
          <w:rPr>
            <w:color w:val="2E74B5"/>
            <w:u w:val="single"/>
          </w:rPr>
          <w:t>Functie- en begrippenreferentie</w:t>
        </w:r>
      </w:hyperlink>
    </w:p>
    <w:p>
      <w:bookmarkStart w:id="10" w:name="leeswijzer"/>
      <w:pPr>
        <w:pStyle w:val="Heading1"/>
      </w:pPr>
      <w:r>
        <w:t>Leeswijzer en eindresultaat</w:t>
      </w:r>
      <w:bookmarkEnd w:id="10"/>
    </w:p>
    <w:p>
      <w:pPr>
        <w:spacing w:before="0" w:after="80"/>
        <w:jc w:val="right"/>
      </w:pPr>
      <w:hyperlink w:anchor="inhoud">
        <w:r>
          <w:rPr>
            <w:color w:val="2E74B5"/>
            <w:u w:val="single"/>
          </w:rPr>
          <w:t>Terug naar inhoud</w:t>
        </w:r>
      </w:hyperlink>
    </w:p>
    <w:p>
      <w:r>
        <w:t>Deze cursus beschrijft de backend zoals hij nu in de repository staat. Het doel is niet alleen weten welke endpoint bestaat, maar begrijpen welke laag verantwoordelijk is, welke code wordt aangeroepen en waarom beveiligingskeuzes nodig zijn.</w:t>
      </w:r>
    </w:p>
    <w:p>
      <w:pPr>
        <w:pStyle w:val="Callout"/>
        <w:shd w:fill="E6F4F1"/>
        <w:pBdr>
          <w:left w:val="single" w:sz="18" w:space="8" w:color="0B7A75"/>
        </w:pBdr>
      </w:pPr>
      <w:r>
        <w:rPr>
          <w:rFonts w:ascii="Calibri" w:hAnsi="Calibri"/>
          <w:b/>
          <w:color w:val="0B7A75"/>
          <w:sz w:val="21"/>
        </w:rPr>
        <w:t xml:space="preserve">Eindresultaat: </w:t>
      </w:r>
      <w:r>
        <w:rPr>
          <w:rFonts w:ascii="Calibri" w:hAnsi="Calibri"/>
          <w:color w:val="202428"/>
          <w:sz w:val="21"/>
        </w:rPr>
        <w:t>De huidige models Asset, Subscription, Contract, Warranty en Document hebben nu een bruikbare API-flow. Daarnaast levert Dashboard een samenvatting, bewaart DocumentController bestanden privé en bewijzen vier integratietests de kritieke cookie-, antiforgery-, isolatie- en uploadflow.</w:t>
      </w:r>
    </w:p>
    <w:p>
      <w:r>
        <w:t>De term ‘backend klaar’ betekent hier: klaar voor de huidige verticale MVP-scope. Reminder, Insurance en MaintenanceRecord staan in de productvisie, maar nog niet in het huidige datamodel. Er zijn daarom bewust geen lege controllers of half werkende tabellen voor toegevoegd.</w:t>
      </w:r>
    </w:p>
    <w:p>
      <w:r>
        <w:t>Na deze cursus kun je:</w:t>
      </w:r>
    </w:p>
    <w:p>
      <w:pPr>
        <w:numPr>
          <w:ilvl w:val="0"/>
          <w:numId w:val="10"/>
        </w:numPr>
        <w:spacing w:after="80" w:line="300" w:lineRule="auto"/>
      </w:pPr>
      <w:r>
        <w:rPr>
          <w:rFonts w:ascii="Calibri" w:hAnsi="Calibri"/>
          <w:color w:val="202428"/>
          <w:sz w:val="22"/>
        </w:rPr>
        <w:t>een request van Angular tot SQL Server volgen;</w:t>
      </w:r>
    </w:p>
    <w:p>
      <w:pPr>
        <w:numPr>
          <w:ilvl w:val="0"/>
          <w:numId w:val="10"/>
        </w:numPr>
        <w:spacing w:after="80" w:line="300" w:lineRule="auto"/>
      </w:pPr>
      <w:r>
        <w:rPr>
          <w:rFonts w:ascii="Calibri" w:hAnsi="Calibri"/>
          <w:color w:val="202428"/>
          <w:sz w:val="22"/>
        </w:rPr>
        <w:t>uitleggen hoe Identity een gebruiker, wachtwoordhash, cookie en claims opbouwt;</w:t>
      </w:r>
    </w:p>
    <w:p>
      <w:pPr>
        <w:numPr>
          <w:ilvl w:val="0"/>
          <w:numId w:val="10"/>
        </w:numPr>
        <w:spacing w:after="80" w:line="300" w:lineRule="auto"/>
      </w:pPr>
      <w:r>
        <w:rPr>
          <w:rFonts w:ascii="Calibri" w:hAnsi="Calibri"/>
          <w:color w:val="202428"/>
          <w:sz w:val="22"/>
        </w:rPr>
        <w:t>uitleggen waarom cookie-authenticatie antiforgerybescherming nodig heeft;</w:t>
      </w:r>
    </w:p>
    <w:p>
      <w:pPr>
        <w:numPr>
          <w:ilvl w:val="0"/>
          <w:numId w:val="10"/>
        </w:numPr>
        <w:spacing w:after="80" w:line="300" w:lineRule="auto"/>
      </w:pPr>
      <w:r>
        <w:rPr>
          <w:rFonts w:ascii="Calibri" w:hAnsi="Calibri"/>
          <w:color w:val="202428"/>
          <w:sz w:val="22"/>
        </w:rPr>
        <w:t>een controlleraction lezen en alle directe framework- en repositorycalls plaatsen;</w:t>
      </w:r>
    </w:p>
    <w:p>
      <w:pPr>
        <w:numPr>
          <w:ilvl w:val="0"/>
          <w:numId w:val="10"/>
        </w:numPr>
        <w:spacing w:after="80" w:line="300" w:lineRule="auto"/>
      </w:pPr>
      <w:r>
        <w:rPr>
          <w:rFonts w:ascii="Calibri" w:hAnsi="Calibri"/>
          <w:color w:val="202428"/>
          <w:sz w:val="22"/>
        </w:rPr>
        <w:t>TPT, navigatie-eigenschappen, foreign keys, delete behavior, indexes en constraints verklaren;</w:t>
      </w:r>
    </w:p>
    <w:p>
      <w:pPr>
        <w:numPr>
          <w:ilvl w:val="0"/>
          <w:numId w:val="10"/>
        </w:numPr>
        <w:spacing w:after="80" w:line="300" w:lineRule="auto"/>
      </w:pPr>
      <w:r>
        <w:rPr>
          <w:rFonts w:ascii="Calibri" w:hAnsi="Calibri"/>
          <w:color w:val="202428"/>
          <w:sz w:val="22"/>
        </w:rPr>
        <w:t>een veilige documentupload beoordelen en de resterende productierisico's benoemen;</w:t>
      </w:r>
    </w:p>
    <w:p>
      <w:pPr>
        <w:numPr>
          <w:ilvl w:val="0"/>
          <w:numId w:val="10"/>
        </w:numPr>
        <w:spacing w:after="80" w:line="300" w:lineRule="auto"/>
      </w:pPr>
      <w:r>
        <w:rPr>
          <w:rFonts w:ascii="Calibri" w:hAnsi="Calibri"/>
          <w:color w:val="202428"/>
          <w:sz w:val="22"/>
        </w:rPr>
        <w:t>nieuwe endpoints toevoegen zonder de gebruikersisolatie te doorbreken.</w:t>
      </w:r>
    </w:p>
    <w:p>
      <w:bookmarkStart w:id="11" w:name="architectuur"/>
      <w:pPr>
        <w:pStyle w:val="Heading1"/>
      </w:pPr>
      <w:r>
        <w:t>Architectuur van de solution</w:t>
      </w:r>
      <w:bookmarkEnd w:id="11"/>
    </w:p>
    <w:p>
      <w:pPr>
        <w:spacing w:before="0" w:after="80"/>
        <w:jc w:val="right"/>
      </w:pPr>
      <w:hyperlink w:anchor="inhoud">
        <w:r>
          <w:rPr>
            <w:color w:val="2E74B5"/>
            <w:u w:val="single"/>
          </w:rPr>
          <w:t>Terug naar inhoud</w:t>
        </w:r>
      </w:hyperlink>
    </w:p>
    <w:p>
      <w:r>
        <w:t>MIRA is een monorepo. De Angular-frontend en de .NET-backend worden samen geversioneerd, maar de backend zelf is opgesplitst in projecten met verschillende verantwoordelijkheden. Die grenzen voorkomen dat HTTP-details in het domein terechtkomen of dat entities rechtstreeks het publieke API-contract worden.</w:t>
      </w:r>
    </w:p>
    <w:p>
      <w:pPr>
        <w:keepNext/>
        <w:spacing w:before="100" w:after="0"/>
        <w:jc w:val="center"/>
      </w:pPr>
      <w:r>
        <w:drawing>
          <wp:inline xmlns:a="http://schemas.openxmlformats.org/drawingml/2006/main" xmlns:pic="http://schemas.openxmlformats.org/drawingml/2006/picture">
            <wp:extent cx="5715000" cy="3214688"/>
            <wp:docPr id="1" name="Picture 1" descr="Architectuurdiagram met Angular, Mira.API, Infrastructure, SQL Server, private bestanden, Contracts en Domain."/>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15000" cy="3214688"/>
                    </a:xfrm>
                    <a:prstGeom prst="rect"/>
                  </pic:spPr>
                </pic:pic>
              </a:graphicData>
            </a:graphic>
          </wp:inline>
        </w:drawing>
      </w:r>
    </w:p>
    <w:p>
      <w:pPr>
        <w:pStyle w:val="Caption"/>
      </w:pPr>
      <w:r>
        <w:t>Figuur 1. De lagen en toegestane afhankelijkheden van MIRA.</w:t>
      </w:r>
    </w:p>
    <w:tbl>
      <w:tblPr>
        <w:tblStyle w:val="TableGrid"/>
        <w:tblLook w:firstColumn="1" w:firstRow="1" w:lastColumn="0" w:lastRow="0" w:noHBand="0" w:noVBand="1" w:val="04A0"/>
        <w:jc w:val="left"/>
        <w:tblW w:w="9360" w:type="dxa"/>
        <w:tblInd w:w="120" w:type="dxa"/>
        <w:tblLayout w:type="fixed"/>
      </w:tblPr>
      <w:tblGrid>
        <w:gridCol w:w="1650"/>
        <w:gridCol w:w="4380"/>
        <w:gridCol w:w="3330"/>
      </w:tblGrid>
      <w:tr>
        <w:trPr>
          <w:tblHeader w:val="true"/>
        </w:trPr>
        <w:tc>
          <w:tcPr>
            <w:tcW w:type="dxa" w:w="165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Project</w:t>
            </w:r>
          </w:p>
        </w:tc>
        <w:tc>
          <w:tcPr>
            <w:tcW w:type="dxa" w:w="438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Verantwoordelijkheid</w:t>
            </w:r>
          </w:p>
        </w:tc>
        <w:tc>
          <w:tcPr>
            <w:tcW w:type="dxa" w:w="333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Mag kennen</w:t>
            </w:r>
          </w:p>
        </w:tc>
      </w:tr>
      <w:tr>
        <w:tc>
          <w:tcPr>
            <w:tcW w:type="dxa" w:w="1650"/>
            <w:tcMar>
              <w:top w:w="80" w:type="dxa"/>
              <w:bottom w:w="80" w:type="dxa"/>
              <w:start w:w="120" w:type="dxa"/>
              <w:end w:w="120" w:type="dxa"/>
            </w:tcMar>
            <w:vAlign w:val="center"/>
          </w:tcPr>
          <w:p>
            <w:pPr>
              <w:spacing w:before="0" w:after="20" w:line="259" w:lineRule="auto"/>
            </w:pPr>
            <w:r>
              <w:rPr>
                <w:rFonts w:ascii="Calibri" w:hAnsi="Calibri"/>
                <w:color w:val="202428"/>
                <w:sz w:val="18"/>
              </w:rPr>
              <w:t>Mira.API</w:t>
            </w:r>
          </w:p>
        </w:tc>
        <w:tc>
          <w:tcPr>
            <w:tcW w:type="dxa" w:w="4380"/>
            <w:tcMar>
              <w:top w:w="80" w:type="dxa"/>
              <w:bottom w:w="80" w:type="dxa"/>
              <w:start w:w="120" w:type="dxa"/>
              <w:end w:w="120" w:type="dxa"/>
            </w:tcMar>
            <w:vAlign w:val="center"/>
          </w:tcPr>
          <w:p>
            <w:pPr>
              <w:spacing w:before="0" w:after="20" w:line="259" w:lineRule="auto"/>
            </w:pPr>
            <w:r>
              <w:rPr>
                <w:rFonts w:ascii="Calibri" w:hAnsi="Calibri"/>
                <w:color w:val="202428"/>
                <w:sz w:val="18"/>
              </w:rPr>
              <w:t>HTTP, middleware, controllers, DI, mapping</w:t>
            </w:r>
          </w:p>
        </w:tc>
        <w:tc>
          <w:tcPr>
            <w:tcW w:type="dxa" w:w="3330"/>
            <w:tcMar>
              <w:top w:w="80" w:type="dxa"/>
              <w:bottom w:w="80" w:type="dxa"/>
              <w:start w:w="120" w:type="dxa"/>
              <w:end w:w="120" w:type="dxa"/>
            </w:tcMar>
            <w:vAlign w:val="center"/>
          </w:tcPr>
          <w:p>
            <w:pPr>
              <w:spacing w:before="0" w:after="20" w:line="259" w:lineRule="auto"/>
            </w:pPr>
            <w:r>
              <w:rPr>
                <w:rFonts w:ascii="Calibri" w:hAnsi="Calibri"/>
                <w:color w:val="202428"/>
                <w:sz w:val="18"/>
              </w:rPr>
              <w:t>Contracts, Infrastructure, Shared</w:t>
            </w:r>
          </w:p>
        </w:tc>
      </w:tr>
      <w:tr>
        <w:tc>
          <w:tcPr>
            <w:tcW w:type="dxa" w:w="1650"/>
            <w:tcMar>
              <w:top w:w="80" w:type="dxa"/>
              <w:bottom w:w="80" w:type="dxa"/>
              <w:start w:w="120" w:type="dxa"/>
              <w:end w:w="120" w:type="dxa"/>
            </w:tcMar>
            <w:vAlign w:val="center"/>
          </w:tcPr>
          <w:p>
            <w:pPr>
              <w:spacing w:before="0" w:after="20" w:line="259" w:lineRule="auto"/>
            </w:pPr>
            <w:r>
              <w:rPr>
                <w:rFonts w:ascii="Calibri" w:hAnsi="Calibri"/>
                <w:color w:val="202428"/>
                <w:sz w:val="18"/>
              </w:rPr>
              <w:t>Mira.Contracts</w:t>
            </w:r>
          </w:p>
        </w:tc>
        <w:tc>
          <w:tcPr>
            <w:tcW w:type="dxa" w:w="4380"/>
            <w:tcMar>
              <w:top w:w="80" w:type="dxa"/>
              <w:bottom w:w="80" w:type="dxa"/>
              <w:start w:w="120" w:type="dxa"/>
              <w:end w:w="120" w:type="dxa"/>
            </w:tcMar>
            <w:vAlign w:val="center"/>
          </w:tcPr>
          <w:p>
            <w:pPr>
              <w:spacing w:before="0" w:after="20" w:line="259" w:lineRule="auto"/>
            </w:pPr>
            <w:r>
              <w:rPr>
                <w:rFonts w:ascii="Calibri" w:hAnsi="Calibri"/>
                <w:color w:val="202428"/>
                <w:sz w:val="18"/>
              </w:rPr>
              <w:t>Request- en response-DTO's</w:t>
            </w:r>
          </w:p>
        </w:tc>
        <w:tc>
          <w:tcPr>
            <w:tcW w:type="dxa" w:w="3330"/>
            <w:tcMar>
              <w:top w:w="80" w:type="dxa"/>
              <w:bottom w:w="80" w:type="dxa"/>
              <w:start w:w="120" w:type="dxa"/>
              <w:end w:w="120" w:type="dxa"/>
            </w:tcMar>
            <w:vAlign w:val="center"/>
          </w:tcPr>
          <w:p>
            <w:pPr>
              <w:spacing w:before="0" w:after="20" w:line="259" w:lineRule="auto"/>
            </w:pPr>
            <w:r>
              <w:rPr>
                <w:rFonts w:ascii="Calibri" w:hAnsi="Calibri"/>
                <w:color w:val="202428"/>
                <w:sz w:val="18"/>
              </w:rPr>
              <w:t>Geen Domain/Infrastructure</w:t>
            </w:r>
          </w:p>
        </w:tc>
      </w:tr>
      <w:tr>
        <w:tc>
          <w:tcPr>
            <w:tcW w:type="dxa" w:w="1650"/>
            <w:tcMar>
              <w:top w:w="80" w:type="dxa"/>
              <w:bottom w:w="80" w:type="dxa"/>
              <w:start w:w="120" w:type="dxa"/>
              <w:end w:w="120" w:type="dxa"/>
            </w:tcMar>
            <w:vAlign w:val="center"/>
          </w:tcPr>
          <w:p>
            <w:pPr>
              <w:spacing w:before="0" w:after="20" w:line="259" w:lineRule="auto"/>
            </w:pPr>
            <w:r>
              <w:rPr>
                <w:rFonts w:ascii="Calibri" w:hAnsi="Calibri"/>
                <w:color w:val="202428"/>
                <w:sz w:val="18"/>
              </w:rPr>
              <w:t>Mira.Domain</w:t>
            </w:r>
          </w:p>
        </w:tc>
        <w:tc>
          <w:tcPr>
            <w:tcW w:type="dxa" w:w="4380"/>
            <w:tcMar>
              <w:top w:w="80" w:type="dxa"/>
              <w:bottom w:w="80" w:type="dxa"/>
              <w:start w:w="120" w:type="dxa"/>
              <w:end w:w="120" w:type="dxa"/>
            </w:tcMar>
            <w:vAlign w:val="center"/>
          </w:tcPr>
          <w:p>
            <w:pPr>
              <w:spacing w:before="0" w:after="20" w:line="259" w:lineRule="auto"/>
            </w:pPr>
            <w:r>
              <w:rPr>
                <w:rFonts w:ascii="Calibri" w:hAnsi="Calibri"/>
                <w:color w:val="202428"/>
                <w:sz w:val="18"/>
              </w:rPr>
              <w:t>Entities, enums en kernvorm van het domein</w:t>
            </w:r>
          </w:p>
        </w:tc>
        <w:tc>
          <w:tcPr>
            <w:tcW w:type="dxa" w:w="3330"/>
            <w:tcMar>
              <w:top w:w="80" w:type="dxa"/>
              <w:bottom w:w="80" w:type="dxa"/>
              <w:start w:w="120" w:type="dxa"/>
              <w:end w:w="120" w:type="dxa"/>
            </w:tcMar>
            <w:vAlign w:val="center"/>
          </w:tcPr>
          <w:p>
            <w:pPr>
              <w:spacing w:before="0" w:after="20" w:line="259" w:lineRule="auto"/>
            </w:pPr>
            <w:r>
              <w:rPr>
                <w:rFonts w:ascii="Calibri" w:hAnsi="Calibri"/>
                <w:color w:val="202428"/>
                <w:sz w:val="18"/>
              </w:rPr>
              <w:t>Geen ASP.NET Core of EF-store</w:t>
            </w:r>
          </w:p>
        </w:tc>
      </w:tr>
      <w:tr>
        <w:tc>
          <w:tcPr>
            <w:tcW w:type="dxa" w:w="1650"/>
            <w:tcMar>
              <w:top w:w="80" w:type="dxa"/>
              <w:bottom w:w="80" w:type="dxa"/>
              <w:start w:w="120" w:type="dxa"/>
              <w:end w:w="120" w:type="dxa"/>
            </w:tcMar>
            <w:vAlign w:val="center"/>
          </w:tcPr>
          <w:p>
            <w:pPr>
              <w:spacing w:before="0" w:after="20" w:line="259" w:lineRule="auto"/>
            </w:pPr>
            <w:r>
              <w:rPr>
                <w:rFonts w:ascii="Calibri" w:hAnsi="Calibri"/>
                <w:color w:val="202428"/>
                <w:sz w:val="18"/>
              </w:rPr>
              <w:t>Mira.Infrastructure</w:t>
            </w:r>
          </w:p>
        </w:tc>
        <w:tc>
          <w:tcPr>
            <w:tcW w:type="dxa" w:w="4380"/>
            <w:tcMar>
              <w:top w:w="80" w:type="dxa"/>
              <w:bottom w:w="80" w:type="dxa"/>
              <w:start w:w="120" w:type="dxa"/>
              <w:end w:w="120" w:type="dxa"/>
            </w:tcMar>
            <w:vAlign w:val="center"/>
          </w:tcPr>
          <w:p>
            <w:pPr>
              <w:spacing w:before="0" w:after="20" w:line="259" w:lineRule="auto"/>
            </w:pPr>
            <w:r>
              <w:rPr>
                <w:rFonts w:ascii="Calibri" w:hAnsi="Calibri"/>
                <w:color w:val="202428"/>
                <w:sz w:val="18"/>
              </w:rPr>
              <w:t>EF Core, Identity stores, repositories, bestandsopslag</w:t>
            </w:r>
          </w:p>
        </w:tc>
        <w:tc>
          <w:tcPr>
            <w:tcW w:type="dxa" w:w="3330"/>
            <w:tcMar>
              <w:top w:w="80" w:type="dxa"/>
              <w:bottom w:w="80" w:type="dxa"/>
              <w:start w:w="120" w:type="dxa"/>
              <w:end w:w="120" w:type="dxa"/>
            </w:tcMar>
            <w:vAlign w:val="center"/>
          </w:tcPr>
          <w:p>
            <w:pPr>
              <w:spacing w:before="0" w:after="20" w:line="259" w:lineRule="auto"/>
            </w:pPr>
            <w:r>
              <w:rPr>
                <w:rFonts w:ascii="Calibri" w:hAnsi="Calibri"/>
                <w:color w:val="202428"/>
                <w:sz w:val="18"/>
              </w:rPr>
              <w:t>Domain, Shared</w:t>
            </w:r>
          </w:p>
        </w:tc>
      </w:tr>
      <w:tr>
        <w:tc>
          <w:tcPr>
            <w:tcW w:type="dxa" w:w="1650"/>
            <w:tcMar>
              <w:top w:w="80" w:type="dxa"/>
              <w:bottom w:w="80" w:type="dxa"/>
              <w:start w:w="120" w:type="dxa"/>
              <w:end w:w="120" w:type="dxa"/>
            </w:tcMar>
            <w:vAlign w:val="center"/>
          </w:tcPr>
          <w:p>
            <w:pPr>
              <w:spacing w:before="0" w:after="20" w:line="259" w:lineRule="auto"/>
            </w:pPr>
            <w:r>
              <w:rPr>
                <w:rFonts w:ascii="Calibri" w:hAnsi="Calibri"/>
                <w:color w:val="202428"/>
                <w:sz w:val="18"/>
              </w:rPr>
              <w:t>Mira.Shared</w:t>
            </w:r>
          </w:p>
        </w:tc>
        <w:tc>
          <w:tcPr>
            <w:tcW w:type="dxa" w:w="4380"/>
            <w:tcMar>
              <w:top w:w="80" w:type="dxa"/>
              <w:bottom w:w="80" w:type="dxa"/>
              <w:start w:w="120" w:type="dxa"/>
              <w:end w:w="120" w:type="dxa"/>
            </w:tcMar>
            <w:vAlign w:val="center"/>
          </w:tcPr>
          <w:p>
            <w:pPr>
              <w:spacing w:before="0" w:after="20" w:line="259" w:lineRule="auto"/>
            </w:pPr>
            <w:r>
              <w:rPr>
                <w:rFonts w:ascii="Calibri" w:hAnsi="Calibri"/>
                <w:color w:val="202428"/>
                <w:sz w:val="18"/>
              </w:rPr>
              <w:t>Kleine gedeelde types</w:t>
            </w:r>
          </w:p>
        </w:tc>
        <w:tc>
          <w:tcPr>
            <w:tcW w:type="dxa" w:w="3330"/>
            <w:tcMar>
              <w:top w:w="80" w:type="dxa"/>
              <w:bottom w:w="80" w:type="dxa"/>
              <w:start w:w="120" w:type="dxa"/>
              <w:end w:w="120" w:type="dxa"/>
            </w:tcMar>
            <w:vAlign w:val="center"/>
          </w:tcPr>
          <w:p>
            <w:pPr>
              <w:spacing w:before="0" w:after="20" w:line="259" w:lineRule="auto"/>
            </w:pPr>
            <w:r>
              <w:rPr>
                <w:rFonts w:ascii="Calibri" w:hAnsi="Calibri"/>
                <w:color w:val="202428"/>
                <w:sz w:val="18"/>
              </w:rPr>
              <w:t>Zo weinig mogelijk</w:t>
            </w:r>
          </w:p>
        </w:tc>
      </w:tr>
      <w:tr>
        <w:tc>
          <w:tcPr>
            <w:tcW w:type="dxa" w:w="1650"/>
            <w:tcMar>
              <w:top w:w="80" w:type="dxa"/>
              <w:bottom w:w="80" w:type="dxa"/>
              <w:start w:w="120" w:type="dxa"/>
              <w:end w:w="120" w:type="dxa"/>
            </w:tcMar>
            <w:vAlign w:val="center"/>
          </w:tcPr>
          <w:p>
            <w:pPr>
              <w:spacing w:before="0" w:after="20" w:line="259" w:lineRule="auto"/>
            </w:pPr>
            <w:r>
              <w:rPr>
                <w:rFonts w:ascii="Calibri" w:hAnsi="Calibri"/>
                <w:color w:val="202428"/>
                <w:sz w:val="18"/>
              </w:rPr>
              <w:t>Mira.API.Tests</w:t>
            </w:r>
          </w:p>
        </w:tc>
        <w:tc>
          <w:tcPr>
            <w:tcW w:type="dxa" w:w="4380"/>
            <w:tcMar>
              <w:top w:w="80" w:type="dxa"/>
              <w:bottom w:w="80" w:type="dxa"/>
              <w:start w:w="120" w:type="dxa"/>
              <w:end w:w="120" w:type="dxa"/>
            </w:tcMar>
            <w:vAlign w:val="center"/>
          </w:tcPr>
          <w:p>
            <w:pPr>
              <w:spacing w:before="0" w:after="20" w:line="259" w:lineRule="auto"/>
            </w:pPr>
            <w:r>
              <w:rPr>
                <w:rFonts w:ascii="Calibri" w:hAnsi="Calibri"/>
                <w:color w:val="202428"/>
                <w:sz w:val="18"/>
              </w:rPr>
              <w:t>End-to-end testhost en beveiligingsflows</w:t>
            </w:r>
          </w:p>
        </w:tc>
        <w:tc>
          <w:tcPr>
            <w:tcW w:type="dxa" w:w="3330"/>
            <w:tcMar>
              <w:top w:w="80" w:type="dxa"/>
              <w:bottom w:w="80" w:type="dxa"/>
              <w:start w:w="120" w:type="dxa"/>
              <w:end w:w="120" w:type="dxa"/>
            </w:tcMar>
            <w:vAlign w:val="center"/>
          </w:tcPr>
          <w:p>
            <w:pPr>
              <w:spacing w:before="0" w:after="20" w:line="259" w:lineRule="auto"/>
            </w:pPr>
            <w:r>
              <w:rPr>
                <w:rFonts w:ascii="Calibri" w:hAnsi="Calibri"/>
                <w:color w:val="202428"/>
                <w:sz w:val="18"/>
              </w:rPr>
              <w:t>API en transitieve dependencies</w:t>
            </w:r>
          </w:p>
        </w:tc>
      </w:tr>
    </w:tbl>
    <w:p>
      <w:pPr>
        <w:spacing w:after="40"/>
      </w:pPr>
    </w:p>
    <w:p>
      <w:pPr>
        <w:pStyle w:val="Callout"/>
        <w:shd w:fill="E8EEF5"/>
        <w:pBdr>
          <w:left w:val="single" w:sz="18" w:space="8" w:color="2E74B5"/>
        </w:pBdr>
      </w:pPr>
      <w:r>
        <w:rPr>
          <w:rFonts w:ascii="Calibri" w:hAnsi="Calibri"/>
          <w:b/>
          <w:color w:val="2E74B5"/>
          <w:sz w:val="21"/>
        </w:rPr>
        <w:t xml:space="preserve">Belangrijk: </w:t>
      </w:r>
      <w:r>
        <w:rPr>
          <w:rFonts w:ascii="Calibri" w:hAnsi="Calibri"/>
          <w:color w:val="202428"/>
          <w:sz w:val="21"/>
        </w:rPr>
        <w:t>Mira.Contracts verwijst niet naar Mira.Domain. Daardoor kiest de API bewust hoe enums en entities worden vertaald. Dat kost soms wat mappingcode, maar voorkomt dat een databasewijziging automatisch een breaking API-change wordt.</w:t>
      </w:r>
    </w:p>
    <w:p>
      <w:pPr>
        <w:pStyle w:val="Heading2"/>
      </w:pPr>
      <w:r>
        <w:t>Dependency injection als verbindingspunt</w:t>
      </w:r>
    </w:p>
    <w:p>
      <w:r>
        <w:t>De projecten maken elkaar niet zelf aan. Program.cs registreert interfaces en implementaties in de servicecontainer. Wanneer ASP.NET Core bijvoorbeeld DocumentsController bouwt, ziet de container constructorparameters zoals IDocumentRepository en IPrivateFileStorage en levert hij de geregistreerde implementaties.</w:t>
      </w:r>
    </w:p>
    <w:p>
      <w:pPr>
        <w:keepNext/>
        <w:spacing w:before="100" w:after="60"/>
      </w:pPr>
      <w:r>
        <w:rPr>
          <w:rFonts w:ascii="Calibri" w:hAnsi="Calibri"/>
          <w:b/>
          <w:color w:val="5F6B76"/>
          <w:sz w:val="18"/>
        </w:rPr>
        <w:t>Voorbeeld uit Program.cs</w:t>
      </w:r>
    </w:p>
    <w:p>
      <w:pPr>
        <w:pStyle w:val="CodeBlock"/>
        <w:shd w:fill="F6F8FA"/>
        <w:pBdr>
          <w:left w:val="single" w:sz="8" w:space="8" w:color="AAB7C4"/>
        </w:pBdr>
      </w:pPr>
      <w:r>
        <w:rPr>
          <w:rFonts w:ascii="Consolas" w:hAnsi="Consolas"/>
          <w:color w:val="15202B"/>
          <w:sz w:val="16"/>
        </w:rPr>
        <w:t>builder.Services.AddScoped&lt;IDocumentRepository, DocumentRepository&gt;();</w:t>
        <w:br/>
      </w:r>
      <w:r>
        <w:rPr>
          <w:rFonts w:ascii="Consolas" w:hAnsi="Consolas"/>
          <w:color w:val="15202B"/>
          <w:sz w:val="16"/>
        </w:rPr>
        <w:t>builder.Services.AddSingleton&lt;IPrivateFileStorage, LocalPrivateFileStorage&gt;();</w:t>
        <w:br/>
      </w:r>
      <w:r>
        <w:rPr>
          <w:rFonts w:ascii="Consolas" w:hAnsi="Consolas"/>
          <w:color w:val="15202B"/>
          <w:sz w:val="16"/>
        </w:rPr>
        <w:t>builder.Services.AddScoped&lt;IDocumentUploadValidator, DocumentUploadValidator&gt;();</w:t>
      </w:r>
    </w:p>
    <w:p>
      <w:r>
        <w:t>Scoped betekent één instantie per HTTP-request. Dat past bij repositories omdat ook MiraContext scoped is. Singleton betekent één instantie voor de volledige applicatie. LocalPrivateFileStorage bevat geen requestdata en kan daarom veilig singleton zijn. Een singleton mag nooit rechtstreeks een scoped MiraContext vasthouden.</w:t>
      </w:r>
    </w:p>
    <w:p>
      <w:bookmarkStart w:id="12" w:name="request"/>
      <w:pPr>
        <w:pStyle w:val="Heading1"/>
      </w:pPr>
      <w:r>
        <w:t>Van HTTP-request naar controller</w:t>
      </w:r>
      <w:bookmarkEnd w:id="12"/>
    </w:p>
    <w:p>
      <w:pPr>
        <w:spacing w:before="0" w:after="80"/>
        <w:jc w:val="right"/>
      </w:pPr>
      <w:hyperlink w:anchor="inhoud">
        <w:r>
          <w:rPr>
            <w:color w:val="2E74B5"/>
            <w:u w:val="single"/>
          </w:rPr>
          <w:t>Terug naar inhoud</w:t>
        </w:r>
      </w:hyperlink>
    </w:p>
    <w:p>
      <w:r>
        <w:t>Een controlleraction wordt pas uitgevoerd nadat de request door de ASP.NET Core-pipeline is gegaan. De volgorde is functioneel: authenticatie moet eerst een ClaimsPrincipal maken voordat autorisatie en de controller de huidige UserId kunnen controleren.</w:t>
      </w:r>
    </w:p>
    <w:p>
      <w:pPr>
        <w:keepNext/>
        <w:spacing w:before="100" w:after="0"/>
        <w:jc w:val="center"/>
      </w:pPr>
      <w:r>
        <w:drawing>
          <wp:inline xmlns:a="http://schemas.openxmlformats.org/drawingml/2006/main" xmlns:pic="http://schemas.openxmlformats.org/drawingml/2006/picture">
            <wp:extent cx="5715000" cy="3214688"/>
            <wp:docPr id="2" name="Picture 2" descr="Horizontaal procesdiagram van HTTPS, exception handling, CORS, authenticatie, autorisatie en MVC-antiforgeryvalidatie."/>
            <wp:cNvGraphicFramePr>
              <a:graphicFrameLocks noChangeAspect="1"/>
            </wp:cNvGraphicFramePr>
            <a:graphic>
              <a:graphicData uri="http://schemas.openxmlformats.org/drawingml/2006/picture">
                <pic:pic>
                  <pic:nvPicPr>
                    <pic:cNvPr id="0" name="request-pipeline.png"/>
                    <pic:cNvPicPr/>
                  </pic:nvPicPr>
                  <pic:blipFill>
                    <a:blip r:embed="rId14"/>
                    <a:stretch>
                      <a:fillRect/>
                    </a:stretch>
                  </pic:blipFill>
                  <pic:spPr>
                    <a:xfrm>
                      <a:off x="0" y="0"/>
                      <a:ext cx="5715000" cy="3214688"/>
                    </a:xfrm>
                    <a:prstGeom prst="rect"/>
                  </pic:spPr>
                </pic:pic>
              </a:graphicData>
            </a:graphic>
          </wp:inline>
        </w:drawing>
      </w:r>
    </w:p>
    <w:p>
      <w:pPr>
        <w:pStyle w:val="Caption"/>
      </w:pPr>
      <w:r>
        <w:t>Figuur 2. De middleware- en MVC-stappen vóór een controlleraction.</w:t>
      </w:r>
    </w:p>
    <w:p>
      <w:pPr>
        <w:pStyle w:val="Heading2"/>
      </w:pPr>
      <w:r>
        <w:t>Wat model binding doet</w:t>
      </w:r>
    </w:p>
    <w:p>
      <w:r>
        <w:t>[ApiController] activeert conventies voor API-controllers. Routewaarden worden naar Guid-parameters gebonden, querystrings naar simpele parameters, JSON naar DTO's en multipart/form-data naar UploadDocumentRequest. Daarna worden DataAnnotations en IValidatableObject uitgevoerd. Bij een fout retourneert ASP.NET Core automatisch een 400-response met ValidationProblemDetails; de action hoeft dan niet te starten.</w:t>
      </w:r>
    </w:p>
    <w:p>
      <w:pPr>
        <w:keepNext/>
        <w:spacing w:before="100" w:after="60"/>
      </w:pPr>
      <w:r>
        <w:rPr>
          <w:rFonts w:ascii="Calibri" w:hAnsi="Calibri"/>
          <w:b/>
          <w:color w:val="5F6B76"/>
          <w:sz w:val="18"/>
        </w:rPr>
        <w:t>De :guid-routeconstraint voorkomt dat willekeurige tekst aan de action wordt doorgegeven.</w:t>
      </w:r>
    </w:p>
    <w:p>
      <w:pPr>
        <w:pStyle w:val="CodeBlock"/>
        <w:shd w:fill="F6F8FA"/>
        <w:pBdr>
          <w:left w:val="single" w:sz="8" w:space="8" w:color="AAB7C4"/>
        </w:pBdr>
      </w:pPr>
      <w:r>
        <w:rPr>
          <w:rFonts w:ascii="Consolas" w:hAnsi="Consolas"/>
          <w:color w:val="15202B"/>
          <w:sz w:val="16"/>
        </w:rPr>
        <w:t>[HttpGet("{id:guid}")]</w:t>
        <w:br/>
      </w:r>
      <w:r>
        <w:rPr>
          <w:rFonts w:ascii="Consolas" w:hAnsi="Consolas"/>
          <w:color w:val="15202B"/>
          <w:sz w:val="16"/>
        </w:rPr>
        <w:t>public async Task&lt;ActionResult&lt;AssetDetailDto&gt;&gt; GetAsset(Guid id)</w:t>
      </w:r>
    </w:p>
    <w:p>
      <w:pPr>
        <w:pStyle w:val="Heading2"/>
      </w:pPr>
      <w:r>
        <w:t>Veilige versus onveilige HTTP-methodes</w:t>
      </w:r>
    </w:p>
    <w:tbl>
      <w:tblPr>
        <w:tblStyle w:val="TableGrid"/>
        <w:tblLook w:firstColumn="1" w:firstRow="1" w:lastColumn="0" w:lastRow="0" w:noHBand="0" w:noVBand="1" w:val="04A0"/>
        <w:jc w:val="left"/>
        <w:tblW w:w="9360" w:type="dxa"/>
        <w:tblInd w:w="120" w:type="dxa"/>
        <w:tblLayout w:type="fixed"/>
      </w:tblPr>
      <w:tblGrid>
        <w:gridCol w:w="1300"/>
        <w:gridCol w:w="4820"/>
        <w:gridCol w:w="3240"/>
      </w:tblGrid>
      <w:tr>
        <w:trPr>
          <w:tblHeader w:val="true"/>
        </w:trPr>
        <w:tc>
          <w:tcPr>
            <w:tcW w:type="dxa" w:w="130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Methode</w:t>
            </w:r>
          </w:p>
        </w:tc>
        <w:tc>
          <w:tcPr>
            <w:tcW w:type="dxa" w:w="482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Bedoeling</w:t>
            </w:r>
          </w:p>
        </w:tc>
        <w:tc>
          <w:tcPr>
            <w:tcW w:type="dxa" w:w="324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Antiforgery</w:t>
            </w:r>
          </w:p>
        </w:tc>
      </w:tr>
      <w:tr>
        <w:tc>
          <w:tcPr>
            <w:tcW w:type="dxa" w:w="1300"/>
            <w:tcMar>
              <w:top w:w="80" w:type="dxa"/>
              <w:bottom w:w="80" w:type="dxa"/>
              <w:start w:w="120" w:type="dxa"/>
              <w:end w:w="120" w:type="dxa"/>
            </w:tcMar>
            <w:vAlign w:val="center"/>
          </w:tcPr>
          <w:p>
            <w:pPr>
              <w:spacing w:before="0" w:after="20" w:line="259" w:lineRule="auto"/>
            </w:pPr>
            <w:r>
              <w:rPr>
                <w:rFonts w:ascii="Calibri" w:hAnsi="Calibri"/>
                <w:color w:val="202428"/>
                <w:sz w:val="18"/>
              </w:rPr>
              <w:t>GET</w:t>
            </w:r>
          </w:p>
        </w:tc>
        <w:tc>
          <w:tcPr>
            <w:tcW w:type="dxa" w:w="4820"/>
            <w:tcMar>
              <w:top w:w="80" w:type="dxa"/>
              <w:bottom w:w="80" w:type="dxa"/>
              <w:start w:w="120" w:type="dxa"/>
              <w:end w:w="120" w:type="dxa"/>
            </w:tcMar>
            <w:vAlign w:val="center"/>
          </w:tcPr>
          <w:p>
            <w:pPr>
              <w:spacing w:before="0" w:after="20" w:line="259" w:lineRule="auto"/>
            </w:pPr>
            <w:r>
              <w:rPr>
                <w:rFonts w:ascii="Calibri" w:hAnsi="Calibri"/>
                <w:color w:val="202428"/>
                <w:sz w:val="18"/>
              </w:rPr>
              <w:t>Data lezen; hoort geen toestand te wijzigen</w:t>
            </w:r>
          </w:p>
        </w:tc>
        <w:tc>
          <w:tcPr>
            <w:tcW w:type="dxa" w:w="3240"/>
            <w:tcMar>
              <w:top w:w="80" w:type="dxa"/>
              <w:bottom w:w="80" w:type="dxa"/>
              <w:start w:w="120" w:type="dxa"/>
              <w:end w:w="120" w:type="dxa"/>
            </w:tcMar>
            <w:vAlign w:val="center"/>
          </w:tcPr>
          <w:p>
            <w:pPr>
              <w:spacing w:before="0" w:after="20" w:line="259" w:lineRule="auto"/>
            </w:pPr>
            <w:r>
              <w:rPr>
                <w:rFonts w:ascii="Calibri" w:hAnsi="Calibri"/>
                <w:color w:val="202428"/>
                <w:sz w:val="18"/>
              </w:rPr>
              <w:t>Niet gevalideerd</w:t>
            </w:r>
          </w:p>
        </w:tc>
      </w:tr>
      <w:tr>
        <w:tc>
          <w:tcPr>
            <w:tcW w:type="dxa" w:w="1300"/>
            <w:tcMar>
              <w:top w:w="80" w:type="dxa"/>
              <w:bottom w:w="80" w:type="dxa"/>
              <w:start w:w="120" w:type="dxa"/>
              <w:end w:w="120" w:type="dxa"/>
            </w:tcMar>
            <w:vAlign w:val="center"/>
          </w:tcPr>
          <w:p>
            <w:pPr>
              <w:spacing w:before="0" w:after="20" w:line="259" w:lineRule="auto"/>
            </w:pPr>
            <w:r>
              <w:rPr>
                <w:rFonts w:ascii="Calibri" w:hAnsi="Calibri"/>
                <w:color w:val="202428"/>
                <w:sz w:val="18"/>
              </w:rPr>
              <w:t>POST</w:t>
            </w:r>
          </w:p>
        </w:tc>
        <w:tc>
          <w:tcPr>
            <w:tcW w:type="dxa" w:w="4820"/>
            <w:tcMar>
              <w:top w:w="80" w:type="dxa"/>
              <w:bottom w:w="80" w:type="dxa"/>
              <w:start w:w="120" w:type="dxa"/>
              <w:end w:w="120" w:type="dxa"/>
            </w:tcMar>
            <w:vAlign w:val="center"/>
          </w:tcPr>
          <w:p>
            <w:pPr>
              <w:spacing w:before="0" w:after="20" w:line="259" w:lineRule="auto"/>
            </w:pPr>
            <w:r>
              <w:rPr>
                <w:rFonts w:ascii="Calibri" w:hAnsi="Calibri"/>
                <w:color w:val="202428"/>
                <w:sz w:val="18"/>
              </w:rPr>
              <w:t>Nieuw record of command</w:t>
            </w:r>
          </w:p>
        </w:tc>
        <w:tc>
          <w:tcPr>
            <w:tcW w:type="dxa" w:w="3240"/>
            <w:tcMar>
              <w:top w:w="80" w:type="dxa"/>
              <w:bottom w:w="80" w:type="dxa"/>
              <w:start w:w="120" w:type="dxa"/>
              <w:end w:w="120" w:type="dxa"/>
            </w:tcMar>
            <w:vAlign w:val="center"/>
          </w:tcPr>
          <w:p>
            <w:pPr>
              <w:spacing w:before="0" w:after="20" w:line="259" w:lineRule="auto"/>
            </w:pPr>
            <w:r>
              <w:rPr>
                <w:rFonts w:ascii="Calibri" w:hAnsi="Calibri"/>
                <w:color w:val="202428"/>
                <w:sz w:val="18"/>
              </w:rPr>
              <w:t>Verplicht</w:t>
            </w:r>
          </w:p>
        </w:tc>
      </w:tr>
      <w:tr>
        <w:tc>
          <w:tcPr>
            <w:tcW w:type="dxa" w:w="1300"/>
            <w:tcMar>
              <w:top w:w="80" w:type="dxa"/>
              <w:bottom w:w="80" w:type="dxa"/>
              <w:start w:w="120" w:type="dxa"/>
              <w:end w:w="120" w:type="dxa"/>
            </w:tcMar>
            <w:vAlign w:val="center"/>
          </w:tcPr>
          <w:p>
            <w:pPr>
              <w:spacing w:before="0" w:after="20" w:line="259" w:lineRule="auto"/>
            </w:pPr>
            <w:r>
              <w:rPr>
                <w:rFonts w:ascii="Calibri" w:hAnsi="Calibri"/>
                <w:color w:val="202428"/>
                <w:sz w:val="18"/>
              </w:rPr>
              <w:t>PUT</w:t>
            </w:r>
          </w:p>
        </w:tc>
        <w:tc>
          <w:tcPr>
            <w:tcW w:type="dxa" w:w="4820"/>
            <w:tcMar>
              <w:top w:w="80" w:type="dxa"/>
              <w:bottom w:w="80" w:type="dxa"/>
              <w:start w:w="120" w:type="dxa"/>
              <w:end w:w="120" w:type="dxa"/>
            </w:tcMar>
            <w:vAlign w:val="center"/>
          </w:tcPr>
          <w:p>
            <w:pPr>
              <w:spacing w:before="0" w:after="20" w:line="259" w:lineRule="auto"/>
            </w:pPr>
            <w:r>
              <w:rPr>
                <w:rFonts w:ascii="Calibri" w:hAnsi="Calibri"/>
                <w:color w:val="202428"/>
                <w:sz w:val="18"/>
              </w:rPr>
              <w:t>Volledige wijziging / idempotente relatie</w:t>
            </w:r>
          </w:p>
        </w:tc>
        <w:tc>
          <w:tcPr>
            <w:tcW w:type="dxa" w:w="3240"/>
            <w:tcMar>
              <w:top w:w="80" w:type="dxa"/>
              <w:bottom w:w="80" w:type="dxa"/>
              <w:start w:w="120" w:type="dxa"/>
              <w:end w:w="120" w:type="dxa"/>
            </w:tcMar>
            <w:vAlign w:val="center"/>
          </w:tcPr>
          <w:p>
            <w:pPr>
              <w:spacing w:before="0" w:after="20" w:line="259" w:lineRule="auto"/>
            </w:pPr>
            <w:r>
              <w:rPr>
                <w:rFonts w:ascii="Calibri" w:hAnsi="Calibri"/>
                <w:color w:val="202428"/>
                <w:sz w:val="18"/>
              </w:rPr>
              <w:t>Verplicht</w:t>
            </w:r>
          </w:p>
        </w:tc>
      </w:tr>
      <w:tr>
        <w:tc>
          <w:tcPr>
            <w:tcW w:type="dxa" w:w="1300"/>
            <w:tcMar>
              <w:top w:w="80" w:type="dxa"/>
              <w:bottom w:w="80" w:type="dxa"/>
              <w:start w:w="120" w:type="dxa"/>
              <w:end w:w="120" w:type="dxa"/>
            </w:tcMar>
            <w:vAlign w:val="center"/>
          </w:tcPr>
          <w:p>
            <w:pPr>
              <w:spacing w:before="0" w:after="20" w:line="259" w:lineRule="auto"/>
            </w:pPr>
            <w:r>
              <w:rPr>
                <w:rFonts w:ascii="Calibri" w:hAnsi="Calibri"/>
                <w:color w:val="202428"/>
                <w:sz w:val="18"/>
              </w:rPr>
              <w:t>PATCH</w:t>
            </w:r>
          </w:p>
        </w:tc>
        <w:tc>
          <w:tcPr>
            <w:tcW w:type="dxa" w:w="4820"/>
            <w:tcMar>
              <w:top w:w="80" w:type="dxa"/>
              <w:bottom w:w="80" w:type="dxa"/>
              <w:start w:w="120" w:type="dxa"/>
              <w:end w:w="120" w:type="dxa"/>
            </w:tcMar>
            <w:vAlign w:val="center"/>
          </w:tcPr>
          <w:p>
            <w:pPr>
              <w:spacing w:before="0" w:after="20" w:line="259" w:lineRule="auto"/>
            </w:pPr>
            <w:r>
              <w:rPr>
                <w:rFonts w:ascii="Calibri" w:hAnsi="Calibri"/>
                <w:color w:val="202428"/>
                <w:sz w:val="18"/>
              </w:rPr>
              <w:t>Gerichte toestandsovergang</w:t>
            </w:r>
          </w:p>
        </w:tc>
        <w:tc>
          <w:tcPr>
            <w:tcW w:type="dxa" w:w="3240"/>
            <w:tcMar>
              <w:top w:w="80" w:type="dxa"/>
              <w:bottom w:w="80" w:type="dxa"/>
              <w:start w:w="120" w:type="dxa"/>
              <w:end w:w="120" w:type="dxa"/>
            </w:tcMar>
            <w:vAlign w:val="center"/>
          </w:tcPr>
          <w:p>
            <w:pPr>
              <w:spacing w:before="0" w:after="20" w:line="259" w:lineRule="auto"/>
            </w:pPr>
            <w:r>
              <w:rPr>
                <w:rFonts w:ascii="Calibri" w:hAnsi="Calibri"/>
                <w:color w:val="202428"/>
                <w:sz w:val="18"/>
              </w:rPr>
              <w:t>Verplicht</w:t>
            </w:r>
          </w:p>
        </w:tc>
      </w:tr>
      <w:tr>
        <w:tc>
          <w:tcPr>
            <w:tcW w:type="dxa" w:w="1300"/>
            <w:tcMar>
              <w:top w:w="80" w:type="dxa"/>
              <w:bottom w:w="80" w:type="dxa"/>
              <w:start w:w="120" w:type="dxa"/>
              <w:end w:w="120" w:type="dxa"/>
            </w:tcMar>
            <w:vAlign w:val="center"/>
          </w:tcPr>
          <w:p>
            <w:pPr>
              <w:spacing w:before="0" w:after="20" w:line="259" w:lineRule="auto"/>
            </w:pPr>
            <w:r>
              <w:rPr>
                <w:rFonts w:ascii="Calibri" w:hAnsi="Calibri"/>
                <w:color w:val="202428"/>
                <w:sz w:val="18"/>
              </w:rPr>
              <w:t>DELETE</w:t>
            </w:r>
          </w:p>
        </w:tc>
        <w:tc>
          <w:tcPr>
            <w:tcW w:type="dxa" w:w="4820"/>
            <w:tcMar>
              <w:top w:w="80" w:type="dxa"/>
              <w:bottom w:w="80" w:type="dxa"/>
              <w:start w:w="120" w:type="dxa"/>
              <w:end w:w="120" w:type="dxa"/>
            </w:tcMar>
            <w:vAlign w:val="center"/>
          </w:tcPr>
          <w:p>
            <w:pPr>
              <w:spacing w:before="0" w:after="20" w:line="259" w:lineRule="auto"/>
            </w:pPr>
            <w:r>
              <w:rPr>
                <w:rFonts w:ascii="Calibri" w:hAnsi="Calibri"/>
                <w:color w:val="202428"/>
                <w:sz w:val="18"/>
              </w:rPr>
              <w:t>Relatie of record verwijderen</w:t>
            </w:r>
          </w:p>
        </w:tc>
        <w:tc>
          <w:tcPr>
            <w:tcW w:type="dxa" w:w="3240"/>
            <w:tcMar>
              <w:top w:w="80" w:type="dxa"/>
              <w:bottom w:w="80" w:type="dxa"/>
              <w:start w:w="120" w:type="dxa"/>
              <w:end w:w="120" w:type="dxa"/>
            </w:tcMar>
            <w:vAlign w:val="center"/>
          </w:tcPr>
          <w:p>
            <w:pPr>
              <w:spacing w:before="0" w:after="20" w:line="259" w:lineRule="auto"/>
            </w:pPr>
            <w:r>
              <w:rPr>
                <w:rFonts w:ascii="Calibri" w:hAnsi="Calibri"/>
                <w:color w:val="202428"/>
                <w:sz w:val="18"/>
              </w:rPr>
              <w:t>Verplicht</w:t>
            </w:r>
          </w:p>
        </w:tc>
      </w:tr>
    </w:tbl>
    <w:p>
      <w:pPr>
        <w:spacing w:after="40"/>
      </w:pPr>
    </w:p>
    <w:p>
      <w:pPr>
        <w:pStyle w:val="Callout"/>
        <w:shd w:fill="FCEBEC"/>
        <w:pBdr>
          <w:left w:val="single" w:sz="18" w:space="8" w:color="A33A3A"/>
        </w:pBdr>
      </w:pPr>
      <w:r>
        <w:rPr>
          <w:rFonts w:ascii="Calibri" w:hAnsi="Calibri"/>
          <w:b/>
          <w:color w:val="A33A3A"/>
          <w:sz w:val="21"/>
        </w:rPr>
        <w:t xml:space="preserve">Vuistregel: </w:t>
      </w:r>
      <w:r>
        <w:rPr>
          <w:rFonts w:ascii="Calibri" w:hAnsi="Calibri"/>
          <w:color w:val="202428"/>
          <w:sz w:val="21"/>
        </w:rPr>
        <w:t>Een GET mag nooit archiveren, uitloggen of een bestand verwijderen. Browsers, proxies en crawlers mogen GET's herhalen. Daarom zijn logout en alle mutaties POST/PUT/PATCH/DELETE en vallen ze onder antiforgeryvalidatie.</w:t>
      </w:r>
    </w:p>
    <w:p>
      <w:bookmarkStart w:id="13" w:name="program"/>
      <w:pPr>
        <w:pStyle w:val="Heading1"/>
      </w:pPr>
      <w:r>
        <w:t>Program.cs volledig ontleed</w:t>
      </w:r>
      <w:bookmarkEnd w:id="13"/>
    </w:p>
    <w:p>
      <w:pPr>
        <w:spacing w:before="0" w:after="80"/>
        <w:jc w:val="right"/>
      </w:pPr>
      <w:hyperlink w:anchor="inhoud">
        <w:r>
          <w:rPr>
            <w:color w:val="2E74B5"/>
            <w:u w:val="single"/>
          </w:rPr>
          <w:t>Terug naar inhoud</w:t>
        </w:r>
      </w:hyperlink>
    </w:p>
    <w:p>
      <w:r>
        <w:t>Program.cs is de composition root: hier wordt configuratie gelezen, worden services geregistreerd en wordt de requestpipeline samengesteld. De file bevat weinig businesslogica, maar bepaalt wel bijna alle runtimegedrag.</w:t>
      </w:r>
    </w:p>
    <w:p>
      <w:pPr>
        <w:pStyle w:val="Heading2"/>
      </w:pPr>
      <w:r>
        <w:t>1. Builder en verplichte configuratie</w:t>
      </w:r>
    </w:p>
    <w:p>
      <w:pPr>
        <w:pStyle w:val="CodeBlock"/>
        <w:shd w:fill="F6F8FA"/>
        <w:pBdr>
          <w:left w:val="single" w:sz="8" w:space="8" w:color="AAB7C4"/>
        </w:pBdr>
      </w:pPr>
      <w:r>
        <w:rPr>
          <w:rFonts w:ascii="Consolas" w:hAnsi="Consolas"/>
          <w:color w:val="15202B"/>
          <w:sz w:val="16"/>
        </w:rPr>
        <w:t>var builder = WebApplication.CreateBuilder(args);</w:t>
        <w:br/>
      </w:r>
      <w:r>
        <w:rPr>
          <w:rFonts w:ascii="Consolas" w:hAnsi="Consolas"/>
          <w:color w:val="15202B"/>
          <w:sz w:val="16"/>
        </w:rPr>
        <w:br/>
      </w:r>
      <w:r>
        <w:rPr>
          <w:rFonts w:ascii="Consolas" w:hAnsi="Consolas"/>
          <w:color w:val="15202B"/>
          <w:sz w:val="16"/>
        </w:rPr>
        <w:t>var connectionString = builder.Configuration</w:t>
        <w:br/>
      </w:r>
      <w:r>
        <w:rPr>
          <w:rFonts w:ascii="Consolas" w:hAnsi="Consolas"/>
          <w:color w:val="15202B"/>
          <w:sz w:val="16"/>
        </w:rPr>
        <w:t xml:space="preserve">    .GetConnectionString("MiraDatabase")</w:t>
        <w:br/>
      </w:r>
      <w:r>
        <w:rPr>
          <w:rFonts w:ascii="Consolas" w:hAnsi="Consolas"/>
          <w:color w:val="15202B"/>
          <w:sz w:val="16"/>
        </w:rPr>
        <w:t xml:space="preserve">    ?? throw new InvalidOperationException(...);</w:t>
      </w:r>
    </w:p>
    <w:p>
      <w:r>
        <w:t>CreateBuilder combineert commandline-argumenten, appsettings.json, omgevingsspecifieke settings, user secrets en environment variables. GetConnectionString leest ConnectionStrings:MiraDatabase. De null-coalescing throw laat de applicatie vroeg en duidelijk falen als een essentiële instelling ontbreekt. Hetzelfde gebeurt voor FrontendOrigin.</w:t>
      </w:r>
    </w:p>
    <w:p>
      <w:pPr>
        <w:pStyle w:val="Heading2"/>
      </w:pPr>
      <w:r>
        <w:t>2. EF Core en SQL Server</w:t>
      </w:r>
    </w:p>
    <w:p>
      <w:pPr>
        <w:pStyle w:val="CodeBlock"/>
        <w:shd w:fill="F6F8FA"/>
        <w:pBdr>
          <w:left w:val="single" w:sz="8" w:space="8" w:color="AAB7C4"/>
        </w:pBdr>
      </w:pPr>
      <w:r>
        <w:rPr>
          <w:rFonts w:ascii="Consolas" w:hAnsi="Consolas"/>
          <w:color w:val="15202B"/>
          <w:sz w:val="16"/>
        </w:rPr>
        <w:t>builder.Services.AddDbContext&lt;MiraContext&gt;(options =&gt;</w:t>
        <w:br/>
      </w:r>
      <w:r>
        <w:rPr>
          <w:rFonts w:ascii="Consolas" w:hAnsi="Consolas"/>
          <w:color w:val="15202B"/>
          <w:sz w:val="16"/>
        </w:rPr>
        <w:t xml:space="preserve">    options.UseSqlServer(connectionString));</w:t>
      </w:r>
    </w:p>
    <w:p>
      <w:r>
        <w:t>AddDbContext registreert MiraContext scoped. UseSqlServer selecteert de provider en vertaalt LINQ later naar T-SQL. De connection string staat alleen in developmentconfiguratie of secrets en niet hardcoded in broncode.</w:t>
      </w:r>
    </w:p>
    <w:p>
      <w:pPr>
        <w:pStyle w:val="Heading2"/>
      </w:pPr>
      <w:r>
        <w:t>3. Identity-opties</w:t>
      </w:r>
    </w:p>
    <w:tbl>
      <w:tblPr>
        <w:tblStyle w:val="TableGrid"/>
        <w:tblLook w:firstColumn="1" w:firstRow="1" w:lastColumn="0" w:lastRow="0" w:noHBand="0" w:noVBand="1" w:val="04A0"/>
        <w:jc w:val="left"/>
        <w:tblW w:w="9360" w:type="dxa"/>
        <w:tblInd w:w="120" w:type="dxa"/>
        <w:tblLayout w:type="fixed"/>
      </w:tblPr>
      <w:tblGrid>
        <w:gridCol w:w="2700"/>
        <w:gridCol w:w="1450"/>
        <w:gridCol w:w="5210"/>
      </w:tblGrid>
      <w:tr>
        <w:trPr>
          <w:tblHeader w:val="true"/>
        </w:trPr>
        <w:tc>
          <w:tcPr>
            <w:tcW w:type="dxa" w:w="27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Optie</w:t>
            </w:r>
          </w:p>
        </w:tc>
        <w:tc>
          <w:tcPr>
            <w:tcW w:type="dxa" w:w="145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Waarde</w:t>
            </w:r>
          </w:p>
        </w:tc>
        <w:tc>
          <w:tcPr>
            <w:tcW w:type="dxa" w:w="521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Gevolg</w:t>
            </w:r>
          </w:p>
        </w:tc>
      </w:tr>
      <w:tr>
        <w:tc>
          <w:tcPr>
            <w:tcW w:type="dxa" w:w="2700"/>
            <w:tcMar>
              <w:top w:w="80" w:type="dxa"/>
              <w:bottom w:w="80" w:type="dxa"/>
              <w:start w:w="120" w:type="dxa"/>
              <w:end w:w="120" w:type="dxa"/>
            </w:tcMar>
            <w:vAlign w:val="center"/>
          </w:tcPr>
          <w:p>
            <w:pPr>
              <w:spacing w:before="0" w:after="20" w:line="259" w:lineRule="auto"/>
            </w:pPr>
            <w:r>
              <w:rPr>
                <w:rFonts w:ascii="Calibri" w:hAnsi="Calibri"/>
                <w:color w:val="202428"/>
                <w:sz w:val="17"/>
              </w:rPr>
              <w:t>RequireUniqueEmail</w:t>
            </w:r>
          </w:p>
        </w:tc>
        <w:tc>
          <w:tcPr>
            <w:tcW w:type="dxa" w:w="1450"/>
            <w:tcMar>
              <w:top w:w="80" w:type="dxa"/>
              <w:bottom w:w="80" w:type="dxa"/>
              <w:start w:w="120" w:type="dxa"/>
              <w:end w:w="120" w:type="dxa"/>
            </w:tcMar>
            <w:vAlign w:val="center"/>
          </w:tcPr>
          <w:p>
            <w:pPr>
              <w:spacing w:before="0" w:after="20" w:line="259" w:lineRule="auto"/>
            </w:pPr>
            <w:r>
              <w:rPr>
                <w:rFonts w:ascii="Calibri" w:hAnsi="Calibri"/>
                <w:color w:val="202428"/>
                <w:sz w:val="17"/>
              </w:rPr>
              <w:t>true</w:t>
            </w:r>
          </w:p>
        </w:tc>
        <w:tc>
          <w:tcPr>
            <w:tcW w:type="dxa" w:w="5210"/>
            <w:tcMar>
              <w:top w:w="80" w:type="dxa"/>
              <w:bottom w:w="80" w:type="dxa"/>
              <w:start w:w="120" w:type="dxa"/>
              <w:end w:w="120" w:type="dxa"/>
            </w:tcMar>
            <w:vAlign w:val="center"/>
          </w:tcPr>
          <w:p>
            <w:pPr>
              <w:spacing w:before="0" w:after="20" w:line="259" w:lineRule="auto"/>
            </w:pPr>
            <w:r>
              <w:rPr>
                <w:rFonts w:ascii="Calibri" w:hAnsi="Calibri"/>
                <w:color w:val="202428"/>
                <w:sz w:val="17"/>
              </w:rPr>
              <w:t>Eén genormaliseerd e-mailadres per account</w:t>
            </w:r>
          </w:p>
        </w:tc>
      </w:tr>
      <w:tr>
        <w:tc>
          <w:tcPr>
            <w:tcW w:type="dxa" w:w="2700"/>
            <w:tcMar>
              <w:top w:w="80" w:type="dxa"/>
              <w:bottom w:w="80" w:type="dxa"/>
              <w:start w:w="120" w:type="dxa"/>
              <w:end w:w="120" w:type="dxa"/>
            </w:tcMar>
            <w:vAlign w:val="center"/>
          </w:tcPr>
          <w:p>
            <w:pPr>
              <w:spacing w:before="0" w:after="20" w:line="259" w:lineRule="auto"/>
            </w:pPr>
            <w:r>
              <w:rPr>
                <w:rFonts w:ascii="Calibri" w:hAnsi="Calibri"/>
                <w:color w:val="202428"/>
                <w:sz w:val="17"/>
              </w:rPr>
              <w:t>RequiredLength</w:t>
            </w:r>
          </w:p>
        </w:tc>
        <w:tc>
          <w:tcPr>
            <w:tcW w:type="dxa" w:w="1450"/>
            <w:tcMar>
              <w:top w:w="80" w:type="dxa"/>
              <w:bottom w:w="80" w:type="dxa"/>
              <w:start w:w="120" w:type="dxa"/>
              <w:end w:w="120" w:type="dxa"/>
            </w:tcMar>
            <w:vAlign w:val="center"/>
          </w:tcPr>
          <w:p>
            <w:pPr>
              <w:spacing w:before="0" w:after="20" w:line="259" w:lineRule="auto"/>
            </w:pPr>
            <w:r>
              <w:rPr>
                <w:rFonts w:ascii="Calibri" w:hAnsi="Calibri"/>
                <w:color w:val="202428"/>
                <w:sz w:val="17"/>
              </w:rPr>
              <w:t>12</w:t>
            </w:r>
          </w:p>
        </w:tc>
        <w:tc>
          <w:tcPr>
            <w:tcW w:type="dxa" w:w="5210"/>
            <w:tcMar>
              <w:top w:w="80" w:type="dxa"/>
              <w:bottom w:w="80" w:type="dxa"/>
              <w:start w:w="120" w:type="dxa"/>
              <w:end w:w="120" w:type="dxa"/>
            </w:tcMar>
            <w:vAlign w:val="center"/>
          </w:tcPr>
          <w:p>
            <w:pPr>
              <w:spacing w:before="0" w:after="20" w:line="259" w:lineRule="auto"/>
            </w:pPr>
            <w:r>
              <w:rPr>
                <w:rFonts w:ascii="Calibri" w:hAnsi="Calibri"/>
                <w:color w:val="202428"/>
                <w:sz w:val="17"/>
              </w:rPr>
              <w:t>Wachtwoord heeft minstens 12 tekens</w:t>
            </w:r>
          </w:p>
        </w:tc>
      </w:tr>
      <w:tr>
        <w:tc>
          <w:tcPr>
            <w:tcW w:type="dxa" w:w="2700"/>
            <w:tcMar>
              <w:top w:w="80" w:type="dxa"/>
              <w:bottom w:w="80" w:type="dxa"/>
              <w:start w:w="120" w:type="dxa"/>
              <w:end w:w="120" w:type="dxa"/>
            </w:tcMar>
            <w:vAlign w:val="center"/>
          </w:tcPr>
          <w:p>
            <w:pPr>
              <w:spacing w:before="0" w:after="20" w:line="259" w:lineRule="auto"/>
            </w:pPr>
            <w:r>
              <w:rPr>
                <w:rFonts w:ascii="Calibri" w:hAnsi="Calibri"/>
                <w:color w:val="202428"/>
                <w:sz w:val="17"/>
              </w:rPr>
              <w:t>Upper/Lower/Digit/Symbol</w:t>
            </w:r>
          </w:p>
        </w:tc>
        <w:tc>
          <w:tcPr>
            <w:tcW w:type="dxa" w:w="1450"/>
            <w:tcMar>
              <w:top w:w="80" w:type="dxa"/>
              <w:bottom w:w="80" w:type="dxa"/>
              <w:start w:w="120" w:type="dxa"/>
              <w:end w:w="120" w:type="dxa"/>
            </w:tcMar>
            <w:vAlign w:val="center"/>
          </w:tcPr>
          <w:p>
            <w:pPr>
              <w:spacing w:before="0" w:after="20" w:line="259" w:lineRule="auto"/>
            </w:pPr>
            <w:r>
              <w:rPr>
                <w:rFonts w:ascii="Calibri" w:hAnsi="Calibri"/>
                <w:color w:val="202428"/>
                <w:sz w:val="17"/>
              </w:rPr>
              <w:t>alle true</w:t>
            </w:r>
          </w:p>
        </w:tc>
        <w:tc>
          <w:tcPr>
            <w:tcW w:type="dxa" w:w="5210"/>
            <w:tcMar>
              <w:top w:w="80" w:type="dxa"/>
              <w:bottom w:w="80" w:type="dxa"/>
              <w:start w:w="120" w:type="dxa"/>
              <w:end w:w="120" w:type="dxa"/>
            </w:tcMar>
            <w:vAlign w:val="center"/>
          </w:tcPr>
          <w:p>
            <w:pPr>
              <w:spacing w:before="0" w:after="20" w:line="259" w:lineRule="auto"/>
            </w:pPr>
            <w:r>
              <w:rPr>
                <w:rFonts w:ascii="Calibri" w:hAnsi="Calibri"/>
                <w:color w:val="202428"/>
                <w:sz w:val="17"/>
              </w:rPr>
              <w:t>Complexiteitsregels worden door UserManager gevalideerd</w:t>
            </w:r>
          </w:p>
        </w:tc>
      </w:tr>
      <w:tr>
        <w:tc>
          <w:tcPr>
            <w:tcW w:type="dxa" w:w="2700"/>
            <w:tcMar>
              <w:top w:w="80" w:type="dxa"/>
              <w:bottom w:w="80" w:type="dxa"/>
              <w:start w:w="120" w:type="dxa"/>
              <w:end w:w="120" w:type="dxa"/>
            </w:tcMar>
            <w:vAlign w:val="center"/>
          </w:tcPr>
          <w:p>
            <w:pPr>
              <w:spacing w:before="0" w:after="20" w:line="259" w:lineRule="auto"/>
            </w:pPr>
            <w:r>
              <w:rPr>
                <w:rFonts w:ascii="Calibri" w:hAnsi="Calibri"/>
                <w:color w:val="202428"/>
                <w:sz w:val="17"/>
              </w:rPr>
              <w:t>RequiredUniqueChars</w:t>
            </w:r>
          </w:p>
        </w:tc>
        <w:tc>
          <w:tcPr>
            <w:tcW w:type="dxa" w:w="1450"/>
            <w:tcMar>
              <w:top w:w="80" w:type="dxa"/>
              <w:bottom w:w="80" w:type="dxa"/>
              <w:start w:w="120" w:type="dxa"/>
              <w:end w:w="120" w:type="dxa"/>
            </w:tcMar>
            <w:vAlign w:val="center"/>
          </w:tcPr>
          <w:p>
            <w:pPr>
              <w:spacing w:before="0" w:after="20" w:line="259" w:lineRule="auto"/>
            </w:pPr>
            <w:r>
              <w:rPr>
                <w:rFonts w:ascii="Calibri" w:hAnsi="Calibri"/>
                <w:color w:val="202428"/>
                <w:sz w:val="17"/>
              </w:rPr>
              <w:t>4</w:t>
            </w:r>
          </w:p>
        </w:tc>
        <w:tc>
          <w:tcPr>
            <w:tcW w:type="dxa" w:w="5210"/>
            <w:tcMar>
              <w:top w:w="80" w:type="dxa"/>
              <w:bottom w:w="80" w:type="dxa"/>
              <w:start w:w="120" w:type="dxa"/>
              <w:end w:w="120" w:type="dxa"/>
            </w:tcMar>
            <w:vAlign w:val="center"/>
          </w:tcPr>
          <w:p>
            <w:pPr>
              <w:spacing w:before="0" w:after="20" w:line="259" w:lineRule="auto"/>
            </w:pPr>
            <w:r>
              <w:rPr>
                <w:rFonts w:ascii="Calibri" w:hAnsi="Calibri"/>
                <w:color w:val="202428"/>
                <w:sz w:val="17"/>
              </w:rPr>
              <w:t>Herhaling alleen volstaat niet</w:t>
            </w:r>
          </w:p>
        </w:tc>
      </w:tr>
      <w:tr>
        <w:tc>
          <w:tcPr>
            <w:tcW w:type="dxa" w:w="2700"/>
            <w:tcMar>
              <w:top w:w="80" w:type="dxa"/>
              <w:bottom w:w="80" w:type="dxa"/>
              <w:start w:w="120" w:type="dxa"/>
              <w:end w:w="120" w:type="dxa"/>
            </w:tcMar>
            <w:vAlign w:val="center"/>
          </w:tcPr>
          <w:p>
            <w:pPr>
              <w:spacing w:before="0" w:after="20" w:line="259" w:lineRule="auto"/>
            </w:pPr>
            <w:r>
              <w:rPr>
                <w:rFonts w:ascii="Calibri" w:hAnsi="Calibri"/>
                <w:color w:val="202428"/>
                <w:sz w:val="17"/>
              </w:rPr>
              <w:t>MaxFailedAccessAttempts</w:t>
            </w:r>
          </w:p>
        </w:tc>
        <w:tc>
          <w:tcPr>
            <w:tcW w:type="dxa" w:w="1450"/>
            <w:tcMar>
              <w:top w:w="80" w:type="dxa"/>
              <w:bottom w:w="80" w:type="dxa"/>
              <w:start w:w="120" w:type="dxa"/>
              <w:end w:w="120" w:type="dxa"/>
            </w:tcMar>
            <w:vAlign w:val="center"/>
          </w:tcPr>
          <w:p>
            <w:pPr>
              <w:spacing w:before="0" w:after="20" w:line="259" w:lineRule="auto"/>
            </w:pPr>
            <w:r>
              <w:rPr>
                <w:rFonts w:ascii="Calibri" w:hAnsi="Calibri"/>
                <w:color w:val="202428"/>
                <w:sz w:val="17"/>
              </w:rPr>
              <w:t>5</w:t>
            </w:r>
          </w:p>
        </w:tc>
        <w:tc>
          <w:tcPr>
            <w:tcW w:type="dxa" w:w="5210"/>
            <w:tcMar>
              <w:top w:w="80" w:type="dxa"/>
              <w:bottom w:w="80" w:type="dxa"/>
              <w:start w:w="120" w:type="dxa"/>
              <w:end w:w="120" w:type="dxa"/>
            </w:tcMar>
            <w:vAlign w:val="center"/>
          </w:tcPr>
          <w:p>
            <w:pPr>
              <w:spacing w:before="0" w:after="20" w:line="259" w:lineRule="auto"/>
            </w:pPr>
            <w:r>
              <w:rPr>
                <w:rFonts w:ascii="Calibri" w:hAnsi="Calibri"/>
                <w:color w:val="202428"/>
                <w:sz w:val="17"/>
              </w:rPr>
              <w:t>Vijf foute logins activeren lockout</w:t>
            </w:r>
          </w:p>
        </w:tc>
      </w:tr>
      <w:tr>
        <w:tc>
          <w:tcPr>
            <w:tcW w:type="dxa" w:w="2700"/>
            <w:tcMar>
              <w:top w:w="80" w:type="dxa"/>
              <w:bottom w:w="80" w:type="dxa"/>
              <w:start w:w="120" w:type="dxa"/>
              <w:end w:w="120" w:type="dxa"/>
            </w:tcMar>
            <w:vAlign w:val="center"/>
          </w:tcPr>
          <w:p>
            <w:pPr>
              <w:spacing w:before="0" w:after="20" w:line="259" w:lineRule="auto"/>
            </w:pPr>
            <w:r>
              <w:rPr>
                <w:rFonts w:ascii="Calibri" w:hAnsi="Calibri"/>
                <w:color w:val="202428"/>
                <w:sz w:val="17"/>
              </w:rPr>
              <w:t>DefaultLockoutTimeSpan</w:t>
            </w:r>
          </w:p>
        </w:tc>
        <w:tc>
          <w:tcPr>
            <w:tcW w:type="dxa" w:w="1450"/>
            <w:tcMar>
              <w:top w:w="80" w:type="dxa"/>
              <w:bottom w:w="80" w:type="dxa"/>
              <w:start w:w="120" w:type="dxa"/>
              <w:end w:w="120" w:type="dxa"/>
            </w:tcMar>
            <w:vAlign w:val="center"/>
          </w:tcPr>
          <w:p>
            <w:pPr>
              <w:spacing w:before="0" w:after="20" w:line="259" w:lineRule="auto"/>
            </w:pPr>
            <w:r>
              <w:rPr>
                <w:rFonts w:ascii="Calibri" w:hAnsi="Calibri"/>
                <w:color w:val="202428"/>
                <w:sz w:val="17"/>
              </w:rPr>
              <w:t>15 min</w:t>
            </w:r>
          </w:p>
        </w:tc>
        <w:tc>
          <w:tcPr>
            <w:tcW w:type="dxa" w:w="5210"/>
            <w:tcMar>
              <w:top w:w="80" w:type="dxa"/>
              <w:bottom w:w="80" w:type="dxa"/>
              <w:start w:w="120" w:type="dxa"/>
              <w:end w:w="120" w:type="dxa"/>
            </w:tcMar>
            <w:vAlign w:val="center"/>
          </w:tcPr>
          <w:p>
            <w:pPr>
              <w:spacing w:before="0" w:after="20" w:line="259" w:lineRule="auto"/>
            </w:pPr>
            <w:r>
              <w:rPr>
                <w:rFonts w:ascii="Calibri" w:hAnsi="Calibri"/>
                <w:color w:val="202428"/>
                <w:sz w:val="17"/>
              </w:rPr>
              <w:t>Tijdelijke blokkering</w:t>
            </w:r>
          </w:p>
        </w:tc>
      </w:tr>
      <w:tr>
        <w:tc>
          <w:tcPr>
            <w:tcW w:type="dxa" w:w="2700"/>
            <w:tcMar>
              <w:top w:w="80" w:type="dxa"/>
              <w:bottom w:w="80" w:type="dxa"/>
              <w:start w:w="120" w:type="dxa"/>
              <w:end w:w="120" w:type="dxa"/>
            </w:tcMar>
            <w:vAlign w:val="center"/>
          </w:tcPr>
          <w:p>
            <w:pPr>
              <w:spacing w:before="0" w:after="20" w:line="259" w:lineRule="auto"/>
            </w:pPr>
            <w:r>
              <w:rPr>
                <w:rFonts w:ascii="Calibri" w:hAnsi="Calibri"/>
                <w:color w:val="202428"/>
                <w:sz w:val="17"/>
              </w:rPr>
              <w:t>RequireConfirmedEmail</w:t>
            </w:r>
          </w:p>
        </w:tc>
        <w:tc>
          <w:tcPr>
            <w:tcW w:type="dxa" w:w="1450"/>
            <w:tcMar>
              <w:top w:w="80" w:type="dxa"/>
              <w:bottom w:w="80" w:type="dxa"/>
              <w:start w:w="120" w:type="dxa"/>
              <w:end w:w="120" w:type="dxa"/>
            </w:tcMar>
            <w:vAlign w:val="center"/>
          </w:tcPr>
          <w:p>
            <w:pPr>
              <w:spacing w:before="0" w:after="20" w:line="259" w:lineRule="auto"/>
            </w:pPr>
            <w:r>
              <w:rPr>
                <w:rFonts w:ascii="Calibri" w:hAnsi="Calibri"/>
                <w:color w:val="202428"/>
                <w:sz w:val="17"/>
              </w:rPr>
              <w:t>false</w:t>
            </w:r>
          </w:p>
        </w:tc>
        <w:tc>
          <w:tcPr>
            <w:tcW w:type="dxa" w:w="5210"/>
            <w:tcMar>
              <w:top w:w="80" w:type="dxa"/>
              <w:bottom w:w="80" w:type="dxa"/>
              <w:start w:w="120" w:type="dxa"/>
              <w:end w:w="120" w:type="dxa"/>
            </w:tcMar>
            <w:vAlign w:val="center"/>
          </w:tcPr>
          <w:p>
            <w:pPr>
              <w:spacing w:before="0" w:after="20" w:line="259" w:lineRule="auto"/>
            </w:pPr>
            <w:r>
              <w:rPr>
                <w:rFonts w:ascii="Calibri" w:hAnsi="Calibri"/>
                <w:color w:val="202428"/>
                <w:sz w:val="17"/>
              </w:rPr>
              <w:t>Login kan zonder e-mailbevestiging; tijdelijk MVP-besluit</w:t>
            </w:r>
          </w:p>
        </w:tc>
      </w:tr>
    </w:tbl>
    <w:p>
      <w:pPr>
        <w:spacing w:after="40"/>
      </w:pPr>
    </w:p>
    <w:p>
      <w:r>
        <w:t>AddEntityFrameworkStores&lt;MiraContext&gt;() vertelt Identity dat gebruikers, rollen, claims en tokens via EF Core in dezelfde database worden bewaard. AddDefaultTokenProviders() registreert cryptografische providers voor onder meer wachtwoordreset, e-mailbevestiging en twee-factorcodes; de huidige controllers gebruiken die flows nog niet.</w:t>
      </w:r>
    </w:p>
    <w:p>
      <w:pPr>
        <w:pStyle w:val="Heading2"/>
      </w:pPr>
      <w:r>
        <w:t>4. Authenticatiecookie</w:t>
      </w:r>
    </w:p>
    <w:p>
      <w:pPr>
        <w:pStyle w:val="CodeBlock"/>
        <w:shd w:fill="F6F8FA"/>
        <w:pBdr>
          <w:left w:val="single" w:sz="8" w:space="8" w:color="AAB7C4"/>
        </w:pBdr>
      </w:pPr>
      <w:r>
        <w:rPr>
          <w:rFonts w:ascii="Consolas" w:hAnsi="Consolas"/>
          <w:color w:val="15202B"/>
          <w:sz w:val="16"/>
        </w:rPr>
        <w:t>options.Cookie.Name = "Mira.Auth";</w:t>
        <w:br/>
      </w:r>
      <w:r>
        <w:rPr>
          <w:rFonts w:ascii="Consolas" w:hAnsi="Consolas"/>
          <w:color w:val="15202B"/>
          <w:sz w:val="16"/>
        </w:rPr>
        <w:t>options.Cookie.HttpOnly = true;</w:t>
        <w:br/>
      </w:r>
      <w:r>
        <w:rPr>
          <w:rFonts w:ascii="Consolas" w:hAnsi="Consolas"/>
          <w:color w:val="15202B"/>
          <w:sz w:val="16"/>
        </w:rPr>
        <w:t>options.Cookie.SecurePolicy = CookieSecurePolicy.Always;</w:t>
        <w:br/>
      </w:r>
      <w:r>
        <w:rPr>
          <w:rFonts w:ascii="Consolas" w:hAnsi="Consolas"/>
          <w:color w:val="15202B"/>
          <w:sz w:val="16"/>
        </w:rPr>
        <w:t>options.ExpireTimeSpan = TimeSpan.FromHours(8);</w:t>
        <w:br/>
      </w:r>
      <w:r>
        <w:rPr>
          <w:rFonts w:ascii="Consolas" w:hAnsi="Consolas"/>
          <w:color w:val="15202B"/>
          <w:sz w:val="16"/>
        </w:rPr>
        <w:t>options.SlidingExpiration = true;</w:t>
      </w:r>
    </w:p>
    <w:p>
      <w:r>
        <w:t>HttpOnly verhindert dat normale JavaScriptcode de authenticatiecookie leest. SecurePolicy.Always verstuurt hem alleen via HTTPS. SlidingExpiration vernieuwt de geldigheidsduur wanneer een actieve sessie voldoende oud is. De redirect-events zetten 401 of 403 in plaats van een HTML-loginredirect, wat correct gedrag is voor een JSON-API.</w:t>
      </w:r>
    </w:p>
    <w:p>
      <w:pPr>
        <w:pStyle w:val="Callout"/>
        <w:shd w:fill="FFF6D9"/>
        <w:pBdr>
          <w:left w:val="single" w:sz="18" w:space="8" w:color="9A6700"/>
        </w:pBdr>
      </w:pPr>
      <w:r>
        <w:rPr>
          <w:rFonts w:ascii="Calibri" w:hAnsi="Calibri"/>
          <w:b/>
          <w:color w:val="9A6700"/>
          <w:sz w:val="21"/>
        </w:rPr>
        <w:t xml:space="preserve">Ontwikkelval: </w:t>
      </w:r>
      <w:r>
        <w:rPr>
          <w:rFonts w:ascii="Calibri" w:hAnsi="Calibri"/>
          <w:color w:val="202428"/>
          <w:sz w:val="21"/>
        </w:rPr>
        <w:t>Via http://localhost:5155 kan een Secure-cookie niet worden gezet of teruggestuurd. Gebruik voor de echte authflow https://localhost:7082. De HTTP-profile is nuttig voor eenvoudige publieke GET-tests, niet voor sessieauthenticatie.</w:t>
      </w:r>
    </w:p>
    <w:p>
      <w:pPr>
        <w:pStyle w:val="Heading2"/>
      </w:pPr>
      <w:r>
        <w:t>5. Fallback-autorisatie</w:t>
      </w:r>
    </w:p>
    <w:p>
      <w:r>
        <w:t>SetFallbackPolicy(new AuthorizationPolicyBuilder().RequireAuthenticatedUser().Build()) betekent dat ieder endpoint standaard een ingelogde gebruiker vereist. Alleen actions met [AllowAnonymous], momenteel register, login en antiforgery, zijn publiek. Dit is veiliger dan op elke nieuwe controller handmatig [Authorize] moeten onthouden.</w:t>
      </w:r>
    </w:p>
    <w:p>
      <w:pPr>
        <w:pStyle w:val="Heading2"/>
      </w:pPr>
      <w:r>
        <w:t>6. CORS</w:t>
      </w:r>
    </w:p>
    <w:p>
      <w:r>
        <w:t>WithOrigins(frontendOrigin) staat precies de Angular-origin toe. AllowCredentials is noodzakelijk omdat de browser de Mira.Auth- en Mira.Xsrf-cookies moet meesturen. AllowAnyHeader laat onder meer X-XSRF-TOKEN toe. CORS is géén autorisatie: niet-browserclients worden er niet door tegengehouden en daarom blijft elke repositoryquery op UserId filteren.</w:t>
      </w:r>
    </w:p>
    <w:p>
      <w:pPr>
        <w:pStyle w:val="Heading2"/>
      </w:pPr>
      <w:r>
        <w:t>7. Antiforgery en MVC-filter</w:t>
      </w:r>
    </w:p>
    <w:p>
      <w:r>
        <w:t>AddAntiforgery configureert de headernaam en cookie-eigenschappen. AutoValidateAntiforgeryTokenAttribute wordt globaal aan MVC toegevoegd en valideert automatisch onveilige methodes. [AllowAnonymous] omzeilt alleen autorisatie, niet antiforgery. Daarom hebben ook register en login eerst een token nodig.</w:t>
      </w:r>
    </w:p>
    <w:p>
      <w:pPr>
        <w:pStyle w:val="Heading2"/>
      </w:pPr>
      <w:r>
        <w:t>8. ProblemDetails en uploadopties</w:t>
      </w:r>
    </w:p>
    <w:p>
      <w:r>
        <w:t>AddProblemDetails levert consistente foutobjecten en voegt traceId toe. DocumentUploadOptions bepaalt de maximale bestandsgrootte. FormOptions.MultipartBodyLengthLimit ligt één megabyte hoger om multipartheaders naast het bestand toe te laten. LocalFileStorageOptions krijgt een absoluut pad dat vanuit ContentRootPath wordt afgeleid.</w:t>
      </w:r>
    </w:p>
    <w:p>
      <w:pPr>
        <w:pStyle w:val="Heading2"/>
      </w:pPr>
      <w:r>
        <w:t>9. Servicelevensduur</w:t>
      </w:r>
    </w:p>
    <w:tbl>
      <w:tblPr>
        <w:tblStyle w:val="TableGrid"/>
        <w:tblLook w:firstColumn="1" w:firstRow="1" w:lastColumn="0" w:lastRow="0" w:noHBand="0" w:noVBand="1" w:val="04A0"/>
        <w:jc w:val="left"/>
        <w:tblW w:w="9360" w:type="dxa"/>
        <w:tblInd w:w="120" w:type="dxa"/>
        <w:tblLayout w:type="fixed"/>
      </w:tblPr>
      <w:tblGrid>
        <w:gridCol w:w="3000"/>
        <w:gridCol w:w="1500"/>
        <w:gridCol w:w="4860"/>
      </w:tblGrid>
      <w:tr>
        <w:trPr>
          <w:tblHeader w:val="true"/>
        </w:trPr>
        <w:tc>
          <w:tcPr>
            <w:tcW w:type="dxa" w:w="300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Service</w:t>
            </w:r>
          </w:p>
        </w:tc>
        <w:tc>
          <w:tcPr>
            <w:tcW w:type="dxa" w:w="150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Levensduur</w:t>
            </w:r>
          </w:p>
        </w:tc>
        <w:tc>
          <w:tcPr>
            <w:tcW w:type="dxa" w:w="486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Reden</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MiraContext</w:t>
            </w:r>
          </w:p>
        </w:tc>
        <w:tc>
          <w:tcPr>
            <w:tcW w:type="dxa" w:w="1500"/>
            <w:tcMar>
              <w:top w:w="80" w:type="dxa"/>
              <w:bottom w:w="80" w:type="dxa"/>
              <w:start w:w="120" w:type="dxa"/>
              <w:end w:w="120" w:type="dxa"/>
            </w:tcMar>
            <w:vAlign w:val="center"/>
          </w:tcPr>
          <w:p>
            <w:pPr>
              <w:spacing w:before="0" w:after="20" w:line="259" w:lineRule="auto"/>
            </w:pPr>
            <w:r>
              <w:rPr>
                <w:rFonts w:ascii="Calibri" w:hAnsi="Calibri"/>
                <w:color w:val="202428"/>
                <w:sz w:val="18"/>
              </w:rPr>
              <w:t>Scoped</w:t>
            </w:r>
          </w:p>
        </w:tc>
        <w:tc>
          <w:tcPr>
            <w:tcW w:type="dxa" w:w="4860"/>
            <w:tcMar>
              <w:top w:w="80" w:type="dxa"/>
              <w:bottom w:w="80" w:type="dxa"/>
              <w:start w:w="120" w:type="dxa"/>
              <w:end w:w="120" w:type="dxa"/>
            </w:tcMar>
            <w:vAlign w:val="center"/>
          </w:tcPr>
          <w:p>
            <w:pPr>
              <w:spacing w:before="0" w:after="20" w:line="259" w:lineRule="auto"/>
            </w:pPr>
            <w:r>
              <w:rPr>
                <w:rFonts w:ascii="Calibri" w:hAnsi="Calibri"/>
                <w:color w:val="202428"/>
                <w:sz w:val="18"/>
              </w:rPr>
              <w:t>Change tracker hoort bij één request/unit of work</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Repositories</w:t>
            </w:r>
          </w:p>
        </w:tc>
        <w:tc>
          <w:tcPr>
            <w:tcW w:type="dxa" w:w="1500"/>
            <w:tcMar>
              <w:top w:w="80" w:type="dxa"/>
              <w:bottom w:w="80" w:type="dxa"/>
              <w:start w:w="120" w:type="dxa"/>
              <w:end w:w="120" w:type="dxa"/>
            </w:tcMar>
            <w:vAlign w:val="center"/>
          </w:tcPr>
          <w:p>
            <w:pPr>
              <w:spacing w:before="0" w:after="20" w:line="259" w:lineRule="auto"/>
            </w:pPr>
            <w:r>
              <w:rPr>
                <w:rFonts w:ascii="Calibri" w:hAnsi="Calibri"/>
                <w:color w:val="202428"/>
                <w:sz w:val="18"/>
              </w:rPr>
              <w:t>Scoped</w:t>
            </w:r>
          </w:p>
        </w:tc>
        <w:tc>
          <w:tcPr>
            <w:tcW w:type="dxa" w:w="4860"/>
            <w:tcMar>
              <w:top w:w="80" w:type="dxa"/>
              <w:bottom w:w="80" w:type="dxa"/>
              <w:start w:w="120" w:type="dxa"/>
              <w:end w:w="120" w:type="dxa"/>
            </w:tcMar>
            <w:vAlign w:val="center"/>
          </w:tcPr>
          <w:p>
            <w:pPr>
              <w:spacing w:before="0" w:after="20" w:line="259" w:lineRule="auto"/>
            </w:pPr>
            <w:r>
              <w:rPr>
                <w:rFonts w:ascii="Calibri" w:hAnsi="Calibri"/>
                <w:color w:val="202428"/>
                <w:sz w:val="18"/>
              </w:rPr>
              <w:t>Gebruiken dezelfde scoped context</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DocumentUploadValidator</w:t>
            </w:r>
          </w:p>
        </w:tc>
        <w:tc>
          <w:tcPr>
            <w:tcW w:type="dxa" w:w="1500"/>
            <w:tcMar>
              <w:top w:w="80" w:type="dxa"/>
              <w:bottom w:w="80" w:type="dxa"/>
              <w:start w:w="120" w:type="dxa"/>
              <w:end w:w="120" w:type="dxa"/>
            </w:tcMar>
            <w:vAlign w:val="center"/>
          </w:tcPr>
          <w:p>
            <w:pPr>
              <w:spacing w:before="0" w:after="20" w:line="259" w:lineRule="auto"/>
            </w:pPr>
            <w:r>
              <w:rPr>
                <w:rFonts w:ascii="Calibri" w:hAnsi="Calibri"/>
                <w:color w:val="202428"/>
                <w:sz w:val="18"/>
              </w:rPr>
              <w:t>Scoped</w:t>
            </w:r>
          </w:p>
        </w:tc>
        <w:tc>
          <w:tcPr>
            <w:tcW w:type="dxa" w:w="4860"/>
            <w:tcMar>
              <w:top w:w="80" w:type="dxa"/>
              <w:bottom w:w="80" w:type="dxa"/>
              <w:start w:w="120" w:type="dxa"/>
              <w:end w:w="120" w:type="dxa"/>
            </w:tcMar>
            <w:vAlign w:val="center"/>
          </w:tcPr>
          <w:p>
            <w:pPr>
              <w:spacing w:before="0" w:after="20" w:line="259" w:lineRule="auto"/>
            </w:pPr>
            <w:r>
              <w:rPr>
                <w:rFonts w:ascii="Calibri" w:hAnsi="Calibri"/>
                <w:color w:val="202428"/>
                <w:sz w:val="18"/>
              </w:rPr>
              <w:t>Lichte requestservice; houdt geen globale toestand</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LocalPrivateFileStorage</w:t>
            </w:r>
          </w:p>
        </w:tc>
        <w:tc>
          <w:tcPr>
            <w:tcW w:type="dxa" w:w="1500"/>
            <w:tcMar>
              <w:top w:w="80" w:type="dxa"/>
              <w:bottom w:w="80" w:type="dxa"/>
              <w:start w:w="120" w:type="dxa"/>
              <w:end w:w="120" w:type="dxa"/>
            </w:tcMar>
            <w:vAlign w:val="center"/>
          </w:tcPr>
          <w:p>
            <w:pPr>
              <w:spacing w:before="0" w:after="20" w:line="259" w:lineRule="auto"/>
            </w:pPr>
            <w:r>
              <w:rPr>
                <w:rFonts w:ascii="Calibri" w:hAnsi="Calibri"/>
                <w:color w:val="202428"/>
                <w:sz w:val="18"/>
              </w:rPr>
              <w:t>Singleton</w:t>
            </w:r>
          </w:p>
        </w:tc>
        <w:tc>
          <w:tcPr>
            <w:tcW w:type="dxa" w:w="4860"/>
            <w:tcMar>
              <w:top w:w="80" w:type="dxa"/>
              <w:bottom w:w="80" w:type="dxa"/>
              <w:start w:w="120" w:type="dxa"/>
              <w:end w:w="120" w:type="dxa"/>
            </w:tcMar>
            <w:vAlign w:val="center"/>
          </w:tcPr>
          <w:p>
            <w:pPr>
              <w:spacing w:before="0" w:after="20" w:line="259" w:lineRule="auto"/>
            </w:pPr>
            <w:r>
              <w:rPr>
                <w:rFonts w:ascii="Calibri" w:hAnsi="Calibri"/>
                <w:color w:val="202428"/>
                <w:sz w:val="18"/>
              </w:rPr>
              <w:t>Stateless rond één geconfigureerde rootmap</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TimeProvider.System</w:t>
            </w:r>
          </w:p>
        </w:tc>
        <w:tc>
          <w:tcPr>
            <w:tcW w:type="dxa" w:w="1500"/>
            <w:tcMar>
              <w:top w:w="80" w:type="dxa"/>
              <w:bottom w:w="80" w:type="dxa"/>
              <w:start w:w="120" w:type="dxa"/>
              <w:end w:w="120" w:type="dxa"/>
            </w:tcMar>
            <w:vAlign w:val="center"/>
          </w:tcPr>
          <w:p>
            <w:pPr>
              <w:spacing w:before="0" w:after="20" w:line="259" w:lineRule="auto"/>
            </w:pPr>
            <w:r>
              <w:rPr>
                <w:rFonts w:ascii="Calibri" w:hAnsi="Calibri"/>
                <w:color w:val="202428"/>
                <w:sz w:val="18"/>
              </w:rPr>
              <w:t>Singleton</w:t>
            </w:r>
          </w:p>
        </w:tc>
        <w:tc>
          <w:tcPr>
            <w:tcW w:type="dxa" w:w="4860"/>
            <w:tcMar>
              <w:top w:w="80" w:type="dxa"/>
              <w:bottom w:w="80" w:type="dxa"/>
              <w:start w:w="120" w:type="dxa"/>
              <w:end w:w="120" w:type="dxa"/>
            </w:tcMar>
            <w:vAlign w:val="center"/>
          </w:tcPr>
          <w:p>
            <w:pPr>
              <w:spacing w:before="0" w:after="20" w:line="259" w:lineRule="auto"/>
            </w:pPr>
            <w:r>
              <w:rPr>
                <w:rFonts w:ascii="Calibri" w:hAnsi="Calibri"/>
                <w:color w:val="202428"/>
                <w:sz w:val="18"/>
              </w:rPr>
              <w:t>Eén klokabstraction, testbaar te vervangen</w:t>
            </w:r>
          </w:p>
        </w:tc>
      </w:tr>
    </w:tbl>
    <w:p>
      <w:pPr>
        <w:spacing w:after="40"/>
      </w:pPr>
    </w:p>
    <w:p>
      <w:pPr>
        <w:pStyle w:val="Heading2"/>
      </w:pPr>
      <w:r>
        <w:t>10. Middlewarevolgorde</w:t>
      </w:r>
    </w:p>
    <w:p>
      <w:r>
        <w:t>Build maakt de app. UseExceptionHandler staat vroeg zodat latere fouten als ProblemDetails eindigen. Swagger draait alleen in development; HSTS alleen buiten development. UseHttpsRedirection komt voor CORS en security. Daarna zetten UseAuthentication en UseAuthorization respectievelijk User en toegangsbeslissingen klaar. MapControllers bouwt de endpointtabel. Run start de server. De partial Program-declaratie maakt WebApplicationFactory-integratietests mogelijk.</w:t>
      </w:r>
    </w:p>
    <w:p>
      <w:bookmarkStart w:id="14" w:name="identity"/>
      <w:pPr>
        <w:pStyle w:val="Heading1"/>
      </w:pPr>
      <w:r>
        <w:t>ASP.NET Core Identity van binnenuit</w:t>
      </w:r>
      <w:bookmarkEnd w:id="14"/>
    </w:p>
    <w:p>
      <w:pPr>
        <w:spacing w:before="0" w:after="80"/>
        <w:jc w:val="right"/>
      </w:pPr>
      <w:hyperlink w:anchor="inhoud">
        <w:r>
          <w:rPr>
            <w:color w:val="2E74B5"/>
            <w:u w:val="single"/>
          </w:rPr>
          <w:t>Terug naar inhoud</w:t>
        </w:r>
      </w:hyperlink>
    </w:p>
    <w:p>
      <w:r>
        <w:t>ApplicationUser erft van IdentityUser&lt;Guid&gt; en voegt momenteel geen extra profielvelden toe. De keuze voor Guid is belangrijk: Items.UserId heeft hetzelfde type als AspNetUsers.Id, waardoor ownershiprelaties rechtstreeks en typeveilig zijn.</w:t>
      </w:r>
    </w:p>
    <w:p>
      <w:pPr>
        <w:keepNext/>
        <w:spacing w:before="100" w:after="60"/>
      </w:pPr>
      <w:r>
        <w:rPr>
          <w:rFonts w:ascii="Calibri" w:hAnsi="Calibri"/>
          <w:b/>
          <w:color w:val="5F6B76"/>
          <w:sz w:val="18"/>
        </w:rPr>
        <w:t>Mira.Infrastructure/Identity/ApplicationUser.cs</w:t>
      </w:r>
    </w:p>
    <w:p>
      <w:pPr>
        <w:pStyle w:val="CodeBlock"/>
        <w:shd w:fill="F6F8FA"/>
        <w:pBdr>
          <w:left w:val="single" w:sz="8" w:space="8" w:color="AAB7C4"/>
        </w:pBdr>
      </w:pPr>
      <w:r>
        <w:rPr>
          <w:rFonts w:ascii="Consolas" w:hAnsi="Consolas"/>
          <w:color w:val="15202B"/>
          <w:sz w:val="16"/>
        </w:rPr>
        <w:t>public sealed class ApplicationUser : IdentityUser&lt;Guid&gt;</w:t>
        <w:br/>
      </w:r>
      <w:r>
        <w:rPr>
          <w:rFonts w:ascii="Consolas" w:hAnsi="Consolas"/>
          <w:color w:val="15202B"/>
          <w:sz w:val="16"/>
        </w:rPr>
        <w:t>{</w:t>
        <w:br/>
      </w:r>
      <w:r>
        <w:rPr>
          <w:rFonts w:ascii="Consolas" w:hAnsi="Consolas"/>
          <w:color w:val="15202B"/>
          <w:sz w:val="16"/>
        </w:rPr>
        <w:t>}</w:t>
      </w:r>
    </w:p>
    <w:p>
      <w:pPr>
        <w:keepNext/>
        <w:spacing w:before="100" w:after="0"/>
        <w:jc w:val="center"/>
      </w:pPr>
      <w:r>
        <w:drawing>
          <wp:inline xmlns:a="http://schemas.openxmlformats.org/drawingml/2006/main" xmlns:pic="http://schemas.openxmlformats.org/drawingml/2006/picture">
            <wp:extent cx="5715000" cy="3214688"/>
            <wp:docPr id="3" name="Picture 3" descr="Sequentiediagram van Browser, AuthController en Identity/SQL tijdens registratie en daaropvolgende me-request."/>
            <wp:cNvGraphicFramePr>
              <a:graphicFrameLocks noChangeAspect="1"/>
            </wp:cNvGraphicFramePr>
            <a:graphic>
              <a:graphicData uri="http://schemas.openxmlformats.org/drawingml/2006/picture">
                <pic:pic>
                  <pic:nvPicPr>
                    <pic:cNvPr id="0" name="identity-sequence.png"/>
                    <pic:cNvPicPr/>
                  </pic:nvPicPr>
                  <pic:blipFill>
                    <a:blip r:embed="rId15"/>
                    <a:stretch>
                      <a:fillRect/>
                    </a:stretch>
                  </pic:blipFill>
                  <pic:spPr>
                    <a:xfrm>
                      <a:off x="0" y="0"/>
                      <a:ext cx="5715000" cy="3214688"/>
                    </a:xfrm>
                    <a:prstGeom prst="rect"/>
                  </pic:spPr>
                </pic:pic>
              </a:graphicData>
            </a:graphic>
          </wp:inline>
        </w:drawing>
      </w:r>
    </w:p>
    <w:p>
      <w:pPr>
        <w:pStyle w:val="Caption"/>
      </w:pPr>
      <w:r>
        <w:t>Figuur 3. Identity bewaart de gebruiker en geeft de browser daarna een beveiligde sessiecookie.</w:t>
      </w:r>
    </w:p>
    <w:p>
      <w:pPr>
        <w:pStyle w:val="Heading2"/>
      </w:pPr>
      <w:r>
        <w:t>Belangrijkste IdentityUser-velden</w:t>
      </w:r>
    </w:p>
    <w:tbl>
      <w:tblPr>
        <w:tblStyle w:val="TableGrid"/>
        <w:tblLook w:firstColumn="1" w:firstRow="1" w:lastColumn="0" w:lastRow="0" w:noHBand="0" w:noVBand="1" w:val="04A0"/>
        <w:jc w:val="left"/>
        <w:tblW w:w="9360" w:type="dxa"/>
        <w:tblInd w:w="120" w:type="dxa"/>
        <w:tblLayout w:type="fixed"/>
      </w:tblPr>
      <w:tblGrid>
        <w:gridCol w:w="2800"/>
        <w:gridCol w:w="6560"/>
      </w:tblGrid>
      <w:tr>
        <w:trPr>
          <w:tblHeader w:val="true"/>
        </w:trPr>
        <w:tc>
          <w:tcPr>
            <w:tcW w:type="dxa" w:w="280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Veld</w:t>
            </w:r>
          </w:p>
        </w:tc>
        <w:tc>
          <w:tcPr>
            <w:tcW w:type="dxa" w:w="656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Doel</w:t>
            </w:r>
          </w:p>
        </w:tc>
      </w:tr>
      <w:tr>
        <w:tc>
          <w:tcPr>
            <w:tcW w:type="dxa" w:w="2800"/>
            <w:tcMar>
              <w:top w:w="80" w:type="dxa"/>
              <w:bottom w:w="80" w:type="dxa"/>
              <w:start w:w="120" w:type="dxa"/>
              <w:end w:w="120" w:type="dxa"/>
            </w:tcMar>
            <w:vAlign w:val="center"/>
          </w:tcPr>
          <w:p>
            <w:pPr>
              <w:spacing w:before="0" w:after="20" w:line="259" w:lineRule="auto"/>
            </w:pPr>
            <w:r>
              <w:rPr>
                <w:rFonts w:ascii="Calibri" w:hAnsi="Calibri"/>
                <w:color w:val="202428"/>
                <w:sz w:val="18"/>
              </w:rPr>
              <w:t>Id</w:t>
            </w:r>
          </w:p>
        </w:tc>
        <w:tc>
          <w:tcPr>
            <w:tcW w:type="dxa" w:w="6560"/>
            <w:tcMar>
              <w:top w:w="80" w:type="dxa"/>
              <w:bottom w:w="80" w:type="dxa"/>
              <w:start w:w="120" w:type="dxa"/>
              <w:end w:w="120" w:type="dxa"/>
            </w:tcMar>
            <w:vAlign w:val="center"/>
          </w:tcPr>
          <w:p>
            <w:pPr>
              <w:spacing w:before="0" w:after="20" w:line="259" w:lineRule="auto"/>
            </w:pPr>
            <w:r>
              <w:rPr>
                <w:rFonts w:ascii="Calibri" w:hAnsi="Calibri"/>
                <w:color w:val="202428"/>
                <w:sz w:val="18"/>
              </w:rPr>
              <w:t>Guid-primary key van de gebruiker</w:t>
            </w:r>
          </w:p>
        </w:tc>
      </w:tr>
      <w:tr>
        <w:tc>
          <w:tcPr>
            <w:tcW w:type="dxa" w:w="2800"/>
            <w:tcMar>
              <w:top w:w="80" w:type="dxa"/>
              <w:bottom w:w="80" w:type="dxa"/>
              <w:start w:w="120" w:type="dxa"/>
              <w:end w:w="120" w:type="dxa"/>
            </w:tcMar>
            <w:vAlign w:val="center"/>
          </w:tcPr>
          <w:p>
            <w:pPr>
              <w:spacing w:before="0" w:after="20" w:line="259" w:lineRule="auto"/>
            </w:pPr>
            <w:r>
              <w:rPr>
                <w:rFonts w:ascii="Calibri" w:hAnsi="Calibri"/>
                <w:color w:val="202428"/>
                <w:sz w:val="18"/>
              </w:rPr>
              <w:t>UserName / NormalizedUserName</w:t>
            </w:r>
          </w:p>
        </w:tc>
        <w:tc>
          <w:tcPr>
            <w:tcW w:type="dxa" w:w="6560"/>
            <w:tcMar>
              <w:top w:w="80" w:type="dxa"/>
              <w:bottom w:w="80" w:type="dxa"/>
              <w:start w:w="120" w:type="dxa"/>
              <w:end w:w="120" w:type="dxa"/>
            </w:tcMar>
            <w:vAlign w:val="center"/>
          </w:tcPr>
          <w:p>
            <w:pPr>
              <w:spacing w:before="0" w:after="20" w:line="259" w:lineRule="auto"/>
            </w:pPr>
            <w:r>
              <w:rPr>
                <w:rFonts w:ascii="Calibri" w:hAnsi="Calibri"/>
                <w:color w:val="202428"/>
                <w:sz w:val="18"/>
              </w:rPr>
              <w:t>Loginnaam en geïndexeerde hoofdletteronafhankelijke vorm</w:t>
            </w:r>
          </w:p>
        </w:tc>
      </w:tr>
      <w:tr>
        <w:tc>
          <w:tcPr>
            <w:tcW w:type="dxa" w:w="2800"/>
            <w:tcMar>
              <w:top w:w="80" w:type="dxa"/>
              <w:bottom w:w="80" w:type="dxa"/>
              <w:start w:w="120" w:type="dxa"/>
              <w:end w:w="120" w:type="dxa"/>
            </w:tcMar>
            <w:vAlign w:val="center"/>
          </w:tcPr>
          <w:p>
            <w:pPr>
              <w:spacing w:before="0" w:after="20" w:line="259" w:lineRule="auto"/>
            </w:pPr>
            <w:r>
              <w:rPr>
                <w:rFonts w:ascii="Calibri" w:hAnsi="Calibri"/>
                <w:color w:val="202428"/>
                <w:sz w:val="18"/>
              </w:rPr>
              <w:t>Email / NormalizedEmail</w:t>
            </w:r>
          </w:p>
        </w:tc>
        <w:tc>
          <w:tcPr>
            <w:tcW w:type="dxa" w:w="6560"/>
            <w:tcMar>
              <w:top w:w="80" w:type="dxa"/>
              <w:bottom w:w="80" w:type="dxa"/>
              <w:start w:w="120" w:type="dxa"/>
              <w:end w:w="120" w:type="dxa"/>
            </w:tcMar>
            <w:vAlign w:val="center"/>
          </w:tcPr>
          <w:p>
            <w:pPr>
              <w:spacing w:before="0" w:after="20" w:line="259" w:lineRule="auto"/>
            </w:pPr>
            <w:r>
              <w:rPr>
                <w:rFonts w:ascii="Calibri" w:hAnsi="Calibri"/>
                <w:color w:val="202428"/>
                <w:sz w:val="18"/>
              </w:rPr>
              <w:t>E-mailadres en zoekvorm voor FindByEmailAsync</w:t>
            </w:r>
          </w:p>
        </w:tc>
      </w:tr>
      <w:tr>
        <w:tc>
          <w:tcPr>
            <w:tcW w:type="dxa" w:w="2800"/>
            <w:tcMar>
              <w:top w:w="80" w:type="dxa"/>
              <w:bottom w:w="80" w:type="dxa"/>
              <w:start w:w="120" w:type="dxa"/>
              <w:end w:w="120" w:type="dxa"/>
            </w:tcMar>
            <w:vAlign w:val="center"/>
          </w:tcPr>
          <w:p>
            <w:pPr>
              <w:spacing w:before="0" w:after="20" w:line="259" w:lineRule="auto"/>
            </w:pPr>
            <w:r>
              <w:rPr>
                <w:rFonts w:ascii="Calibri" w:hAnsi="Calibri"/>
                <w:color w:val="202428"/>
                <w:sz w:val="18"/>
              </w:rPr>
              <w:t>PasswordHash</w:t>
            </w:r>
          </w:p>
        </w:tc>
        <w:tc>
          <w:tcPr>
            <w:tcW w:type="dxa" w:w="6560"/>
            <w:tcMar>
              <w:top w:w="80" w:type="dxa"/>
              <w:bottom w:w="80" w:type="dxa"/>
              <w:start w:w="120" w:type="dxa"/>
              <w:end w:w="120" w:type="dxa"/>
            </w:tcMar>
            <w:vAlign w:val="center"/>
          </w:tcPr>
          <w:p>
            <w:pPr>
              <w:spacing w:before="0" w:after="20" w:line="259" w:lineRule="auto"/>
            </w:pPr>
            <w:r>
              <w:rPr>
                <w:rFonts w:ascii="Calibri" w:hAnsi="Calibri"/>
                <w:color w:val="202428"/>
                <w:sz w:val="18"/>
              </w:rPr>
              <w:t>Gezouten, iteratief afgeleide hash; nooit het platte wachtwoord</w:t>
            </w:r>
          </w:p>
        </w:tc>
      </w:tr>
      <w:tr>
        <w:tc>
          <w:tcPr>
            <w:tcW w:type="dxa" w:w="2800"/>
            <w:tcMar>
              <w:top w:w="80" w:type="dxa"/>
              <w:bottom w:w="80" w:type="dxa"/>
              <w:start w:w="120" w:type="dxa"/>
              <w:end w:w="120" w:type="dxa"/>
            </w:tcMar>
            <w:vAlign w:val="center"/>
          </w:tcPr>
          <w:p>
            <w:pPr>
              <w:spacing w:before="0" w:after="20" w:line="259" w:lineRule="auto"/>
            </w:pPr>
            <w:r>
              <w:rPr>
                <w:rFonts w:ascii="Calibri" w:hAnsi="Calibri"/>
                <w:color w:val="202428"/>
                <w:sz w:val="18"/>
              </w:rPr>
              <w:t>SecurityStamp</w:t>
            </w:r>
          </w:p>
        </w:tc>
        <w:tc>
          <w:tcPr>
            <w:tcW w:type="dxa" w:w="6560"/>
            <w:tcMar>
              <w:top w:w="80" w:type="dxa"/>
              <w:bottom w:w="80" w:type="dxa"/>
              <w:start w:w="120" w:type="dxa"/>
              <w:end w:w="120" w:type="dxa"/>
            </w:tcMar>
            <w:vAlign w:val="center"/>
          </w:tcPr>
          <w:p>
            <w:pPr>
              <w:spacing w:before="0" w:after="20" w:line="259" w:lineRule="auto"/>
            </w:pPr>
            <w:r>
              <w:rPr>
                <w:rFonts w:ascii="Calibri" w:hAnsi="Calibri"/>
                <w:color w:val="202428"/>
                <w:sz w:val="18"/>
              </w:rPr>
              <w:t>Maakt bestaande sessies/tokens ongeldig na securitywijzigingen</w:t>
            </w:r>
          </w:p>
        </w:tc>
      </w:tr>
      <w:tr>
        <w:tc>
          <w:tcPr>
            <w:tcW w:type="dxa" w:w="2800"/>
            <w:tcMar>
              <w:top w:w="80" w:type="dxa"/>
              <w:bottom w:w="80" w:type="dxa"/>
              <w:start w:w="120" w:type="dxa"/>
              <w:end w:w="120" w:type="dxa"/>
            </w:tcMar>
            <w:vAlign w:val="center"/>
          </w:tcPr>
          <w:p>
            <w:pPr>
              <w:spacing w:before="0" w:after="20" w:line="259" w:lineRule="auto"/>
            </w:pPr>
            <w:r>
              <w:rPr>
                <w:rFonts w:ascii="Calibri" w:hAnsi="Calibri"/>
                <w:color w:val="202428"/>
                <w:sz w:val="18"/>
              </w:rPr>
              <w:t>ConcurrencyStamp</w:t>
            </w:r>
          </w:p>
        </w:tc>
        <w:tc>
          <w:tcPr>
            <w:tcW w:type="dxa" w:w="6560"/>
            <w:tcMar>
              <w:top w:w="80" w:type="dxa"/>
              <w:bottom w:w="80" w:type="dxa"/>
              <w:start w:w="120" w:type="dxa"/>
              <w:end w:w="120" w:type="dxa"/>
            </w:tcMar>
            <w:vAlign w:val="center"/>
          </w:tcPr>
          <w:p>
            <w:pPr>
              <w:spacing w:before="0" w:after="20" w:line="259" w:lineRule="auto"/>
            </w:pPr>
            <w:r>
              <w:rPr>
                <w:rFonts w:ascii="Calibri" w:hAnsi="Calibri"/>
                <w:color w:val="202428"/>
                <w:sz w:val="18"/>
              </w:rPr>
              <w:t>Optimistic-concurrencytoken voor gebruikersupdates</w:t>
            </w:r>
          </w:p>
        </w:tc>
      </w:tr>
      <w:tr>
        <w:tc>
          <w:tcPr>
            <w:tcW w:type="dxa" w:w="2800"/>
            <w:tcMar>
              <w:top w:w="80" w:type="dxa"/>
              <w:bottom w:w="80" w:type="dxa"/>
              <w:start w:w="120" w:type="dxa"/>
              <w:end w:w="120" w:type="dxa"/>
            </w:tcMar>
            <w:vAlign w:val="center"/>
          </w:tcPr>
          <w:p>
            <w:pPr>
              <w:spacing w:before="0" w:after="20" w:line="259" w:lineRule="auto"/>
            </w:pPr>
            <w:r>
              <w:rPr>
                <w:rFonts w:ascii="Calibri" w:hAnsi="Calibri"/>
                <w:color w:val="202428"/>
                <w:sz w:val="18"/>
              </w:rPr>
              <w:t>AccessFailedCount / LockoutEnd</w:t>
            </w:r>
          </w:p>
        </w:tc>
        <w:tc>
          <w:tcPr>
            <w:tcW w:type="dxa" w:w="6560"/>
            <w:tcMar>
              <w:top w:w="80" w:type="dxa"/>
              <w:bottom w:w="80" w:type="dxa"/>
              <w:start w:w="120" w:type="dxa"/>
              <w:end w:w="120" w:type="dxa"/>
            </w:tcMar>
            <w:vAlign w:val="center"/>
          </w:tcPr>
          <w:p>
            <w:pPr>
              <w:spacing w:before="0" w:after="20" w:line="259" w:lineRule="auto"/>
            </w:pPr>
            <w:r>
              <w:rPr>
                <w:rFonts w:ascii="Calibri" w:hAnsi="Calibri"/>
                <w:color w:val="202428"/>
                <w:sz w:val="18"/>
              </w:rPr>
              <w:t>Tellen fouten en bewaren lockout-einde</w:t>
            </w:r>
          </w:p>
        </w:tc>
      </w:tr>
      <w:tr>
        <w:tc>
          <w:tcPr>
            <w:tcW w:type="dxa" w:w="2800"/>
            <w:tcMar>
              <w:top w:w="80" w:type="dxa"/>
              <w:bottom w:w="80" w:type="dxa"/>
              <w:start w:w="120" w:type="dxa"/>
              <w:end w:w="120" w:type="dxa"/>
            </w:tcMar>
            <w:vAlign w:val="center"/>
          </w:tcPr>
          <w:p>
            <w:pPr>
              <w:spacing w:before="0" w:after="20" w:line="259" w:lineRule="auto"/>
            </w:pPr>
            <w:r>
              <w:rPr>
                <w:rFonts w:ascii="Calibri" w:hAnsi="Calibri"/>
                <w:color w:val="202428"/>
                <w:sz w:val="18"/>
              </w:rPr>
              <w:t>EmailConfirmed / TwoFactorEnabled</w:t>
            </w:r>
          </w:p>
        </w:tc>
        <w:tc>
          <w:tcPr>
            <w:tcW w:type="dxa" w:w="6560"/>
            <w:tcMar>
              <w:top w:w="80" w:type="dxa"/>
              <w:bottom w:w="80" w:type="dxa"/>
              <w:start w:w="120" w:type="dxa"/>
              <w:end w:w="120" w:type="dxa"/>
            </w:tcMar>
            <w:vAlign w:val="center"/>
          </w:tcPr>
          <w:p>
            <w:pPr>
              <w:spacing w:before="0" w:after="20" w:line="259" w:lineRule="auto"/>
            </w:pPr>
            <w:r>
              <w:rPr>
                <w:rFonts w:ascii="Calibri" w:hAnsi="Calibri"/>
                <w:color w:val="202428"/>
                <w:sz w:val="18"/>
              </w:rPr>
              <w:t>Status voor latere bevestigings- en 2FA-flows</w:t>
            </w:r>
          </w:p>
        </w:tc>
      </w:tr>
    </w:tbl>
    <w:p>
      <w:pPr>
        <w:spacing w:after="40"/>
      </w:pPr>
    </w:p>
    <w:p>
      <w:pPr>
        <w:pStyle w:val="Heading2"/>
      </w:pPr>
      <w:r>
        <w:t>Wat UserManager doet</w:t>
      </w:r>
    </w:p>
    <w:p>
      <w:r>
        <w:t>UserManager&lt;ApplicationUser&gt; is de hoge-level gebruikersservice. CreateAsync valideert de gebruiker en het wachtwoord, normaliseert username/e-mail, controleert uniekheid, laat de password hasher een hash maken en laat de EF-store de gebruiker bewaren. FindByEmailAsync zoekt via NormalizedEmail. GetUserAsync(User) leest eerst de NameIdentifier-claim uit de ClaimsPrincipal en haalt daarna de actuele gebruiker uit de store.</w:t>
      </w:r>
    </w:p>
    <w:p>
      <w:pPr>
        <w:pStyle w:val="Heading2"/>
      </w:pPr>
      <w:r>
        <w:t>Wat SignInManager doet</w:t>
      </w:r>
    </w:p>
    <w:p>
      <w:r>
        <w:t>SignInManager coördineert een login. PasswordSignInAsync zoekt de gebruiker via username, controleert lockout, vergelijkt het aangeleverde wachtwoord via de password hasher en verhoogt bij een fout AccessFailedCount wanneer lockoutOnFailure true is. Bij succes bouwt hij een ClaimsPrincipal en vraagt hij het cookie-authenticatieschema de versleutelde Mira.Auth-cookie uit te geven. SignOutAsync verwijdert de cookie via een verlopen Set-Cookie-header.</w:t>
      </w:r>
    </w:p>
    <w:p>
      <w:pPr>
        <w:pStyle w:val="Callout"/>
        <w:shd w:fill="FCEBEC"/>
        <w:pBdr>
          <w:left w:val="single" w:sz="18" w:space="8" w:color="A33A3A"/>
        </w:pBdr>
      </w:pPr>
      <w:r>
        <w:rPr>
          <w:rFonts w:ascii="Calibri" w:hAnsi="Calibri"/>
          <w:b/>
          <w:color w:val="A33A3A"/>
          <w:sz w:val="21"/>
        </w:rPr>
        <w:t xml:space="preserve">Geen plaintext: </w:t>
      </w:r>
      <w:r>
        <w:rPr>
          <w:rFonts w:ascii="Calibri" w:hAnsi="Calibri"/>
          <w:color w:val="202428"/>
          <w:sz w:val="21"/>
        </w:rPr>
        <w:t>MIRA slaat het wachtwoord niet versleuteld op en kan het dus ook niet terug ontsleutelen. Identity bewaart een salted password hash. Bij login wordt de invoer opnieuw gehasht met de parameters uit de opgeslagen hash en constant-time vergeleken.</w:t>
      </w:r>
    </w:p>
    <w:p>
      <w:bookmarkStart w:id="15" w:name="auth"/>
      <w:pPr>
        <w:pStyle w:val="Heading1"/>
      </w:pPr>
      <w:r>
        <w:t>Registratie, login, me en logout</w:t>
      </w:r>
      <w:bookmarkEnd w:id="15"/>
    </w:p>
    <w:p>
      <w:pPr>
        <w:spacing w:before="0" w:after="80"/>
        <w:jc w:val="right"/>
      </w:pPr>
      <w:hyperlink w:anchor="inhoud">
        <w:r>
          <w:rPr>
            <w:color w:val="2E74B5"/>
            <w:u w:val="single"/>
          </w:rPr>
          <w:t>Terug naar inhoud</w:t>
        </w:r>
      </w:hyperlink>
    </w:p>
    <w:p>
      <w:r>
        <w:t>AuthController gebruikt primary-constructor dependency injection: de parameters userManager en signInManager zijn beschikbaar in alle actions zonder expliciete velden. [ApiController] activeert binding/validatie; [Route("api/auth")] vormt de routeprefix.</w:t>
      </w:r>
    </w:p>
    <w:tbl>
      <w:tblPr>
        <w:tblStyle w:val="TableGrid"/>
        <w:tblLook w:firstColumn="1" w:firstRow="1" w:lastColumn="0" w:lastRow="0" w:noHBand="0" w:noVBand="1" w:val="04A0"/>
        <w:jc w:val="left"/>
        <w:tblW w:w="9360" w:type="dxa"/>
        <w:tblInd w:w="120" w:type="dxa"/>
        <w:tblLayout w:type="fixed"/>
      </w:tblPr>
      <w:tblGrid>
        <w:gridCol w:w="950"/>
        <w:gridCol w:w="2500"/>
        <w:gridCol w:w="1500"/>
        <w:gridCol w:w="4410"/>
      </w:tblGrid>
      <w:tr>
        <w:trPr>
          <w:tblHeader w:val="true"/>
        </w:trPr>
        <w:tc>
          <w:tcPr>
            <w:tcW w:type="dxa" w:w="95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Methode</w:t>
            </w:r>
          </w:p>
        </w:tc>
        <w:tc>
          <w:tcPr>
            <w:tcW w:type="dxa" w:w="250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Route</w:t>
            </w:r>
          </w:p>
        </w:tc>
        <w:tc>
          <w:tcPr>
            <w:tcW w:type="dxa" w:w="150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Publiek?</w:t>
            </w:r>
          </w:p>
        </w:tc>
        <w:tc>
          <w:tcPr>
            <w:tcW w:type="dxa" w:w="441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Resultaat</w:t>
            </w:r>
          </w:p>
        </w:tc>
      </w:tr>
      <w:tr>
        <w:tc>
          <w:tcPr>
            <w:tcW w:type="dxa" w:w="950"/>
            <w:tcMar>
              <w:top w:w="80" w:type="dxa"/>
              <w:bottom w:w="80" w:type="dxa"/>
              <w:start w:w="120" w:type="dxa"/>
              <w:end w:w="120" w:type="dxa"/>
            </w:tcMar>
            <w:vAlign w:val="center"/>
          </w:tcPr>
          <w:p>
            <w:pPr>
              <w:spacing w:before="0" w:after="20" w:line="259" w:lineRule="auto"/>
            </w:pPr>
            <w:r>
              <w:rPr>
                <w:rFonts w:ascii="Calibri" w:hAnsi="Calibri"/>
                <w:color w:val="202428"/>
                <w:sz w:val="18"/>
              </w:rPr>
              <w:t>POST</w:t>
            </w:r>
          </w:p>
        </w:tc>
        <w:tc>
          <w:tcPr>
            <w:tcW w:type="dxa" w:w="2500"/>
            <w:tcMar>
              <w:top w:w="80" w:type="dxa"/>
              <w:bottom w:w="80" w:type="dxa"/>
              <w:start w:w="120" w:type="dxa"/>
              <w:end w:w="120" w:type="dxa"/>
            </w:tcMar>
            <w:vAlign w:val="center"/>
          </w:tcPr>
          <w:p>
            <w:pPr>
              <w:spacing w:before="0" w:after="20" w:line="259" w:lineRule="auto"/>
            </w:pPr>
            <w:r>
              <w:rPr>
                <w:rFonts w:ascii="Calibri" w:hAnsi="Calibri"/>
                <w:color w:val="202428"/>
                <w:sz w:val="18"/>
              </w:rPr>
              <w:t>/api/auth/register</w:t>
            </w:r>
          </w:p>
        </w:tc>
        <w:tc>
          <w:tcPr>
            <w:tcW w:type="dxa" w:w="1500"/>
            <w:tcMar>
              <w:top w:w="80" w:type="dxa"/>
              <w:bottom w:w="80" w:type="dxa"/>
              <w:start w:w="120" w:type="dxa"/>
              <w:end w:w="120" w:type="dxa"/>
            </w:tcMar>
            <w:vAlign w:val="center"/>
          </w:tcPr>
          <w:p>
            <w:pPr>
              <w:spacing w:before="0" w:after="20" w:line="259" w:lineRule="auto"/>
            </w:pPr>
            <w:r>
              <w:rPr>
                <w:rFonts w:ascii="Calibri" w:hAnsi="Calibri"/>
                <w:color w:val="202428"/>
                <w:sz w:val="18"/>
              </w:rPr>
              <w:t>Ja + XSRF</w:t>
            </w:r>
          </w:p>
        </w:tc>
        <w:tc>
          <w:tcPr>
            <w:tcW w:type="dxa" w:w="4410"/>
            <w:tcMar>
              <w:top w:w="80" w:type="dxa"/>
              <w:bottom w:w="80" w:type="dxa"/>
              <w:start w:w="120" w:type="dxa"/>
              <w:end w:w="120" w:type="dxa"/>
            </w:tcMar>
            <w:vAlign w:val="center"/>
          </w:tcPr>
          <w:p>
            <w:pPr>
              <w:spacing w:before="0" w:after="20" w:line="259" w:lineRule="auto"/>
            </w:pPr>
            <w:r>
              <w:rPr>
                <w:rFonts w:ascii="Calibri" w:hAnsi="Calibri"/>
                <w:color w:val="202428"/>
                <w:sz w:val="18"/>
              </w:rPr>
              <w:t>Account + sessie; 200 of validationproblem</w:t>
            </w:r>
          </w:p>
        </w:tc>
      </w:tr>
      <w:tr>
        <w:tc>
          <w:tcPr>
            <w:tcW w:type="dxa" w:w="950"/>
            <w:tcMar>
              <w:top w:w="80" w:type="dxa"/>
              <w:bottom w:w="80" w:type="dxa"/>
              <w:start w:w="120" w:type="dxa"/>
              <w:end w:w="120" w:type="dxa"/>
            </w:tcMar>
            <w:vAlign w:val="center"/>
          </w:tcPr>
          <w:p>
            <w:pPr>
              <w:spacing w:before="0" w:after="20" w:line="259" w:lineRule="auto"/>
            </w:pPr>
            <w:r>
              <w:rPr>
                <w:rFonts w:ascii="Calibri" w:hAnsi="Calibri"/>
                <w:color w:val="202428"/>
                <w:sz w:val="18"/>
              </w:rPr>
              <w:t>POST</w:t>
            </w:r>
          </w:p>
        </w:tc>
        <w:tc>
          <w:tcPr>
            <w:tcW w:type="dxa" w:w="2500"/>
            <w:tcMar>
              <w:top w:w="80" w:type="dxa"/>
              <w:bottom w:w="80" w:type="dxa"/>
              <w:start w:w="120" w:type="dxa"/>
              <w:end w:w="120" w:type="dxa"/>
            </w:tcMar>
            <w:vAlign w:val="center"/>
          </w:tcPr>
          <w:p>
            <w:pPr>
              <w:spacing w:before="0" w:after="20" w:line="259" w:lineRule="auto"/>
            </w:pPr>
            <w:r>
              <w:rPr>
                <w:rFonts w:ascii="Calibri" w:hAnsi="Calibri"/>
                <w:color w:val="202428"/>
                <w:sz w:val="18"/>
              </w:rPr>
              <w:t>/api/auth/login</w:t>
            </w:r>
          </w:p>
        </w:tc>
        <w:tc>
          <w:tcPr>
            <w:tcW w:type="dxa" w:w="1500"/>
            <w:tcMar>
              <w:top w:w="80" w:type="dxa"/>
              <w:bottom w:w="80" w:type="dxa"/>
              <w:start w:w="120" w:type="dxa"/>
              <w:end w:w="120" w:type="dxa"/>
            </w:tcMar>
            <w:vAlign w:val="center"/>
          </w:tcPr>
          <w:p>
            <w:pPr>
              <w:spacing w:before="0" w:after="20" w:line="259" w:lineRule="auto"/>
            </w:pPr>
            <w:r>
              <w:rPr>
                <w:rFonts w:ascii="Calibri" w:hAnsi="Calibri"/>
                <w:color w:val="202428"/>
                <w:sz w:val="18"/>
              </w:rPr>
              <w:t>Ja + XSRF</w:t>
            </w:r>
          </w:p>
        </w:tc>
        <w:tc>
          <w:tcPr>
            <w:tcW w:type="dxa" w:w="4410"/>
            <w:tcMar>
              <w:top w:w="80" w:type="dxa"/>
              <w:bottom w:w="80" w:type="dxa"/>
              <w:start w:w="120" w:type="dxa"/>
              <w:end w:w="120" w:type="dxa"/>
            </w:tcMar>
            <w:vAlign w:val="center"/>
          </w:tcPr>
          <w:p>
            <w:pPr>
              <w:spacing w:before="0" w:after="20" w:line="259" w:lineRule="auto"/>
            </w:pPr>
            <w:r>
              <w:rPr>
                <w:rFonts w:ascii="Calibri" w:hAnsi="Calibri"/>
                <w:color w:val="202428"/>
                <w:sz w:val="18"/>
              </w:rPr>
              <w:t>Sessie; 200 of 401</w:t>
            </w:r>
          </w:p>
        </w:tc>
      </w:tr>
      <w:tr>
        <w:tc>
          <w:tcPr>
            <w:tcW w:type="dxa" w:w="950"/>
            <w:tcMar>
              <w:top w:w="80" w:type="dxa"/>
              <w:bottom w:w="80" w:type="dxa"/>
              <w:start w:w="120" w:type="dxa"/>
              <w:end w:w="120" w:type="dxa"/>
            </w:tcMar>
            <w:vAlign w:val="center"/>
          </w:tcPr>
          <w:p>
            <w:pPr>
              <w:spacing w:before="0" w:after="20" w:line="259" w:lineRule="auto"/>
            </w:pPr>
            <w:r>
              <w:rPr>
                <w:rFonts w:ascii="Calibri" w:hAnsi="Calibri"/>
                <w:color w:val="202428"/>
                <w:sz w:val="18"/>
              </w:rPr>
              <w:t>GET</w:t>
            </w:r>
          </w:p>
        </w:tc>
        <w:tc>
          <w:tcPr>
            <w:tcW w:type="dxa" w:w="2500"/>
            <w:tcMar>
              <w:top w:w="80" w:type="dxa"/>
              <w:bottom w:w="80" w:type="dxa"/>
              <w:start w:w="120" w:type="dxa"/>
              <w:end w:w="120" w:type="dxa"/>
            </w:tcMar>
            <w:vAlign w:val="center"/>
          </w:tcPr>
          <w:p>
            <w:pPr>
              <w:spacing w:before="0" w:after="20" w:line="259" w:lineRule="auto"/>
            </w:pPr>
            <w:r>
              <w:rPr>
                <w:rFonts w:ascii="Calibri" w:hAnsi="Calibri"/>
                <w:color w:val="202428"/>
                <w:sz w:val="18"/>
              </w:rPr>
              <w:t>/api/auth/me</w:t>
            </w:r>
          </w:p>
        </w:tc>
        <w:tc>
          <w:tcPr>
            <w:tcW w:type="dxa" w:w="1500"/>
            <w:tcMar>
              <w:top w:w="80" w:type="dxa"/>
              <w:bottom w:w="80" w:type="dxa"/>
              <w:start w:w="120" w:type="dxa"/>
              <w:end w:w="120" w:type="dxa"/>
            </w:tcMar>
            <w:vAlign w:val="center"/>
          </w:tcPr>
          <w:p>
            <w:pPr>
              <w:spacing w:before="0" w:after="20" w:line="259" w:lineRule="auto"/>
            </w:pPr>
            <w:r>
              <w:rPr>
                <w:rFonts w:ascii="Calibri" w:hAnsi="Calibri"/>
                <w:color w:val="202428"/>
                <w:sz w:val="18"/>
              </w:rPr>
              <w:t>Nee</w:t>
            </w:r>
          </w:p>
        </w:tc>
        <w:tc>
          <w:tcPr>
            <w:tcW w:type="dxa" w:w="4410"/>
            <w:tcMar>
              <w:top w:w="80" w:type="dxa"/>
              <w:bottom w:w="80" w:type="dxa"/>
              <w:start w:w="120" w:type="dxa"/>
              <w:end w:w="120" w:type="dxa"/>
            </w:tcMar>
            <w:vAlign w:val="center"/>
          </w:tcPr>
          <w:p>
            <w:pPr>
              <w:spacing w:before="0" w:after="20" w:line="259" w:lineRule="auto"/>
            </w:pPr>
            <w:r>
              <w:rPr>
                <w:rFonts w:ascii="Calibri" w:hAnsi="Calibri"/>
                <w:color w:val="202428"/>
                <w:sz w:val="18"/>
              </w:rPr>
              <w:t>Id en e-mail van huidige gebruiker</w:t>
            </w:r>
          </w:p>
        </w:tc>
      </w:tr>
      <w:tr>
        <w:tc>
          <w:tcPr>
            <w:tcW w:type="dxa" w:w="950"/>
            <w:tcMar>
              <w:top w:w="80" w:type="dxa"/>
              <w:bottom w:w="80" w:type="dxa"/>
              <w:start w:w="120" w:type="dxa"/>
              <w:end w:w="120" w:type="dxa"/>
            </w:tcMar>
            <w:vAlign w:val="center"/>
          </w:tcPr>
          <w:p>
            <w:pPr>
              <w:spacing w:before="0" w:after="20" w:line="259" w:lineRule="auto"/>
            </w:pPr>
            <w:r>
              <w:rPr>
                <w:rFonts w:ascii="Calibri" w:hAnsi="Calibri"/>
                <w:color w:val="202428"/>
                <w:sz w:val="18"/>
              </w:rPr>
              <w:t>POST</w:t>
            </w:r>
          </w:p>
        </w:tc>
        <w:tc>
          <w:tcPr>
            <w:tcW w:type="dxa" w:w="2500"/>
            <w:tcMar>
              <w:top w:w="80" w:type="dxa"/>
              <w:bottom w:w="80" w:type="dxa"/>
              <w:start w:w="120" w:type="dxa"/>
              <w:end w:w="120" w:type="dxa"/>
            </w:tcMar>
            <w:vAlign w:val="center"/>
          </w:tcPr>
          <w:p>
            <w:pPr>
              <w:spacing w:before="0" w:after="20" w:line="259" w:lineRule="auto"/>
            </w:pPr>
            <w:r>
              <w:rPr>
                <w:rFonts w:ascii="Calibri" w:hAnsi="Calibri"/>
                <w:color w:val="202428"/>
                <w:sz w:val="18"/>
              </w:rPr>
              <w:t>/api/auth/logout</w:t>
            </w:r>
          </w:p>
        </w:tc>
        <w:tc>
          <w:tcPr>
            <w:tcW w:type="dxa" w:w="1500"/>
            <w:tcMar>
              <w:top w:w="80" w:type="dxa"/>
              <w:bottom w:w="80" w:type="dxa"/>
              <w:start w:w="120" w:type="dxa"/>
              <w:end w:w="120" w:type="dxa"/>
            </w:tcMar>
            <w:vAlign w:val="center"/>
          </w:tcPr>
          <w:p>
            <w:pPr>
              <w:spacing w:before="0" w:after="20" w:line="259" w:lineRule="auto"/>
            </w:pPr>
            <w:r>
              <w:rPr>
                <w:rFonts w:ascii="Calibri" w:hAnsi="Calibri"/>
                <w:color w:val="202428"/>
                <w:sz w:val="18"/>
              </w:rPr>
              <w:t>Nee + XSRF</w:t>
            </w:r>
          </w:p>
        </w:tc>
        <w:tc>
          <w:tcPr>
            <w:tcW w:type="dxa" w:w="4410"/>
            <w:tcMar>
              <w:top w:w="80" w:type="dxa"/>
              <w:bottom w:w="80" w:type="dxa"/>
              <w:start w:w="120" w:type="dxa"/>
              <w:end w:w="120" w:type="dxa"/>
            </w:tcMar>
            <w:vAlign w:val="center"/>
          </w:tcPr>
          <w:p>
            <w:pPr>
              <w:spacing w:before="0" w:after="20" w:line="259" w:lineRule="auto"/>
            </w:pPr>
            <w:r>
              <w:rPr>
                <w:rFonts w:ascii="Calibri" w:hAnsi="Calibri"/>
                <w:color w:val="202428"/>
                <w:sz w:val="18"/>
              </w:rPr>
              <w:t>Cookie verwijderen; 204</w:t>
            </w:r>
          </w:p>
        </w:tc>
      </w:tr>
    </w:tbl>
    <w:p>
      <w:pPr>
        <w:spacing w:after="40"/>
      </w:pPr>
    </w:p>
    <w:p>
      <w:pPr>
        <w:pStyle w:val="Heading2"/>
      </w:pPr>
      <w:r>
        <w:t>Register regel voor regel</w:t>
      </w:r>
    </w:p>
    <w:p>
      <w:pPr>
        <w:pStyle w:val="CodeBlock"/>
        <w:shd w:fill="F6F8FA"/>
        <w:pBdr>
          <w:left w:val="single" w:sz="8" w:space="8" w:color="AAB7C4"/>
        </w:pBdr>
      </w:pPr>
      <w:r>
        <w:rPr>
          <w:rFonts w:ascii="Consolas" w:hAnsi="Consolas"/>
          <w:color w:val="15202B"/>
          <w:sz w:val="16"/>
        </w:rPr>
        <w:t>var email = request.Email.Trim();</w:t>
        <w:br/>
      </w:r>
      <w:r>
        <w:rPr>
          <w:rFonts w:ascii="Consolas" w:hAnsi="Consolas"/>
          <w:color w:val="15202B"/>
          <w:sz w:val="16"/>
        </w:rPr>
        <w:t>var user = new ApplicationUser { UserName = email, Email = email };</w:t>
        <w:br/>
      </w:r>
      <w:r>
        <w:rPr>
          <w:rFonts w:ascii="Consolas" w:hAnsi="Consolas"/>
          <w:color w:val="15202B"/>
          <w:sz w:val="16"/>
        </w:rPr>
        <w:t>var result = await userManager.CreateAsync(user, request.Password);</w:t>
      </w:r>
    </w:p>
    <w:p>
      <w:r>
        <w:t>Trim verwijdert accidentele spaties. UserName wordt gelijk aan e-mail omdat PasswordSignInAsync later met e-mail als username werkt. CreateAsync retourneert IdentityResult in plaats van bij gewone validatiefouten een exception te gooien. Bij mislukking groepeert de code IdentityError-objecten op Code en zet ze om naar ValidationProblemDetails. De client krijgt dus bijvoorbeeld PasswordTooShort met één of meer omschrijvingen.</w:t>
      </w:r>
    </w:p>
    <w:p>
      <w:r>
        <w:t>Na succes roept SignInAsync(user, isPersistent: false) het cookie-schema aan. false maakt van de registratiecookie een session cookie: de browser bewaart hem niet bewust over een volledige browsersessie heen. De response bevat alleen AuthenticatedUserDto(Id, Email), nooit PasswordHash, stamps of lockoutvelden.</w:t>
      </w:r>
    </w:p>
    <w:p>
      <w:pPr>
        <w:pStyle w:val="Heading2"/>
      </w:pPr>
      <w:r>
        <w:t>Login regel voor regel</w:t>
      </w:r>
    </w:p>
    <w:p>
      <w:pPr>
        <w:pStyle w:val="CodeBlock"/>
        <w:shd w:fill="F6F8FA"/>
        <w:pBdr>
          <w:left w:val="single" w:sz="8" w:space="8" w:color="AAB7C4"/>
        </w:pBdr>
      </w:pPr>
      <w:r>
        <w:rPr>
          <w:rFonts w:ascii="Consolas" w:hAnsi="Consolas"/>
          <w:color w:val="15202B"/>
          <w:sz w:val="16"/>
        </w:rPr>
        <w:t>var result = await signInManager.PasswordSignInAsync(</w:t>
        <w:br/>
      </w:r>
      <w:r>
        <w:rPr>
          <w:rFonts w:ascii="Consolas" w:hAnsi="Consolas"/>
          <w:color w:val="15202B"/>
          <w:sz w:val="16"/>
        </w:rPr>
        <w:t xml:space="preserve">    email, request.Password, request.RememberMe,</w:t>
        <w:br/>
      </w:r>
      <w:r>
        <w:rPr>
          <w:rFonts w:ascii="Consolas" w:hAnsi="Consolas"/>
          <w:color w:val="15202B"/>
          <w:sz w:val="16"/>
        </w:rPr>
        <w:t xml:space="preserve">    lockoutOnFailure: true);</w:t>
      </w:r>
    </w:p>
    <w:p>
      <w:r>
        <w:t>RememberMe bepaalt of de cookie persistent is. lockoutOnFailure verhoogt de foutenteller. Alle mislukkingen krijgen dezelfde Nederlandse 401-melding. Daardoor verraadt login niet of het e-mailadres onbekend, het wachtwoord fout of het account tijdelijk gelockt is. Na succes haalt FindByEmailAsync de gebruiker op om de publieke Id en Email terug te sturen.</w:t>
      </w:r>
    </w:p>
    <w:p>
      <w:pPr>
        <w:pStyle w:val="Heading2"/>
      </w:pPr>
      <w:r>
        <w:t>Me en logout</w:t>
      </w:r>
    </w:p>
    <w:p>
      <w:r>
        <w:t>Me heeft geen [AllowAnonymous] en valt dus onder de fallbackpolicy. GetUserAsync(User) koppelt de NameIdentifier-claim uit de gevalideerde cookie terug aan AspNetUsers. null resulteert in 401, bijvoorbeeld wanneer de gebruiker intussen verwijderd is. Logout roept SignOutAsync aan en retourneert 204 No Content, omdat er geen responsebody nodig is.</w:t>
      </w:r>
    </w:p>
    <w:p>
      <w:pPr>
        <w:pStyle w:val="Callout"/>
        <w:shd w:fill="FFF6D9"/>
        <w:pBdr>
          <w:left w:val="single" w:sz="18" w:space="8" w:color="9A6700"/>
        </w:pBdr>
      </w:pPr>
      <w:r>
        <w:rPr>
          <w:rFonts w:ascii="Calibri" w:hAnsi="Calibri"/>
          <w:b/>
          <w:color w:val="9A6700"/>
          <w:sz w:val="21"/>
        </w:rPr>
        <w:t xml:space="preserve">Accountenumeratie: </w:t>
      </w:r>
      <w:r>
        <w:rPr>
          <w:rFonts w:ascii="Calibri" w:hAnsi="Calibri"/>
          <w:color w:val="202428"/>
          <w:sz w:val="21"/>
        </w:rPr>
        <w:t>Login gebruikt bewust één generieke foutmelding. Register geeft momenteel wel Identity-validatiefouten terug, waaronder mogelijk een bestaand e-mailadres. Voor een publieke productieapp kun je registratie eveneens generiek maken en via e-mail een bestaande gebruiker waarschuwen.</w:t>
      </w:r>
    </w:p>
    <w:p>
      <w:pPr>
        <w:pStyle w:val="Heading2"/>
      </w:pPr>
      <w:r>
        <w:t>Waarom MIRA een cookie gebruikt</w:t>
      </w:r>
    </w:p>
    <w:p>
      <w:r>
        <w:t>MIRA is ontworpen als browserapplicatie en gebruikt daarom een versleutelde HttpOnly-authcookie. JavaScript hoeft geen bearer-token te bewaren of handmatig aan iedere request toe te voegen. De server kan de sessie via Identity opnieuw opbouwen en de browser past cookieverval en het Secure/SameSite-beleid toe. De prijs van automatisch meesturen is dat iedere state-changing request antiforgery nodig heeft.</w:t>
      </w:r>
    </w:p>
    <w:tbl>
      <w:tblPr>
        <w:tblStyle w:val="TableGrid"/>
        <w:tblLook w:firstColumn="1" w:firstRow="1" w:lastColumn="0" w:lastRow="0" w:noHBand="0" w:noVBand="1" w:val="04A0"/>
        <w:jc w:val="left"/>
        <w:tblW w:w="9360" w:type="dxa"/>
        <w:tblInd w:w="120" w:type="dxa"/>
        <w:tblLayout w:type="fixed"/>
      </w:tblPr>
      <w:tblGrid>
        <w:gridCol w:w="2200"/>
        <w:gridCol w:w="3400"/>
        <w:gridCol w:w="3760"/>
      </w:tblGrid>
      <w:tr>
        <w:trPr>
          <w:tblHeader w:val="true"/>
        </w:trPr>
        <w:tc>
          <w:tcPr>
            <w:tcW w:type="dxa" w:w="22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Eigenschap</w:t>
            </w:r>
          </w:p>
        </w:tc>
        <w:tc>
          <w:tcPr>
            <w:tcW w:type="dxa" w:w="34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Cookie in MIRA</w:t>
            </w:r>
          </w:p>
        </w:tc>
        <w:tc>
          <w:tcPr>
            <w:tcW w:type="dxa" w:w="376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Bearer-token in browseropslag</w:t>
            </w:r>
          </w:p>
        </w:tc>
      </w:tr>
      <w:tr>
        <w:tc>
          <w:tcPr>
            <w:tcW w:type="dxa" w:w="2200"/>
            <w:tcMar>
              <w:top w:w="80" w:type="dxa"/>
              <w:bottom w:w="80" w:type="dxa"/>
              <w:start w:w="120" w:type="dxa"/>
              <w:end w:w="120" w:type="dxa"/>
            </w:tcMar>
            <w:vAlign w:val="center"/>
          </w:tcPr>
          <w:p>
            <w:pPr>
              <w:spacing w:before="0" w:after="20" w:line="259" w:lineRule="auto"/>
            </w:pPr>
            <w:r>
              <w:rPr>
                <w:rFonts w:ascii="Calibri" w:hAnsi="Calibri"/>
                <w:color w:val="202428"/>
                <w:sz w:val="17"/>
              </w:rPr>
              <w:t>Beschikbaarheid voor JavaScript</w:t>
            </w:r>
          </w:p>
        </w:tc>
        <w:tc>
          <w:tcPr>
            <w:tcW w:type="dxa" w:w="3400"/>
            <w:tcMar>
              <w:top w:w="80" w:type="dxa"/>
              <w:bottom w:w="80" w:type="dxa"/>
              <w:start w:w="120" w:type="dxa"/>
              <w:end w:w="120" w:type="dxa"/>
            </w:tcMar>
            <w:vAlign w:val="center"/>
          </w:tcPr>
          <w:p>
            <w:pPr>
              <w:spacing w:before="0" w:after="20" w:line="259" w:lineRule="auto"/>
            </w:pPr>
            <w:r>
              <w:rPr>
                <w:rFonts w:ascii="Calibri" w:hAnsi="Calibri"/>
                <w:color w:val="202428"/>
                <w:sz w:val="17"/>
              </w:rPr>
              <w:t>Nee door HttpOnly</w:t>
            </w:r>
          </w:p>
        </w:tc>
        <w:tc>
          <w:tcPr>
            <w:tcW w:type="dxa" w:w="3760"/>
            <w:tcMar>
              <w:top w:w="80" w:type="dxa"/>
              <w:bottom w:w="80" w:type="dxa"/>
              <w:start w:w="120" w:type="dxa"/>
              <w:end w:w="120" w:type="dxa"/>
            </w:tcMar>
            <w:vAlign w:val="center"/>
          </w:tcPr>
          <w:p>
            <w:pPr>
              <w:spacing w:before="0" w:after="20" w:line="259" w:lineRule="auto"/>
            </w:pPr>
            <w:r>
              <w:rPr>
                <w:rFonts w:ascii="Calibri" w:hAnsi="Calibri"/>
                <w:color w:val="202428"/>
                <w:sz w:val="17"/>
              </w:rPr>
              <w:t>Ja; nodig om Authorization-header te vullen</w:t>
            </w:r>
          </w:p>
        </w:tc>
      </w:tr>
      <w:tr>
        <w:tc>
          <w:tcPr>
            <w:tcW w:type="dxa" w:w="2200"/>
            <w:tcMar>
              <w:top w:w="80" w:type="dxa"/>
              <w:bottom w:w="80" w:type="dxa"/>
              <w:start w:w="120" w:type="dxa"/>
              <w:end w:w="120" w:type="dxa"/>
            </w:tcMar>
            <w:vAlign w:val="center"/>
          </w:tcPr>
          <w:p>
            <w:pPr>
              <w:spacing w:before="0" w:after="20" w:line="259" w:lineRule="auto"/>
            </w:pPr>
            <w:r>
              <w:rPr>
                <w:rFonts w:ascii="Calibri" w:hAnsi="Calibri"/>
                <w:color w:val="202428"/>
                <w:sz w:val="17"/>
              </w:rPr>
              <w:t>Automatisch meegestuurd</w:t>
            </w:r>
          </w:p>
        </w:tc>
        <w:tc>
          <w:tcPr>
            <w:tcW w:type="dxa" w:w="3400"/>
            <w:tcMar>
              <w:top w:w="80" w:type="dxa"/>
              <w:bottom w:w="80" w:type="dxa"/>
              <w:start w:w="120" w:type="dxa"/>
              <w:end w:w="120" w:type="dxa"/>
            </w:tcMar>
            <w:vAlign w:val="center"/>
          </w:tcPr>
          <w:p>
            <w:pPr>
              <w:spacing w:before="0" w:after="20" w:line="259" w:lineRule="auto"/>
            </w:pPr>
            <w:r>
              <w:rPr>
                <w:rFonts w:ascii="Calibri" w:hAnsi="Calibri"/>
                <w:color w:val="202428"/>
                <w:sz w:val="17"/>
              </w:rPr>
              <w:t>Ja, binnen cookiebeleid</w:t>
            </w:r>
          </w:p>
        </w:tc>
        <w:tc>
          <w:tcPr>
            <w:tcW w:type="dxa" w:w="3760"/>
            <w:tcMar>
              <w:top w:w="80" w:type="dxa"/>
              <w:bottom w:w="80" w:type="dxa"/>
              <w:start w:w="120" w:type="dxa"/>
              <w:end w:w="120" w:type="dxa"/>
            </w:tcMar>
            <w:vAlign w:val="center"/>
          </w:tcPr>
          <w:p>
            <w:pPr>
              <w:spacing w:before="0" w:after="20" w:line="259" w:lineRule="auto"/>
            </w:pPr>
            <w:r>
              <w:rPr>
                <w:rFonts w:ascii="Calibri" w:hAnsi="Calibri"/>
                <w:color w:val="202428"/>
                <w:sz w:val="17"/>
              </w:rPr>
              <w:t>Nee</w:t>
            </w:r>
          </w:p>
        </w:tc>
      </w:tr>
      <w:tr>
        <w:tc>
          <w:tcPr>
            <w:tcW w:type="dxa" w:w="2200"/>
            <w:tcMar>
              <w:top w:w="80" w:type="dxa"/>
              <w:bottom w:w="80" w:type="dxa"/>
              <w:start w:w="120" w:type="dxa"/>
              <w:end w:w="120" w:type="dxa"/>
            </w:tcMar>
            <w:vAlign w:val="center"/>
          </w:tcPr>
          <w:p>
            <w:pPr>
              <w:spacing w:before="0" w:after="20" w:line="259" w:lineRule="auto"/>
            </w:pPr>
            <w:r>
              <w:rPr>
                <w:rFonts w:ascii="Calibri" w:hAnsi="Calibri"/>
                <w:color w:val="202428"/>
                <w:sz w:val="17"/>
              </w:rPr>
              <w:t>Belangrijkste browserrisico</w:t>
            </w:r>
          </w:p>
        </w:tc>
        <w:tc>
          <w:tcPr>
            <w:tcW w:type="dxa" w:w="3400"/>
            <w:tcMar>
              <w:top w:w="80" w:type="dxa"/>
              <w:bottom w:w="80" w:type="dxa"/>
              <w:start w:w="120" w:type="dxa"/>
              <w:end w:w="120" w:type="dxa"/>
            </w:tcMar>
            <w:vAlign w:val="center"/>
          </w:tcPr>
          <w:p>
            <w:pPr>
              <w:spacing w:before="0" w:after="20" w:line="259" w:lineRule="auto"/>
            </w:pPr>
            <w:r>
              <w:rPr>
                <w:rFonts w:ascii="Calibri" w:hAnsi="Calibri"/>
                <w:color w:val="202428"/>
                <w:sz w:val="17"/>
              </w:rPr>
              <w:t>CSRF; daarom antiforgery</w:t>
            </w:r>
          </w:p>
        </w:tc>
        <w:tc>
          <w:tcPr>
            <w:tcW w:type="dxa" w:w="3760"/>
            <w:tcMar>
              <w:top w:w="80" w:type="dxa"/>
              <w:bottom w:w="80" w:type="dxa"/>
              <w:start w:w="120" w:type="dxa"/>
              <w:end w:w="120" w:type="dxa"/>
            </w:tcMar>
            <w:vAlign w:val="center"/>
          </w:tcPr>
          <w:p>
            <w:pPr>
              <w:spacing w:before="0" w:after="20" w:line="259" w:lineRule="auto"/>
            </w:pPr>
            <w:r>
              <w:rPr>
                <w:rFonts w:ascii="Calibri" w:hAnsi="Calibri"/>
                <w:color w:val="202428"/>
                <w:sz w:val="17"/>
              </w:rPr>
              <w:t>Tokendiefstal bij XSS</w:t>
            </w:r>
          </w:p>
        </w:tc>
      </w:tr>
      <w:tr>
        <w:tc>
          <w:tcPr>
            <w:tcW w:type="dxa" w:w="2200"/>
            <w:tcMar>
              <w:top w:w="80" w:type="dxa"/>
              <w:bottom w:w="80" w:type="dxa"/>
              <w:start w:w="120" w:type="dxa"/>
              <w:end w:w="120" w:type="dxa"/>
            </w:tcMar>
            <w:vAlign w:val="center"/>
          </w:tcPr>
          <w:p>
            <w:pPr>
              <w:spacing w:before="0" w:after="20" w:line="259" w:lineRule="auto"/>
            </w:pPr>
            <w:r>
              <w:rPr>
                <w:rFonts w:ascii="Calibri" w:hAnsi="Calibri"/>
                <w:color w:val="202428"/>
                <w:sz w:val="17"/>
              </w:rPr>
              <w:t>Huidige keuze</w:t>
            </w:r>
          </w:p>
        </w:tc>
        <w:tc>
          <w:tcPr>
            <w:tcW w:type="dxa" w:w="3400"/>
            <w:tcMar>
              <w:top w:w="80" w:type="dxa"/>
              <w:bottom w:w="80" w:type="dxa"/>
              <w:start w:w="120" w:type="dxa"/>
              <w:end w:w="120" w:type="dxa"/>
            </w:tcMar>
            <w:vAlign w:val="center"/>
          </w:tcPr>
          <w:p>
            <w:pPr>
              <w:spacing w:before="0" w:after="20" w:line="259" w:lineRule="auto"/>
            </w:pPr>
            <w:r>
              <w:rPr>
                <w:rFonts w:ascii="Calibri" w:hAnsi="Calibri"/>
                <w:color w:val="202428"/>
                <w:sz w:val="17"/>
              </w:rPr>
              <w:t>Past bij first-party Angular + API</w:t>
            </w:r>
          </w:p>
        </w:tc>
        <w:tc>
          <w:tcPr>
            <w:tcW w:type="dxa" w:w="3760"/>
            <w:tcMar>
              <w:top w:w="80" w:type="dxa"/>
              <w:bottom w:w="80" w:type="dxa"/>
              <w:start w:w="120" w:type="dxa"/>
              <w:end w:w="120" w:type="dxa"/>
            </w:tcMar>
            <w:vAlign w:val="center"/>
          </w:tcPr>
          <w:p>
            <w:pPr>
              <w:spacing w:before="0" w:after="20" w:line="259" w:lineRule="auto"/>
            </w:pPr>
            <w:r>
              <w:rPr>
                <w:rFonts w:ascii="Calibri" w:hAnsi="Calibri"/>
                <w:color w:val="202428"/>
                <w:sz w:val="17"/>
              </w:rPr>
              <w:t>Niet nodig voor de huidige architectuur</w:t>
            </w:r>
          </w:p>
        </w:tc>
      </w:tr>
    </w:tbl>
    <w:p>
      <w:pPr>
        <w:spacing w:after="40"/>
      </w:pPr>
    </w:p>
    <w:p>
      <w:bookmarkStart w:id="16" w:name="antiforgery"/>
      <w:pPr>
        <w:pStyle w:val="Heading1"/>
      </w:pPr>
      <w:r>
        <w:t>Antiforgery en CSRF stap voor stap</w:t>
      </w:r>
      <w:bookmarkEnd w:id="16"/>
    </w:p>
    <w:p>
      <w:pPr>
        <w:spacing w:before="0" w:after="80"/>
        <w:jc w:val="right"/>
      </w:pPr>
      <w:hyperlink w:anchor="inhoud">
        <w:r>
          <w:rPr>
            <w:color w:val="2E74B5"/>
            <w:u w:val="single"/>
          </w:rPr>
          <w:t>Terug naar inhoud</w:t>
        </w:r>
      </w:hyperlink>
    </w:p>
    <w:p>
      <w:r>
        <w:t>Cookie-authenticatie is ergonomisch omdat de browser Mira.Auth automatisch meestuurt. Precies dat automatische gedrag creëert CSRF-risico: een kwaadaardige website kan de browser van een ingelogde gebruiker een POST naar MIRA laten sturen. De aanvaller kan de authcookie niet lezen, maar hoeft dat zonder extra verdediging ook niet.</w:t>
      </w:r>
    </w:p>
    <w:p>
      <w:pPr>
        <w:keepNext/>
        <w:spacing w:before="100" w:after="0"/>
        <w:jc w:val="center"/>
      </w:pPr>
      <w:r>
        <w:drawing>
          <wp:inline xmlns:a="http://schemas.openxmlformats.org/drawingml/2006/main" xmlns:pic="http://schemas.openxmlformats.org/drawingml/2006/picture">
            <wp:extent cx="5715000" cy="3214688"/>
            <wp:docPr id="4" name="Picture 4" descr="Antiforgerydiagram met HttpOnly cookie, requesttoken, X-XSRF-TOKEN-header en MVC-validatiefilter."/>
            <wp:cNvGraphicFramePr>
              <a:graphicFrameLocks noChangeAspect="1"/>
            </wp:cNvGraphicFramePr>
            <a:graphic>
              <a:graphicData uri="http://schemas.openxmlformats.org/drawingml/2006/picture">
                <pic:pic>
                  <pic:nvPicPr>
                    <pic:cNvPr id="0" name="antiforgery.png"/>
                    <pic:cNvPicPr/>
                  </pic:nvPicPr>
                  <pic:blipFill>
                    <a:blip r:embed="rId16"/>
                    <a:stretch>
                      <a:fillRect/>
                    </a:stretch>
                  </pic:blipFill>
                  <pic:spPr>
                    <a:xfrm>
                      <a:off x="0" y="0"/>
                      <a:ext cx="5715000" cy="3214688"/>
                    </a:xfrm>
                    <a:prstGeom prst="rect"/>
                  </pic:spPr>
                </pic:pic>
              </a:graphicData>
            </a:graphic>
          </wp:inline>
        </w:drawing>
      </w:r>
    </w:p>
    <w:p>
      <w:pPr>
        <w:pStyle w:val="Caption"/>
      </w:pPr>
      <w:r>
        <w:t>Figuur 4. De server accepteert een onveilige request alleen wanneer cookie- en requesttoken bij elkaar horen.</w:t>
      </w:r>
    </w:p>
    <w:p>
      <w:pPr>
        <w:pStyle w:val="Heading2"/>
      </w:pPr>
      <w:r>
        <w:t>SecurityController</w:t>
      </w:r>
    </w:p>
    <w:p>
      <w:pPr>
        <w:pStyle w:val="CodeBlock"/>
        <w:shd w:fill="F6F8FA"/>
        <w:pBdr>
          <w:left w:val="single" w:sz="8" w:space="8" w:color="AAB7C4"/>
        </w:pBdr>
      </w:pPr>
      <w:r>
        <w:rPr>
          <w:rFonts w:ascii="Consolas" w:hAnsi="Consolas"/>
          <w:color w:val="15202B"/>
          <w:sz w:val="16"/>
        </w:rPr>
        <w:t>var tokens = antiforgery.GetAndStoreTokens(HttpContext);</w:t>
        <w:br/>
      </w:r>
      <w:r>
        <w:rPr>
          <w:rFonts w:ascii="Consolas" w:hAnsi="Consolas"/>
          <w:color w:val="15202B"/>
          <w:sz w:val="16"/>
        </w:rPr>
        <w:t>return Ok(new { token = tokens.RequestToken });</w:t>
      </w:r>
    </w:p>
    <w:p>
      <w:r>
        <w:t>GetAndStoreTokens maakt een tokenpaar. Het cookie-deel wordt als Mira.Xsrf opgeslagen en is HttpOnly. Het requestdeel wordt in JSON teruggestuurd omdat Angular het HttpOnly-cookie niet mag lezen. Bij elke POST/PUT/PATCH/DELETE stuurt Angular dit requesttoken in de X-XSRF-TOKEN-header en verstuurt de browser het cookie-deel automatisch. De globale MVC-filter vergelijkt beide delen vóór de action.</w:t>
      </w:r>
    </w:p>
    <w:p>
      <w:pPr>
        <w:pStyle w:val="Heading2"/>
      </w:pPr>
      <w:r>
        <w:t>Volledige browserflow</w:t>
      </w:r>
    </w:p>
    <w:p>
      <w:pPr>
        <w:numPr>
          <w:ilvl w:val="0"/>
          <w:numId w:val="11"/>
        </w:numPr>
        <w:spacing w:after="80" w:line="300" w:lineRule="auto"/>
      </w:pPr>
      <w:r>
        <w:rPr>
          <w:rFonts w:ascii="Calibri" w:hAnsi="Calibri"/>
          <w:color w:val="202428"/>
          <w:sz w:val="22"/>
        </w:rPr>
        <w:t>Angular doet GET /api/security/antiforgery met credentials en bewaart het JSON-token alleen in geheugen.</w:t>
      </w:r>
    </w:p>
    <w:p>
      <w:pPr>
        <w:numPr>
          <w:ilvl w:val="0"/>
          <w:numId w:val="11"/>
        </w:numPr>
        <w:spacing w:after="80" w:line="300" w:lineRule="auto"/>
      </w:pPr>
      <w:r>
        <w:rPr>
          <w:rFonts w:ascii="Calibri" w:hAnsi="Calibri"/>
          <w:color w:val="202428"/>
          <w:sz w:val="22"/>
        </w:rPr>
        <w:t>De server zet of hergebruikt Mira.Xsrf. De response is no-store zodat caches het token niet bewaren.</w:t>
      </w:r>
    </w:p>
    <w:p>
      <w:pPr>
        <w:numPr>
          <w:ilvl w:val="0"/>
          <w:numId w:val="11"/>
        </w:numPr>
        <w:spacing w:after="80" w:line="300" w:lineRule="auto"/>
      </w:pPr>
      <w:r>
        <w:rPr>
          <w:rFonts w:ascii="Calibri" w:hAnsi="Calibri"/>
          <w:color w:val="202428"/>
          <w:sz w:val="22"/>
        </w:rPr>
        <w:t>Angular doet POST /api/auth/login of register met X-XSRF-TOKEN en cookies.</w:t>
      </w:r>
    </w:p>
    <w:p>
      <w:pPr>
        <w:numPr>
          <w:ilvl w:val="0"/>
          <w:numId w:val="11"/>
        </w:numPr>
        <w:spacing w:after="80" w:line="300" w:lineRule="auto"/>
      </w:pPr>
      <w:r>
        <w:rPr>
          <w:rFonts w:ascii="Calibri" w:hAnsi="Calibri"/>
          <w:color w:val="202428"/>
          <w:sz w:val="22"/>
        </w:rPr>
        <w:t>Na succesvolle auth zet Identity Mira.Auth. De identiteit verandert van anonymous naar de gebruiker.</w:t>
      </w:r>
    </w:p>
    <w:p>
      <w:pPr>
        <w:numPr>
          <w:ilvl w:val="0"/>
          <w:numId w:val="11"/>
        </w:numPr>
        <w:spacing w:after="80" w:line="300" w:lineRule="auto"/>
      </w:pPr>
      <w:r>
        <w:rPr>
          <w:rFonts w:ascii="Calibri" w:hAnsi="Calibri"/>
          <w:color w:val="202428"/>
          <w:sz w:val="22"/>
        </w:rPr>
        <w:t>Angular haalt onmiddellijk opnieuw een antiforgerytoken op. Een requesttoken is aan de huidige identiteit gebonden.</w:t>
      </w:r>
    </w:p>
    <w:p>
      <w:pPr>
        <w:numPr>
          <w:ilvl w:val="0"/>
          <w:numId w:val="11"/>
        </w:numPr>
        <w:spacing w:after="80" w:line="300" w:lineRule="auto"/>
      </w:pPr>
      <w:r>
        <w:rPr>
          <w:rFonts w:ascii="Calibri" w:hAnsi="Calibri"/>
          <w:color w:val="202428"/>
          <w:sz w:val="22"/>
        </w:rPr>
        <w:t>Verdere onveilige requests sturen de vernieuwde header plus beide cookies met withCredentials: true.</w:t>
      </w:r>
    </w:p>
    <w:p>
      <w:pPr>
        <w:pStyle w:val="Callout"/>
        <w:shd w:fill="FCEBEC"/>
        <w:pBdr>
          <w:left w:val="single" w:sz="18" w:space="8" w:color="A33A3A"/>
        </w:pBdr>
      </w:pPr>
      <w:r>
        <w:rPr>
          <w:rFonts w:ascii="Calibri" w:hAnsi="Calibri"/>
          <w:b/>
          <w:color w:val="A33A3A"/>
          <w:sz w:val="21"/>
        </w:rPr>
        <w:t xml:space="preserve">Vaak gemaakte fout: </w:t>
      </w:r>
      <w:r>
        <w:rPr>
          <w:rFonts w:ascii="Calibri" w:hAnsi="Calibri"/>
          <w:color w:val="202428"/>
          <w:sz w:val="21"/>
        </w:rPr>
        <w:t>[AllowAnonymous] betekent niet ‘zonder antiforgery’. Login en registratie wijzigen servertoestand en worden door de globale filter beschermd. Zonder voorafgaande GET /api/security/antiforgery antwoordt MIRA met 400; een integratietest bewijst dit expliciet.</w:t>
      </w:r>
    </w:p>
    <w:p>
      <w:pPr>
        <w:pStyle w:val="Heading2"/>
      </w:pPr>
      <w:r>
        <w:t>SameSite, Secure en CORS</w:t>
      </w:r>
    </w:p>
    <w:p>
      <w:r>
        <w:t>In development gebruikt MIRA SameSite=None omdat Angular en de HTTPS-API verschillende origins hebben; None vereist Secure. In production staat SameSite=Lax, wat extra browserbescherming geeft wanneer frontend en API same-site worden gehost. CORS AllowCredentials en Angular withCredentials zijn nodig, maar vervangen het tokenpaar niet.</w:t>
      </w:r>
    </w:p>
    <w:p>
      <w:bookmarkStart w:id="17" w:name="domain"/>
      <w:pPr>
        <w:pStyle w:val="Heading1"/>
      </w:pPr>
      <w:r>
        <w:t>Domain entities en gedeelde basisklasse</w:t>
      </w:r>
      <w:bookmarkEnd w:id="17"/>
    </w:p>
    <w:p>
      <w:pPr>
        <w:spacing w:before="0" w:after="80"/>
        <w:jc w:val="right"/>
      </w:pPr>
      <w:hyperlink w:anchor="inhoud">
        <w:r>
          <w:rPr>
            <w:color w:val="2E74B5"/>
            <w:u w:val="single"/>
          </w:rPr>
          <w:t>Terug naar inhoud</w:t>
        </w:r>
      </w:hyperlink>
    </w:p>
    <w:p>
      <w:r>
        <w:t>Item is abstract en bundelt eigenschappen die ieder betekenisvol archiefitem nodig heeft. Abstract betekent dat er nooit alleen een Item wordt aangemaakt: het runtimeobject is altijd Asset, Document, Warranty, Contract of Subscription.</w:t>
      </w:r>
    </w:p>
    <w:p>
      <w:pPr>
        <w:pStyle w:val="CodeBlock"/>
        <w:shd w:fill="F6F8FA"/>
        <w:pBdr>
          <w:left w:val="single" w:sz="8" w:space="8" w:color="AAB7C4"/>
        </w:pBdr>
      </w:pPr>
      <w:r>
        <w:rPr>
          <w:rFonts w:ascii="Consolas" w:hAnsi="Consolas"/>
          <w:color w:val="15202B"/>
          <w:sz w:val="16"/>
        </w:rPr>
        <w:t>public abstract class Item</w:t>
        <w:br/>
      </w:r>
      <w:r>
        <w:rPr>
          <w:rFonts w:ascii="Consolas" w:hAnsi="Consolas"/>
          <w:color w:val="15202B"/>
          <w:sz w:val="16"/>
        </w:rPr>
        <w:t>{</w:t>
        <w:br/>
      </w:r>
      <w:r>
        <w:rPr>
          <w:rFonts w:ascii="Consolas" w:hAnsi="Consolas"/>
          <w:color w:val="15202B"/>
          <w:sz w:val="16"/>
        </w:rPr>
        <w:t xml:space="preserve">    public Guid Id { get; set; } = Guid.NewGuid();</w:t>
        <w:br/>
      </w:r>
      <w:r>
        <w:rPr>
          <w:rFonts w:ascii="Consolas" w:hAnsi="Consolas"/>
          <w:color w:val="15202B"/>
          <w:sz w:val="16"/>
        </w:rPr>
        <w:t xml:space="preserve">    public required Guid UserId { get; set; }</w:t>
        <w:br/>
      </w:r>
      <w:r>
        <w:rPr>
          <w:rFonts w:ascii="Consolas" w:hAnsi="Consolas"/>
          <w:color w:val="15202B"/>
          <w:sz w:val="16"/>
        </w:rPr>
        <w:t xml:space="preserve">    public required string Name { get; set; }</w:t>
        <w:br/>
      </w:r>
      <w:r>
        <w:rPr>
          <w:rFonts w:ascii="Consolas" w:hAnsi="Consolas"/>
          <w:color w:val="15202B"/>
          <w:sz w:val="16"/>
        </w:rPr>
        <w:t xml:space="preserve">    public ItemStatus Status { get; set; } = ItemStatus.Active;</w:t>
        <w:br/>
      </w:r>
      <w:r>
        <w:rPr>
          <w:rFonts w:ascii="Consolas" w:hAnsi="Consolas"/>
          <w:color w:val="15202B"/>
          <w:sz w:val="16"/>
        </w:rPr>
        <w:t xml:space="preserve">    public DateTimeOffset CreatedAt { get; set; } = DateTimeOffset.UtcNow;</w:t>
        <w:br/>
      </w:r>
      <w:r>
        <w:rPr>
          <w:rFonts w:ascii="Consolas" w:hAnsi="Consolas"/>
          <w:color w:val="15202B"/>
          <w:sz w:val="16"/>
        </w:rPr>
        <w:t xml:space="preserve">    public ICollection&lt;ItemDocument&gt; DocumentLinks { get; set; } = [];</w:t>
        <w:br/>
      </w:r>
      <w:r>
        <w:rPr>
          <w:rFonts w:ascii="Consolas" w:hAnsi="Consolas"/>
          <w:color w:val="15202B"/>
          <w:sz w:val="16"/>
        </w:rPr>
        <w:t>}</w:t>
      </w:r>
    </w:p>
    <w:p>
      <w:pPr>
        <w:pStyle w:val="Heading2"/>
      </w:pPr>
      <w:r>
        <w:t>Gedeelde velden</w:t>
      </w:r>
    </w:p>
    <w:tbl>
      <w:tblPr>
        <w:tblStyle w:val="TableGrid"/>
        <w:tblLook w:firstColumn="1" w:firstRow="1" w:lastColumn="0" w:lastRow="0" w:noHBand="0" w:noVBand="1" w:val="04A0"/>
        <w:jc w:val="left"/>
        <w:tblW w:w="9360" w:type="dxa"/>
        <w:tblInd w:w="120" w:type="dxa"/>
        <w:tblLayout w:type="fixed"/>
      </w:tblPr>
      <w:tblGrid>
        <w:gridCol w:w="2300"/>
        <w:gridCol w:w="7060"/>
      </w:tblGrid>
      <w:tr>
        <w:trPr>
          <w:tblHeader w:val="true"/>
        </w:trPr>
        <w:tc>
          <w:tcPr>
            <w:tcW w:type="dxa" w:w="230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Veld</w:t>
            </w:r>
          </w:p>
        </w:tc>
        <w:tc>
          <w:tcPr>
            <w:tcW w:type="dxa" w:w="706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Betekenis en regel</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8"/>
              </w:rPr>
              <w:t>Id</w:t>
            </w:r>
          </w:p>
        </w:tc>
        <w:tc>
          <w:tcPr>
            <w:tcW w:type="dxa" w:w="7060"/>
            <w:tcMar>
              <w:top w:w="80" w:type="dxa"/>
              <w:bottom w:w="80" w:type="dxa"/>
              <w:start w:w="120" w:type="dxa"/>
              <w:end w:w="120" w:type="dxa"/>
            </w:tcMar>
            <w:vAlign w:val="center"/>
          </w:tcPr>
          <w:p>
            <w:pPr>
              <w:spacing w:before="0" w:after="20" w:line="259" w:lineRule="auto"/>
            </w:pPr>
            <w:r>
              <w:rPr>
                <w:rFonts w:ascii="Calibri" w:hAnsi="Calibri"/>
                <w:color w:val="202428"/>
                <w:sz w:val="18"/>
              </w:rPr>
              <w:t>Nieuwe Guid aan de applicatiekant; route- en primary key</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8"/>
              </w:rPr>
              <w:t>UserId</w:t>
            </w:r>
          </w:p>
        </w:tc>
        <w:tc>
          <w:tcPr>
            <w:tcW w:type="dxa" w:w="7060"/>
            <w:tcMar>
              <w:top w:w="80" w:type="dxa"/>
              <w:bottom w:w="80" w:type="dxa"/>
              <w:start w:w="120" w:type="dxa"/>
              <w:end w:w="120" w:type="dxa"/>
            </w:tcMar>
            <w:vAlign w:val="center"/>
          </w:tcPr>
          <w:p>
            <w:pPr>
              <w:spacing w:before="0" w:after="20" w:line="259" w:lineRule="auto"/>
            </w:pPr>
            <w:r>
              <w:rPr>
                <w:rFonts w:ascii="Calibri" w:hAnsi="Calibri"/>
                <w:color w:val="202428"/>
                <w:sz w:val="18"/>
              </w:rPr>
              <w:t>Verplichte eigenaar; elke query filtert hierop</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8"/>
              </w:rPr>
              <w:t>Name</w:t>
            </w:r>
          </w:p>
        </w:tc>
        <w:tc>
          <w:tcPr>
            <w:tcW w:type="dxa" w:w="7060"/>
            <w:tcMar>
              <w:top w:w="80" w:type="dxa"/>
              <w:bottom w:w="80" w:type="dxa"/>
              <w:start w:w="120" w:type="dxa"/>
              <w:end w:w="120" w:type="dxa"/>
            </w:tcMar>
            <w:vAlign w:val="center"/>
          </w:tcPr>
          <w:p>
            <w:pPr>
              <w:spacing w:before="0" w:after="20" w:line="259" w:lineRule="auto"/>
            </w:pPr>
            <w:r>
              <w:rPr>
                <w:rFonts w:ascii="Calibri" w:hAnsi="Calibri"/>
                <w:color w:val="202428"/>
                <w:sz w:val="18"/>
              </w:rPr>
              <w:t>Verplicht, maximaal 200 tekens</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8"/>
              </w:rPr>
              <w:t>Description</w:t>
            </w:r>
          </w:p>
        </w:tc>
        <w:tc>
          <w:tcPr>
            <w:tcW w:type="dxa" w:w="7060"/>
            <w:tcMar>
              <w:top w:w="80" w:type="dxa"/>
              <w:bottom w:w="80" w:type="dxa"/>
              <w:start w:w="120" w:type="dxa"/>
              <w:end w:w="120" w:type="dxa"/>
            </w:tcMar>
            <w:vAlign w:val="center"/>
          </w:tcPr>
          <w:p>
            <w:pPr>
              <w:spacing w:before="0" w:after="20" w:line="259" w:lineRule="auto"/>
            </w:pPr>
            <w:r>
              <w:rPr>
                <w:rFonts w:ascii="Calibri" w:hAnsi="Calibri"/>
                <w:color w:val="202428"/>
                <w:sz w:val="18"/>
              </w:rPr>
              <w:t>Optioneel, maximaal 2.000 tekens</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8"/>
              </w:rPr>
              <w:t>Status</w:t>
            </w:r>
          </w:p>
        </w:tc>
        <w:tc>
          <w:tcPr>
            <w:tcW w:type="dxa" w:w="7060"/>
            <w:tcMar>
              <w:top w:w="80" w:type="dxa"/>
              <w:bottom w:w="80" w:type="dxa"/>
              <w:start w:w="120" w:type="dxa"/>
              <w:end w:w="120" w:type="dxa"/>
            </w:tcMar>
            <w:vAlign w:val="center"/>
          </w:tcPr>
          <w:p>
            <w:pPr>
              <w:spacing w:before="0" w:after="20" w:line="259" w:lineRule="auto"/>
            </w:pPr>
            <w:r>
              <w:rPr>
                <w:rFonts w:ascii="Calibri" w:hAnsi="Calibri"/>
                <w:color w:val="202428"/>
                <w:sz w:val="18"/>
              </w:rPr>
              <w:t>Draft/Active/Inactive/Expired/Completed/Cancelled/Archived</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8"/>
              </w:rPr>
              <w:t>CreatedAt</w:t>
            </w:r>
          </w:p>
        </w:tc>
        <w:tc>
          <w:tcPr>
            <w:tcW w:type="dxa" w:w="7060"/>
            <w:tcMar>
              <w:top w:w="80" w:type="dxa"/>
              <w:bottom w:w="80" w:type="dxa"/>
              <w:start w:w="120" w:type="dxa"/>
              <w:end w:w="120" w:type="dxa"/>
            </w:tcMar>
            <w:vAlign w:val="center"/>
          </w:tcPr>
          <w:p>
            <w:pPr>
              <w:spacing w:before="0" w:after="20" w:line="259" w:lineRule="auto"/>
            </w:pPr>
            <w:r>
              <w:rPr>
                <w:rFonts w:ascii="Calibri" w:hAnsi="Calibri"/>
                <w:color w:val="202428"/>
                <w:sz w:val="18"/>
              </w:rPr>
              <w:t>UTC-moment bij creatie</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8"/>
              </w:rPr>
              <w:t>UpdatedAt</w:t>
            </w:r>
          </w:p>
        </w:tc>
        <w:tc>
          <w:tcPr>
            <w:tcW w:type="dxa" w:w="7060"/>
            <w:tcMar>
              <w:top w:w="80" w:type="dxa"/>
              <w:bottom w:w="80" w:type="dxa"/>
              <w:start w:w="120" w:type="dxa"/>
              <w:end w:w="120" w:type="dxa"/>
            </w:tcMar>
            <w:vAlign w:val="center"/>
          </w:tcPr>
          <w:p>
            <w:pPr>
              <w:spacing w:before="0" w:after="20" w:line="259" w:lineRule="auto"/>
            </w:pPr>
            <w:r>
              <w:rPr>
                <w:rFonts w:ascii="Calibri" w:hAnsi="Calibri"/>
                <w:color w:val="202428"/>
                <w:sz w:val="18"/>
              </w:rPr>
              <w:t>UTC-moment van laatste wijziging; null zolang nooit gewijzigd</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8"/>
              </w:rPr>
              <w:t>ArchivedAt</w:t>
            </w:r>
          </w:p>
        </w:tc>
        <w:tc>
          <w:tcPr>
            <w:tcW w:type="dxa" w:w="7060"/>
            <w:tcMar>
              <w:top w:w="80" w:type="dxa"/>
              <w:bottom w:w="80" w:type="dxa"/>
              <w:start w:w="120" w:type="dxa"/>
              <w:end w:w="120" w:type="dxa"/>
            </w:tcMar>
            <w:vAlign w:val="center"/>
          </w:tcPr>
          <w:p>
            <w:pPr>
              <w:spacing w:before="0" w:after="20" w:line="259" w:lineRule="auto"/>
            </w:pPr>
            <w:r>
              <w:rPr>
                <w:rFonts w:ascii="Calibri" w:hAnsi="Calibri"/>
                <w:color w:val="202428"/>
                <w:sz w:val="18"/>
              </w:rPr>
              <w:t>UTC-moment waarop soft archive plaatsvond</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8"/>
              </w:rPr>
              <w:t>DocumentLinks</w:t>
            </w:r>
          </w:p>
        </w:tc>
        <w:tc>
          <w:tcPr>
            <w:tcW w:type="dxa" w:w="7060"/>
            <w:tcMar>
              <w:top w:w="80" w:type="dxa"/>
              <w:bottom w:w="80" w:type="dxa"/>
              <w:start w:w="120" w:type="dxa"/>
              <w:end w:w="120" w:type="dxa"/>
            </w:tcMar>
            <w:vAlign w:val="center"/>
          </w:tcPr>
          <w:p>
            <w:pPr>
              <w:spacing w:before="0" w:after="20" w:line="259" w:lineRule="auto"/>
            </w:pPr>
            <w:r>
              <w:rPr>
                <w:rFonts w:ascii="Calibri" w:hAnsi="Calibri"/>
                <w:color w:val="202428"/>
                <w:sz w:val="18"/>
              </w:rPr>
              <w:t>Navigatie naar ItemDocument-koppelingen waarbij dit item het doel is</w:t>
            </w:r>
          </w:p>
        </w:tc>
      </w:tr>
    </w:tbl>
    <w:p>
      <w:pPr>
        <w:spacing w:after="40"/>
      </w:pPr>
    </w:p>
    <w:p>
      <w:pPr>
        <w:pStyle w:val="Heading2"/>
      </w:pPr>
      <w:r>
        <w:t>Asset</w:t>
      </w:r>
    </w:p>
    <w:p>
      <w:r>
        <w:t>Asset bewaart merk, model, serienummer, aankoopdatum en -prijs, verkoper, locatie en actuele waarde. PurchasePrice en CurrentValue zijn decimal(18,2), geschikt voor geld zonder binary floating-pointfouten. De Warranties-collectie vormt de inverse navigatie van Warranty.Asset.</w:t>
      </w:r>
    </w:p>
    <w:p>
      <w:pPr>
        <w:pStyle w:val="Heading2"/>
      </w:pPr>
      <w:r>
        <w:t>Warranty</w:t>
      </w:r>
    </w:p>
    <w:p>
      <w:r>
        <w:t>Warranty heeft Provider, StartsOn, EndsOn, type, voorwaarden en claiminstructies. AssetId is verplicht. StartsOn en EndsOn zijn DateOnly: een garantie-einddatum heeft geen tijdzone of uur nodig. De API en SQL-constraint eisen EndsOn &gt;= StartsOn.</w:t>
      </w:r>
    </w:p>
    <w:p>
      <w:pPr>
        <w:pStyle w:val="Heading2"/>
      </w:pPr>
      <w:r>
        <w:t>Contract en Subscription</w:t>
      </w:r>
    </w:p>
    <w:p>
      <w:r>
        <w:t>Contract bevat contractpartij, nummer, looptijd, opzegtermijn/deadline, automatische verlenging, kost en optionele BillingFrequency. Subscription bevat provider, prijs, facturatiefrequentie, trial- en facturatiedatums, betaalmethode en activiteit. ContractId is optioneel: een abonnement kan zonder apart contract bestaan. Eén contract kan meerdere subscriptions hebben.</w:t>
      </w:r>
    </w:p>
    <w:p>
      <w:pPr>
        <w:pStyle w:val="Heading2"/>
      </w:pPr>
      <w:r>
        <w:t>Document en ItemDocument</w:t>
      </w:r>
    </w:p>
    <w:p>
      <w:r>
        <w:t>Document bevat alleen metadata: type, oorspronkelijke bestandsnaam, private StorageKey, door de server bepaalde MIME-type, bestandsgrootte, SHA-256-checksum, uitgifte/vervaldatum en uitgever. De bytes staan nooit in SQL. ItemDocument is de many-to-many-koppeling met samengestelde sleutel ItemId + DocumentId, plus Role en LinkedAt. Roles zijn Attachment, PrimaryImage en GalleryImage.</w:t>
      </w:r>
    </w:p>
    <w:p>
      <w:pPr>
        <w:pStyle w:val="Heading2"/>
      </w:pPr>
      <w:r>
        <w:t>Enums als gecontroleerde woordenlijst</w:t>
      </w:r>
    </w:p>
    <w:p>
      <w:r>
        <w:t>ItemStatus, DocumentType, ItemDocumentRole en BillingFrequency vermijden vrije tekst voor vaste concepten. EF Core bewaart ze als strings, zodat SQL leesbaar blijft. DTO's gebruiken eveneens strings, maar AllowedValues verhindert onbekende waarden vóór Enum.Parse wordt uitgevoerd.</w:t>
      </w:r>
    </w:p>
    <w:p>
      <w:bookmarkStart w:id="18" w:name="efcore"/>
      <w:pPr>
        <w:pStyle w:val="Heading1"/>
      </w:pPr>
      <w:r>
        <w:t>EF Core, TPT, relaties en migrations</w:t>
      </w:r>
      <w:bookmarkEnd w:id="18"/>
    </w:p>
    <w:p>
      <w:pPr>
        <w:spacing w:before="0" w:after="80"/>
        <w:jc w:val="right"/>
      </w:pPr>
      <w:hyperlink w:anchor="inhoud">
        <w:r>
          <w:rPr>
            <w:color w:val="2E74B5"/>
            <w:u w:val="single"/>
          </w:rPr>
          <w:t>Terug naar inhoud</w:t>
        </w:r>
      </w:hyperlink>
    </w:p>
    <w:p>
      <w:pPr>
        <w:keepNext/>
        <w:spacing w:before="100" w:after="0"/>
        <w:jc w:val="center"/>
      </w:pPr>
      <w:r>
        <w:drawing>
          <wp:inline xmlns:a="http://schemas.openxmlformats.org/drawingml/2006/main" xmlns:pic="http://schemas.openxmlformats.org/drawingml/2006/picture">
            <wp:extent cx="5715000" cy="3214688"/>
            <wp:docPr id="5" name="Picture 5" descr="Datamodeldiagram met Items, derived tables, AspNetUsers en ItemDocuments."/>
            <wp:cNvGraphicFramePr>
              <a:graphicFrameLocks noChangeAspect="1"/>
            </wp:cNvGraphicFramePr>
            <a:graphic>
              <a:graphicData uri="http://schemas.openxmlformats.org/drawingml/2006/picture">
                <pic:pic>
                  <pic:nvPicPr>
                    <pic:cNvPr id="0" name="tpt-model.png"/>
                    <pic:cNvPicPr/>
                  </pic:nvPicPr>
                  <pic:blipFill>
                    <a:blip r:embed="rId17"/>
                    <a:stretch>
                      <a:fillRect/>
                    </a:stretch>
                  </pic:blipFill>
                  <pic:spPr>
                    <a:xfrm>
                      <a:off x="0" y="0"/>
                      <a:ext cx="5715000" cy="3214688"/>
                    </a:xfrm>
                    <a:prstGeom prst="rect"/>
                  </pic:spPr>
                </pic:pic>
              </a:graphicData>
            </a:graphic>
          </wp:inline>
        </w:drawing>
      </w:r>
    </w:p>
    <w:p>
      <w:pPr>
        <w:pStyle w:val="Caption"/>
      </w:pPr>
      <w:r>
        <w:t>Figuur 5. TPT bewaart gedeelde Item-data en concrete velden in aparte tabellen met dezelfde Id.</w:t>
      </w:r>
    </w:p>
    <w:p>
      <w:pPr>
        <w:pStyle w:val="Heading2"/>
      </w:pPr>
      <w:r>
        <w:t>MiraContext erft van IdentityDbContext</w:t>
      </w:r>
    </w:p>
    <w:p>
      <w:r>
        <w:t>MiraContext : IdentityDbContext&lt;ApplicationUser, IdentityRole&lt;Guid&gt;, Guid&gt; betekent dat één DbContext zowel domeintabellen als alle AspNet*-tabellen beheert. base.OnModelCreating(modelBuilder) moet eerst worden aangeroepen; zonder die call ontbreken de Identity-mappings.</w:t>
      </w:r>
    </w:p>
    <w:p>
      <w:pPr>
        <w:pStyle w:val="Heading2"/>
      </w:pPr>
      <w:r>
        <w:t>Table-per-Type stap voor stap</w:t>
      </w:r>
    </w:p>
    <w:p>
      <w:r>
        <w:t>UseTptMappingStrategy() zet Item in Items en ieder subtype in een eigen tabel. Een Asset met Id X heeft één rij in Items en één rij in Assets, beide met Id X. EF voegt die rijen bij het materialiseren samen tot één Asset-object. Een query op Items kan alle subtypes teruggeven; een query op Assets joint alleen Items en Assets. Het voordeel is één betrouwbare foreign key naar elk Item. Het nadeel is dat polymorfe queries meerdere joins kunnen vragen.</w:t>
      </w:r>
    </w:p>
    <w:p>
      <w:pPr>
        <w:pStyle w:val="Heading2"/>
      </w:pPr>
      <w:r>
        <w:t>Value conversions</w:t>
      </w:r>
    </w:p>
    <w:p>
      <w:r>
        <w:t>HasConversion&lt;string&gt;() bewaart enumwaarden als tekst. HasMaxLength begrenst de SQL-kolom. Dit is leesbaarder en stabieler dan nummers, maar een enumwaarde hernoemen vereist een datamigration omdat bestaande tekstwaarden anders niet meer parsebaar zijn.</w:t>
      </w:r>
    </w:p>
    <w:p>
      <w:pPr>
        <w:pStyle w:val="Heading2"/>
      </w:pPr>
      <w:r>
        <w:t>Relaties en delete behavior</w:t>
      </w:r>
    </w:p>
    <w:tbl>
      <w:tblPr>
        <w:tblStyle w:val="TableGrid"/>
        <w:tblLook w:firstColumn="1" w:firstRow="1" w:lastColumn="0" w:lastRow="0" w:noHBand="0" w:noVBand="1" w:val="04A0"/>
        <w:jc w:val="left"/>
        <w:tblW w:w="9360" w:type="dxa"/>
        <w:tblInd w:w="120" w:type="dxa"/>
        <w:tblLayout w:type="fixed"/>
      </w:tblPr>
      <w:tblGrid>
        <w:gridCol w:w="3550"/>
        <w:gridCol w:w="1700"/>
        <w:gridCol w:w="4110"/>
      </w:tblGrid>
      <w:tr>
        <w:trPr>
          <w:tblHeader w:val="true"/>
        </w:trPr>
        <w:tc>
          <w:tcPr>
            <w:tcW w:type="dxa" w:w="355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Relatie</w:t>
            </w:r>
          </w:p>
        </w:tc>
        <w:tc>
          <w:tcPr>
            <w:tcW w:type="dxa" w:w="17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Delete behavior</w:t>
            </w:r>
          </w:p>
        </w:tc>
        <w:tc>
          <w:tcPr>
            <w:tcW w:type="dxa" w:w="411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Waarom</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7"/>
              </w:rPr>
              <w:t>Item -&gt; ApplicationUser</w:t>
            </w:r>
          </w:p>
        </w:tc>
        <w:tc>
          <w:tcPr>
            <w:tcW w:type="dxa" w:w="1700"/>
            <w:tcMar>
              <w:top w:w="80" w:type="dxa"/>
              <w:bottom w:w="80" w:type="dxa"/>
              <w:start w:w="120" w:type="dxa"/>
              <w:end w:w="120" w:type="dxa"/>
            </w:tcMar>
            <w:vAlign w:val="center"/>
          </w:tcPr>
          <w:p>
            <w:pPr>
              <w:spacing w:before="0" w:after="20" w:line="259" w:lineRule="auto"/>
            </w:pPr>
            <w:r>
              <w:rPr>
                <w:rFonts w:ascii="Calibri" w:hAnsi="Calibri"/>
                <w:color w:val="202428"/>
                <w:sz w:val="17"/>
              </w:rPr>
              <w:t>Restrict</w:t>
            </w:r>
          </w:p>
        </w:tc>
        <w:tc>
          <w:tcPr>
            <w:tcW w:type="dxa" w:w="4110"/>
            <w:tcMar>
              <w:top w:w="80" w:type="dxa"/>
              <w:bottom w:w="80" w:type="dxa"/>
              <w:start w:w="120" w:type="dxa"/>
              <w:end w:w="120" w:type="dxa"/>
            </w:tcMar>
            <w:vAlign w:val="center"/>
          </w:tcPr>
          <w:p>
            <w:pPr>
              <w:spacing w:before="0" w:after="20" w:line="259" w:lineRule="auto"/>
            </w:pPr>
            <w:r>
              <w:rPr>
                <w:rFonts w:ascii="Calibri" w:hAnsi="Calibri"/>
                <w:color w:val="202428"/>
                <w:sz w:val="17"/>
              </w:rPr>
              <w:t>Geen account verwijderen zolang items bestaan zonder bewuste dataflow</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7"/>
              </w:rPr>
              <w:t>ItemDocument.Item -&gt; Item</w:t>
            </w:r>
          </w:p>
        </w:tc>
        <w:tc>
          <w:tcPr>
            <w:tcW w:type="dxa" w:w="1700"/>
            <w:tcMar>
              <w:top w:w="80" w:type="dxa"/>
              <w:bottom w:w="80" w:type="dxa"/>
              <w:start w:w="120" w:type="dxa"/>
              <w:end w:w="120" w:type="dxa"/>
            </w:tcMar>
            <w:vAlign w:val="center"/>
          </w:tcPr>
          <w:p>
            <w:pPr>
              <w:spacing w:before="0" w:after="20" w:line="259" w:lineRule="auto"/>
            </w:pPr>
            <w:r>
              <w:rPr>
                <w:rFonts w:ascii="Calibri" w:hAnsi="Calibri"/>
                <w:color w:val="202428"/>
                <w:sz w:val="17"/>
              </w:rPr>
              <w:t>Cascade</w:t>
            </w:r>
          </w:p>
        </w:tc>
        <w:tc>
          <w:tcPr>
            <w:tcW w:type="dxa" w:w="4110"/>
            <w:tcMar>
              <w:top w:w="80" w:type="dxa"/>
              <w:bottom w:w="80" w:type="dxa"/>
              <w:start w:w="120" w:type="dxa"/>
              <w:end w:w="120" w:type="dxa"/>
            </w:tcMar>
            <w:vAlign w:val="center"/>
          </w:tcPr>
          <w:p>
            <w:pPr>
              <w:spacing w:before="0" w:after="20" w:line="259" w:lineRule="auto"/>
            </w:pPr>
            <w:r>
              <w:rPr>
                <w:rFonts w:ascii="Calibri" w:hAnsi="Calibri"/>
                <w:color w:val="202428"/>
                <w:sz w:val="17"/>
              </w:rPr>
              <w:t>Bij itemverwijdering verdwijnen zijn koppelingen</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7"/>
              </w:rPr>
              <w:t>ItemDocument.Document -&gt; Document</w:t>
            </w:r>
          </w:p>
        </w:tc>
        <w:tc>
          <w:tcPr>
            <w:tcW w:type="dxa" w:w="1700"/>
            <w:tcMar>
              <w:top w:w="80" w:type="dxa"/>
              <w:bottom w:w="80" w:type="dxa"/>
              <w:start w:w="120" w:type="dxa"/>
              <w:end w:w="120" w:type="dxa"/>
            </w:tcMar>
            <w:vAlign w:val="center"/>
          </w:tcPr>
          <w:p>
            <w:pPr>
              <w:spacing w:before="0" w:after="20" w:line="259" w:lineRule="auto"/>
            </w:pPr>
            <w:r>
              <w:rPr>
                <w:rFonts w:ascii="Calibri" w:hAnsi="Calibri"/>
                <w:color w:val="202428"/>
                <w:sz w:val="17"/>
              </w:rPr>
              <w:t>Restrict</w:t>
            </w:r>
          </w:p>
        </w:tc>
        <w:tc>
          <w:tcPr>
            <w:tcW w:type="dxa" w:w="4110"/>
            <w:tcMar>
              <w:top w:w="80" w:type="dxa"/>
              <w:bottom w:w="80" w:type="dxa"/>
              <w:start w:w="120" w:type="dxa"/>
              <w:end w:w="120" w:type="dxa"/>
            </w:tcMar>
            <w:vAlign w:val="center"/>
          </w:tcPr>
          <w:p>
            <w:pPr>
              <w:spacing w:before="0" w:after="20" w:line="259" w:lineRule="auto"/>
            </w:pPr>
            <w:r>
              <w:rPr>
                <w:rFonts w:ascii="Calibri" w:hAnsi="Calibri"/>
                <w:color w:val="202428"/>
                <w:sz w:val="17"/>
              </w:rPr>
              <w:t>Document mag niet verdwijnen terwijl links blijven bestaan</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7"/>
              </w:rPr>
              <w:t>Warranty -&gt; Asset</w:t>
            </w:r>
          </w:p>
        </w:tc>
        <w:tc>
          <w:tcPr>
            <w:tcW w:type="dxa" w:w="1700"/>
            <w:tcMar>
              <w:top w:w="80" w:type="dxa"/>
              <w:bottom w:w="80" w:type="dxa"/>
              <w:start w:w="120" w:type="dxa"/>
              <w:end w:w="120" w:type="dxa"/>
            </w:tcMar>
            <w:vAlign w:val="center"/>
          </w:tcPr>
          <w:p>
            <w:pPr>
              <w:spacing w:before="0" w:after="20" w:line="259" w:lineRule="auto"/>
            </w:pPr>
            <w:r>
              <w:rPr>
                <w:rFonts w:ascii="Calibri" w:hAnsi="Calibri"/>
                <w:color w:val="202428"/>
                <w:sz w:val="17"/>
              </w:rPr>
              <w:t>Restrict</w:t>
            </w:r>
          </w:p>
        </w:tc>
        <w:tc>
          <w:tcPr>
            <w:tcW w:type="dxa" w:w="4110"/>
            <w:tcMar>
              <w:top w:w="80" w:type="dxa"/>
              <w:bottom w:w="80" w:type="dxa"/>
              <w:start w:w="120" w:type="dxa"/>
              <w:end w:w="120" w:type="dxa"/>
            </w:tcMar>
            <w:vAlign w:val="center"/>
          </w:tcPr>
          <w:p>
            <w:pPr>
              <w:spacing w:before="0" w:after="20" w:line="259" w:lineRule="auto"/>
            </w:pPr>
            <w:r>
              <w:rPr>
                <w:rFonts w:ascii="Calibri" w:hAnsi="Calibri"/>
                <w:color w:val="202428"/>
                <w:sz w:val="17"/>
              </w:rPr>
              <w:t>Asset met garanties niet per ongeluk hard verwijderen</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7"/>
              </w:rPr>
              <w:t>Subscription -&gt; Contract</w:t>
            </w:r>
          </w:p>
        </w:tc>
        <w:tc>
          <w:tcPr>
            <w:tcW w:type="dxa" w:w="1700"/>
            <w:tcMar>
              <w:top w:w="80" w:type="dxa"/>
              <w:bottom w:w="80" w:type="dxa"/>
              <w:start w:w="120" w:type="dxa"/>
              <w:end w:w="120" w:type="dxa"/>
            </w:tcMar>
            <w:vAlign w:val="center"/>
          </w:tcPr>
          <w:p>
            <w:pPr>
              <w:spacing w:before="0" w:after="20" w:line="259" w:lineRule="auto"/>
            </w:pPr>
            <w:r>
              <w:rPr>
                <w:rFonts w:ascii="Calibri" w:hAnsi="Calibri"/>
                <w:color w:val="202428"/>
                <w:sz w:val="17"/>
              </w:rPr>
              <w:t>NoAction</w:t>
            </w:r>
          </w:p>
        </w:tc>
        <w:tc>
          <w:tcPr>
            <w:tcW w:type="dxa" w:w="4110"/>
            <w:tcMar>
              <w:top w:w="80" w:type="dxa"/>
              <w:bottom w:w="80" w:type="dxa"/>
              <w:start w:w="120" w:type="dxa"/>
              <w:end w:w="120" w:type="dxa"/>
            </w:tcMar>
            <w:vAlign w:val="center"/>
          </w:tcPr>
          <w:p>
            <w:pPr>
              <w:spacing w:before="0" w:after="20" w:line="259" w:lineRule="auto"/>
            </w:pPr>
            <w:r>
              <w:rPr>
                <w:rFonts w:ascii="Calibri" w:hAnsi="Calibri"/>
                <w:color w:val="202428"/>
                <w:sz w:val="17"/>
              </w:rPr>
              <w:t>Vermijdt cascadepaden; applicatie beheert de relatie</w:t>
            </w:r>
          </w:p>
        </w:tc>
      </w:tr>
    </w:tbl>
    <w:p>
      <w:pPr>
        <w:spacing w:after="40"/>
      </w:pPr>
    </w:p>
    <w:p>
      <w:pPr>
        <w:pStyle w:val="Heading2"/>
      </w:pPr>
      <w:r>
        <w:t>Indexes</w:t>
      </w:r>
    </w:p>
    <w:p>
      <w:r>
        <w:t>Indexes ondersteunen de querypatronen: UserId en (UserId, Status) voor isolatie/lijsten; SerialNumber, ExpiresOn, EndsOn, CancellationDeadline en NextBillingDate voor zoeken en dashboard; Checksum voor duplicaatdetectie; StorageKey uniek voor de fysieke referentie. De gefilterde unieke index op (ItemId, Role) waar Role = PrimaryImage garandeert ook bij gelijktijdige requests maximaal één hoofdafbeelding.</w:t>
      </w:r>
    </w:p>
    <w:p>
      <w:pPr>
        <w:pStyle w:val="Heading2"/>
      </w:pPr>
      <w:r>
        <w:t>Check constraints</w:t>
      </w:r>
    </w:p>
    <w:p>
      <w:r>
        <w:t>DataAnnotations beschermen normale API-input; SQL-checkconstraints beschermen de database ook tegen imports, bugs of andere applicaties. MIRA controleert onder meer niet-negatieve geldbedragen, positieve bestandsgrootte, logische datumreeksen, positieve verlengingsperioden en ItemId != DocumentId. De migration AddDocumentAndDateConstraints voegt de nieuwste datumregels en unieke StorageKey-index toe.</w:t>
      </w:r>
    </w:p>
    <w:p>
      <w:pPr>
        <w:pStyle w:val="Callout"/>
        <w:shd w:fill="FFF6D9"/>
        <w:pBdr>
          <w:left w:val="single" w:sz="18" w:space="8" w:color="9A6700"/>
        </w:pBdr>
      </w:pPr>
      <w:r>
        <w:rPr>
          <w:rFonts w:ascii="Calibri" w:hAnsi="Calibri"/>
          <w:b/>
          <w:color w:val="9A6700"/>
          <w:sz w:val="21"/>
        </w:rPr>
        <w:t xml:space="preserve">Migration versus database: </w:t>
      </w:r>
      <w:r>
        <w:rPr>
          <w:rFonts w:ascii="Calibri" w:hAnsi="Calibri"/>
          <w:color w:val="202428"/>
          <w:sz w:val="21"/>
        </w:rPr>
        <w:t>Een migrationbestand beschrijft de schemawijziging, maar past hem niet automatisch toe. Voer lokaal of in deployment expliciet dotnet ef database update uit nadat bestaande data aan de nieuwe constraints is gecontroleerd.</w:t>
      </w:r>
    </w:p>
    <w:p>
      <w:bookmarkStart w:id="19" w:name="contracts"/>
      <w:pPr>
        <w:pStyle w:val="Heading1"/>
      </w:pPr>
      <w:r>
        <w:t>DTO-validatie en AutoMapper</w:t>
      </w:r>
      <w:bookmarkEnd w:id="19"/>
    </w:p>
    <w:p>
      <w:pPr>
        <w:spacing w:before="0" w:after="80"/>
        <w:jc w:val="right"/>
      </w:pPr>
      <w:hyperlink w:anchor="inhoud">
        <w:r>
          <w:rPr>
            <w:color w:val="2E74B5"/>
            <w:u w:val="single"/>
          </w:rPr>
          <w:t>Terug naar inhoud</w:t>
        </w:r>
      </w:hyperlink>
    </w:p>
    <w:p>
      <w:r>
        <w:t>Entities zijn interne persistencemodellen. DTO's zijn het publieke HTTP-contract. Daardoor kan Document.StorageKey intern blijven en ziet de client alleen veilige metadata. Create- en Update-DTO's bevatten validatie; Summary-DTO's zijn compact voor lijsten; Detail-DTO's bevatten de volledige view.</w:t>
      </w:r>
    </w:p>
    <w:p>
      <w:pPr>
        <w:pStyle w:val="Heading2"/>
      </w:pPr>
      <w:r>
        <w:t>DataAnnotations</w:t>
      </w:r>
    </w:p>
    <w:tbl>
      <w:tblPr>
        <w:tblStyle w:val="TableGrid"/>
        <w:tblLook w:firstColumn="1" w:firstRow="1" w:lastColumn="0" w:lastRow="0" w:noHBand="0" w:noVBand="1" w:val="04A0"/>
        <w:jc w:val="left"/>
        <w:tblW w:w="9360" w:type="dxa"/>
        <w:tblInd w:w="120" w:type="dxa"/>
        <w:tblLayout w:type="fixed"/>
      </w:tblPr>
      <w:tblGrid>
        <w:gridCol w:w="2850"/>
        <w:gridCol w:w="6510"/>
      </w:tblGrid>
      <w:tr>
        <w:trPr>
          <w:tblHeader w:val="true"/>
        </w:trPr>
        <w:tc>
          <w:tcPr>
            <w:tcW w:type="dxa" w:w="285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Attribuut</w:t>
            </w:r>
          </w:p>
        </w:tc>
        <w:tc>
          <w:tcPr>
            <w:tcW w:type="dxa" w:w="651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Wat ASP.NET Core controleert</w:t>
            </w:r>
          </w:p>
        </w:tc>
      </w:tr>
      <w:tr>
        <w:tc>
          <w:tcPr>
            <w:tcW w:type="dxa" w:w="2850"/>
            <w:tcMar>
              <w:top w:w="80" w:type="dxa"/>
              <w:bottom w:w="80" w:type="dxa"/>
              <w:start w:w="120" w:type="dxa"/>
              <w:end w:w="120" w:type="dxa"/>
            </w:tcMar>
            <w:vAlign w:val="center"/>
          </w:tcPr>
          <w:p>
            <w:pPr>
              <w:spacing w:before="0" w:after="20" w:line="259" w:lineRule="auto"/>
            </w:pPr>
            <w:r>
              <w:rPr>
                <w:rFonts w:ascii="Calibri" w:hAnsi="Calibri"/>
                <w:color w:val="202428"/>
                <w:sz w:val="18"/>
              </w:rPr>
              <w:t>[Required]</w:t>
            </w:r>
          </w:p>
        </w:tc>
        <w:tc>
          <w:tcPr>
            <w:tcW w:type="dxa" w:w="6510"/>
            <w:tcMar>
              <w:top w:w="80" w:type="dxa"/>
              <w:bottom w:w="80" w:type="dxa"/>
              <w:start w:w="120" w:type="dxa"/>
              <w:end w:w="120" w:type="dxa"/>
            </w:tcMar>
            <w:vAlign w:val="center"/>
          </w:tcPr>
          <w:p>
            <w:pPr>
              <w:spacing w:before="0" w:after="20" w:line="259" w:lineRule="auto"/>
            </w:pPr>
            <w:r>
              <w:rPr>
                <w:rFonts w:ascii="Calibri" w:hAnsi="Calibri"/>
                <w:color w:val="202428"/>
                <w:sz w:val="18"/>
              </w:rPr>
              <w:t>Waarde moet aanwezig en voor strings niet leeg zijn</w:t>
            </w:r>
          </w:p>
        </w:tc>
      </w:tr>
      <w:tr>
        <w:tc>
          <w:tcPr>
            <w:tcW w:type="dxa" w:w="2850"/>
            <w:tcMar>
              <w:top w:w="80" w:type="dxa"/>
              <w:bottom w:w="80" w:type="dxa"/>
              <w:start w:w="120" w:type="dxa"/>
              <w:end w:w="120" w:type="dxa"/>
            </w:tcMar>
            <w:vAlign w:val="center"/>
          </w:tcPr>
          <w:p>
            <w:pPr>
              <w:spacing w:before="0" w:after="20" w:line="259" w:lineRule="auto"/>
            </w:pPr>
            <w:r>
              <w:rPr>
                <w:rFonts w:ascii="Calibri" w:hAnsi="Calibri"/>
                <w:color w:val="202428"/>
                <w:sz w:val="18"/>
              </w:rPr>
              <w:t>[MaxLength(n)]</w:t>
            </w:r>
          </w:p>
        </w:tc>
        <w:tc>
          <w:tcPr>
            <w:tcW w:type="dxa" w:w="6510"/>
            <w:tcMar>
              <w:top w:w="80" w:type="dxa"/>
              <w:bottom w:w="80" w:type="dxa"/>
              <w:start w:w="120" w:type="dxa"/>
              <w:end w:w="120" w:type="dxa"/>
            </w:tcMar>
            <w:vAlign w:val="center"/>
          </w:tcPr>
          <w:p>
            <w:pPr>
              <w:spacing w:before="0" w:after="20" w:line="259" w:lineRule="auto"/>
            </w:pPr>
            <w:r>
              <w:rPr>
                <w:rFonts w:ascii="Calibri" w:hAnsi="Calibri"/>
                <w:color w:val="202428"/>
                <w:sz w:val="18"/>
              </w:rPr>
              <w:t>Begrenst strings vóór EF/SQL</w:t>
            </w:r>
          </w:p>
        </w:tc>
      </w:tr>
      <w:tr>
        <w:tc>
          <w:tcPr>
            <w:tcW w:type="dxa" w:w="2850"/>
            <w:tcMar>
              <w:top w:w="80" w:type="dxa"/>
              <w:bottom w:w="80" w:type="dxa"/>
              <w:start w:w="120" w:type="dxa"/>
              <w:end w:w="120" w:type="dxa"/>
            </w:tcMar>
            <w:vAlign w:val="center"/>
          </w:tcPr>
          <w:p>
            <w:pPr>
              <w:spacing w:before="0" w:after="20" w:line="259" w:lineRule="auto"/>
            </w:pPr>
            <w:r>
              <w:rPr>
                <w:rFonts w:ascii="Calibri" w:hAnsi="Calibri"/>
                <w:color w:val="202428"/>
                <w:sz w:val="18"/>
              </w:rPr>
              <w:t>[Range(min,max)]</w:t>
            </w:r>
          </w:p>
        </w:tc>
        <w:tc>
          <w:tcPr>
            <w:tcW w:type="dxa" w:w="6510"/>
            <w:tcMar>
              <w:top w:w="80" w:type="dxa"/>
              <w:bottom w:w="80" w:type="dxa"/>
              <w:start w:w="120" w:type="dxa"/>
              <w:end w:w="120" w:type="dxa"/>
            </w:tcMar>
            <w:vAlign w:val="center"/>
          </w:tcPr>
          <w:p>
            <w:pPr>
              <w:spacing w:before="0" w:after="20" w:line="259" w:lineRule="auto"/>
            </w:pPr>
            <w:r>
              <w:rPr>
                <w:rFonts w:ascii="Calibri" w:hAnsi="Calibri"/>
                <w:color w:val="202428"/>
                <w:sz w:val="18"/>
              </w:rPr>
              <w:t>Geldbedragen en dagen blijven niet-negatief</w:t>
            </w:r>
          </w:p>
        </w:tc>
      </w:tr>
      <w:tr>
        <w:tc>
          <w:tcPr>
            <w:tcW w:type="dxa" w:w="2850"/>
            <w:tcMar>
              <w:top w:w="80" w:type="dxa"/>
              <w:bottom w:w="80" w:type="dxa"/>
              <w:start w:w="120" w:type="dxa"/>
              <w:end w:w="120" w:type="dxa"/>
            </w:tcMar>
            <w:vAlign w:val="center"/>
          </w:tcPr>
          <w:p>
            <w:pPr>
              <w:spacing w:before="0" w:after="20" w:line="259" w:lineRule="auto"/>
            </w:pPr>
            <w:r>
              <w:rPr>
                <w:rFonts w:ascii="Calibri" w:hAnsi="Calibri"/>
                <w:color w:val="202428"/>
                <w:sz w:val="18"/>
              </w:rPr>
              <w:t>[EmailAddress]</w:t>
            </w:r>
          </w:p>
        </w:tc>
        <w:tc>
          <w:tcPr>
            <w:tcW w:type="dxa" w:w="6510"/>
            <w:tcMar>
              <w:top w:w="80" w:type="dxa"/>
              <w:bottom w:w="80" w:type="dxa"/>
              <w:start w:w="120" w:type="dxa"/>
              <w:end w:w="120" w:type="dxa"/>
            </w:tcMar>
            <w:vAlign w:val="center"/>
          </w:tcPr>
          <w:p>
            <w:pPr>
              <w:spacing w:before="0" w:after="20" w:line="259" w:lineRule="auto"/>
            </w:pPr>
            <w:r>
              <w:rPr>
                <w:rFonts w:ascii="Calibri" w:hAnsi="Calibri"/>
                <w:color w:val="202428"/>
                <w:sz w:val="18"/>
              </w:rPr>
              <w:t>Basale e-mailvorm bij register/login</w:t>
            </w:r>
          </w:p>
        </w:tc>
      </w:tr>
      <w:tr>
        <w:tc>
          <w:tcPr>
            <w:tcW w:type="dxa" w:w="2850"/>
            <w:tcMar>
              <w:top w:w="80" w:type="dxa"/>
              <w:bottom w:w="80" w:type="dxa"/>
              <w:start w:w="120" w:type="dxa"/>
              <w:end w:w="120" w:type="dxa"/>
            </w:tcMar>
            <w:vAlign w:val="center"/>
          </w:tcPr>
          <w:p>
            <w:pPr>
              <w:spacing w:before="0" w:after="20" w:line="259" w:lineRule="auto"/>
            </w:pPr>
            <w:r>
              <w:rPr>
                <w:rFonts w:ascii="Calibri" w:hAnsi="Calibri"/>
                <w:color w:val="202428"/>
                <w:sz w:val="18"/>
              </w:rPr>
              <w:t>[AllowedValues(...)]</w:t>
            </w:r>
          </w:p>
        </w:tc>
        <w:tc>
          <w:tcPr>
            <w:tcW w:type="dxa" w:w="6510"/>
            <w:tcMar>
              <w:top w:w="80" w:type="dxa"/>
              <w:bottom w:w="80" w:type="dxa"/>
              <w:start w:w="120" w:type="dxa"/>
              <w:end w:w="120" w:type="dxa"/>
            </w:tcMar>
            <w:vAlign w:val="center"/>
          </w:tcPr>
          <w:p>
            <w:pPr>
              <w:spacing w:before="0" w:after="20" w:line="259" w:lineRule="auto"/>
            </w:pPr>
            <w:r>
              <w:rPr>
                <w:rFonts w:ascii="Calibri" w:hAnsi="Calibri"/>
                <w:color w:val="202428"/>
                <w:sz w:val="18"/>
              </w:rPr>
              <w:t>Alleen bekende enumstrings passeren</w:t>
            </w:r>
          </w:p>
        </w:tc>
      </w:tr>
      <w:tr>
        <w:tc>
          <w:tcPr>
            <w:tcW w:type="dxa" w:w="2850"/>
            <w:tcMar>
              <w:top w:w="80" w:type="dxa"/>
              <w:bottom w:w="80" w:type="dxa"/>
              <w:start w:w="120" w:type="dxa"/>
              <w:end w:w="120" w:type="dxa"/>
            </w:tcMar>
            <w:vAlign w:val="center"/>
          </w:tcPr>
          <w:p>
            <w:pPr>
              <w:spacing w:before="0" w:after="20" w:line="259" w:lineRule="auto"/>
            </w:pPr>
            <w:r>
              <w:rPr>
                <w:rFonts w:ascii="Calibri" w:hAnsi="Calibri"/>
                <w:color w:val="202428"/>
                <w:sz w:val="18"/>
              </w:rPr>
              <w:t>IValidatableObject</w:t>
            </w:r>
          </w:p>
        </w:tc>
        <w:tc>
          <w:tcPr>
            <w:tcW w:type="dxa" w:w="6510"/>
            <w:tcMar>
              <w:top w:w="80" w:type="dxa"/>
              <w:bottom w:w="80" w:type="dxa"/>
              <w:start w:w="120" w:type="dxa"/>
              <w:end w:w="120" w:type="dxa"/>
            </w:tcMar>
            <w:vAlign w:val="center"/>
          </w:tcPr>
          <w:p>
            <w:pPr>
              <w:spacing w:before="0" w:after="20" w:line="259" w:lineRule="auto"/>
            </w:pPr>
            <w:r>
              <w:rPr>
                <w:rFonts w:ascii="Calibri" w:hAnsi="Calibri"/>
                <w:color w:val="202428"/>
                <w:sz w:val="18"/>
              </w:rPr>
              <w:t>Regels over meerdere velden, zoals EndsOn &gt;= StartsOn</w:t>
            </w:r>
          </w:p>
        </w:tc>
      </w:tr>
    </w:tbl>
    <w:p>
      <w:pPr>
        <w:spacing w:after="40"/>
      </w:pPr>
    </w:p>
    <w:p>
      <w:pPr>
        <w:keepNext/>
        <w:spacing w:before="100" w:after="60"/>
      </w:pPr>
      <w:r>
        <w:rPr>
          <w:rFonts w:ascii="Calibri" w:hAnsi="Calibri"/>
          <w:b/>
          <w:color w:val="5F6B76"/>
          <w:sz w:val="18"/>
        </w:rPr>
        <w:t>Cross-fieldvalidatie in Warranty-DTO's</w:t>
      </w:r>
    </w:p>
    <w:p>
      <w:pPr>
        <w:pStyle w:val="CodeBlock"/>
        <w:shd w:fill="F6F8FA"/>
        <w:pBdr>
          <w:left w:val="single" w:sz="8" w:space="8" w:color="AAB7C4"/>
        </w:pBdr>
      </w:pPr>
      <w:r>
        <w:rPr>
          <w:rFonts w:ascii="Consolas" w:hAnsi="Consolas"/>
          <w:color w:val="15202B"/>
          <w:sz w:val="16"/>
        </w:rPr>
        <w:t>public IEnumerable&lt;ValidationResult&gt; Validate(ValidationContext context)</w:t>
        <w:br/>
      </w:r>
      <w:r>
        <w:rPr>
          <w:rFonts w:ascii="Consolas" w:hAnsi="Consolas"/>
          <w:color w:val="15202B"/>
          <w:sz w:val="16"/>
        </w:rPr>
        <w:t>{</w:t>
        <w:br/>
      </w:r>
      <w:r>
        <w:rPr>
          <w:rFonts w:ascii="Consolas" w:hAnsi="Consolas"/>
          <w:color w:val="15202B"/>
          <w:sz w:val="16"/>
        </w:rPr>
        <w:t xml:space="preserve">    if (EndsOn &lt; StartsOn)</w:t>
        <w:br/>
      </w:r>
      <w:r>
        <w:rPr>
          <w:rFonts w:ascii="Consolas" w:hAnsi="Consolas"/>
          <w:color w:val="15202B"/>
          <w:sz w:val="16"/>
        </w:rPr>
        <w:t xml:space="preserve">        yield return new ValidationResult(</w:t>
        <w:br/>
      </w:r>
      <w:r>
        <w:rPr>
          <w:rFonts w:ascii="Consolas" w:hAnsi="Consolas"/>
          <w:color w:val="15202B"/>
          <w:sz w:val="16"/>
        </w:rPr>
        <w:t xml:space="preserve">            "EndsOn mag niet vóór StartsOn liggen.",</w:t>
        <w:br/>
      </w:r>
      <w:r>
        <w:rPr>
          <w:rFonts w:ascii="Consolas" w:hAnsi="Consolas"/>
          <w:color w:val="15202B"/>
          <w:sz w:val="16"/>
        </w:rPr>
        <w:t xml:space="preserve">            [nameof(EndsOn)]);</w:t>
        <w:br/>
      </w:r>
      <w:r>
        <w:rPr>
          <w:rFonts w:ascii="Consolas" w:hAnsi="Consolas"/>
          <w:color w:val="15202B"/>
          <w:sz w:val="16"/>
        </w:rPr>
        <w:t>}</w:t>
      </w:r>
    </w:p>
    <w:p>
      <w:pPr>
        <w:pStyle w:val="Heading2"/>
      </w:pPr>
      <w:r>
        <w:t>AutoMapper-profielen</w:t>
      </w:r>
    </w:p>
    <w:p>
      <w:r>
        <w:t>AddAutoMapper scant de assembly van AssetProfile en vindt ook ContractProfile, SubscriptionProfile, WarrantyProfile en DocumentProfile. CreateMap&lt;Entity, Dto&gt; vertaalt responses. ForCtorParam is nodig omdat record-DTO's constructorparameters hebben en Status of enumfrequentie als string verwachten.</w:t>
      </w:r>
    </w:p>
    <w:p>
      <w:pPr>
        <w:pStyle w:val="CodeBlock"/>
        <w:shd w:fill="F6F8FA"/>
        <w:pBdr>
          <w:left w:val="single" w:sz="8" w:space="8" w:color="AAB7C4"/>
        </w:pBdr>
      </w:pPr>
      <w:r>
        <w:rPr>
          <w:rFonts w:ascii="Consolas" w:hAnsi="Consolas"/>
          <w:color w:val="15202B"/>
          <w:sz w:val="16"/>
        </w:rPr>
        <w:t>CreateMap&lt;Warranty, WarrantyDetailDto&gt;()</w:t>
        <w:br/>
      </w:r>
      <w:r>
        <w:rPr>
          <w:rFonts w:ascii="Consolas" w:hAnsi="Consolas"/>
          <w:color w:val="15202B"/>
          <w:sz w:val="16"/>
        </w:rPr>
        <w:t xml:space="preserve">    .ForCtorParam(nameof(WarrantyDetailDto.AssetName),</w:t>
        <w:br/>
      </w:r>
      <w:r>
        <w:rPr>
          <w:rFonts w:ascii="Consolas" w:hAnsi="Consolas"/>
          <w:color w:val="15202B"/>
          <w:sz w:val="16"/>
        </w:rPr>
        <w:t xml:space="preserve">        o =&gt; o.MapFrom(w =&gt; w.Asset!.Name))</w:t>
        <w:br/>
      </w:r>
      <w:r>
        <w:rPr>
          <w:rFonts w:ascii="Consolas" w:hAnsi="Consolas"/>
          <w:color w:val="15202B"/>
          <w:sz w:val="16"/>
        </w:rPr>
        <w:t xml:space="preserve">    .ForCtorParam(nameof(WarrantyDetailDto.Status),</w:t>
        <w:br/>
      </w:r>
      <w:r>
        <w:rPr>
          <w:rFonts w:ascii="Consolas" w:hAnsi="Consolas"/>
          <w:color w:val="15202B"/>
          <w:sz w:val="16"/>
        </w:rPr>
        <w:t xml:space="preserve">        o =&gt; o.MapFrom(w =&gt; w.Status.ToString()));</w:t>
      </w:r>
    </w:p>
    <w:p>
      <w:r>
        <w:t>CreateMap&lt;UpdateDto, Entity&gt; wordt met _mapper.Map(dto, trackedEntity) uitgevoerd. Dat is anders dan _mapper.Map&lt;Entity&gt;(dto): de eerste variant wijzigt het bestaande, door EF gevolgde object; de tweede zou een nieuw object maken en tracking/concurrency lastiger maken. UserId, Id, CreatedAt, StorageKey en andere servervelden staan niet in update-DTO's en worden dus niet door de client overschreven.</w:t>
      </w:r>
    </w:p>
    <w:p>
      <w:pPr>
        <w:pStyle w:val="Callout"/>
        <w:shd w:fill="E8EEF5"/>
        <w:pBdr>
          <w:left w:val="single" w:sz="18" w:space="8" w:color="2E74B5"/>
        </w:pBdr>
      </w:pPr>
      <w:r>
        <w:rPr>
          <w:rFonts w:ascii="Calibri" w:hAnsi="Calibri"/>
          <w:b/>
          <w:color w:val="2E74B5"/>
          <w:sz w:val="21"/>
        </w:rPr>
        <w:t xml:space="preserve">Enum.Parse: </w:t>
      </w:r>
      <w:r>
        <w:rPr>
          <w:rFonts w:ascii="Calibri" w:hAnsi="Calibri"/>
          <w:color w:val="202428"/>
          <w:sz w:val="21"/>
        </w:rPr>
        <w:t>De mappings gebruiken Enum.Parse voor geldige strings. Dat lijkt riskant, maar [AllowedValues] heeft de request al afgewezen vóór de action. Voor querystrings gebruikt DocumentsController defensief Enum.TryParse + Enum.IsDefined omdat daar geen DTO-attribuut rond zit.</w:t>
      </w:r>
    </w:p>
    <w:p>
      <w:pPr>
        <w:pStyle w:val="Heading2"/>
      </w:pPr>
      <w:r>
        <w:t>Mappingchecklist per endpoint</w:t>
      </w:r>
    </w:p>
    <w:p>
      <w:pPr>
        <w:numPr>
          <w:ilvl w:val="0"/>
          <w:numId w:val="10"/>
        </w:numPr>
        <w:spacing w:after="80" w:line="300" w:lineRule="auto"/>
      </w:pPr>
      <w:r>
        <w:rPr>
          <w:rFonts w:ascii="Calibri" w:hAnsi="Calibri"/>
          <w:color w:val="202428"/>
          <w:sz w:val="22"/>
        </w:rPr>
        <w:t>Create: map alleen invoervelden en vul UserId, Id en timestamps server-side.</w:t>
      </w:r>
    </w:p>
    <w:p>
      <w:pPr>
        <w:numPr>
          <w:ilvl w:val="0"/>
          <w:numId w:val="10"/>
        </w:numPr>
        <w:spacing w:after="80" w:line="300" w:lineRule="auto"/>
      </w:pPr>
      <w:r>
        <w:rPr>
          <w:rFonts w:ascii="Calibri" w:hAnsi="Calibri"/>
          <w:color w:val="202428"/>
          <w:sz w:val="22"/>
        </w:rPr>
        <w:t>Update: map naar de bestaande tracked entity zodat route-Id en ownership niet kunnen veranderen.</w:t>
      </w:r>
    </w:p>
    <w:p>
      <w:pPr>
        <w:numPr>
          <w:ilvl w:val="0"/>
          <w:numId w:val="10"/>
        </w:numPr>
        <w:spacing w:after="80" w:line="300" w:lineRule="auto"/>
      </w:pPr>
      <w:r>
        <w:rPr>
          <w:rFonts w:ascii="Calibri" w:hAnsi="Calibri"/>
          <w:color w:val="202428"/>
          <w:sz w:val="22"/>
        </w:rPr>
        <w:t>Detail: laad vereiste navigaties voordat AssetName, ContractName of links worden gemapt.</w:t>
      </w:r>
    </w:p>
    <w:p>
      <w:pPr>
        <w:numPr>
          <w:ilvl w:val="0"/>
          <w:numId w:val="10"/>
        </w:numPr>
        <w:spacing w:after="80" w:line="300" w:lineRule="auto"/>
      </w:pPr>
      <w:r>
        <w:rPr>
          <w:rFonts w:ascii="Calibri" w:hAnsi="Calibri"/>
          <w:color w:val="202428"/>
          <w:sz w:val="22"/>
        </w:rPr>
        <w:t>Response: stuur alleen een DTO terug; interne StorageKey, PasswordHash en navigatiegrafen blijven verborgen.</w:t>
      </w:r>
    </w:p>
    <w:p>
      <w:pPr>
        <w:numPr>
          <w:ilvl w:val="0"/>
          <w:numId w:val="10"/>
        </w:numPr>
        <w:spacing w:after="80" w:line="300" w:lineRule="auto"/>
      </w:pPr>
      <w:r>
        <w:rPr>
          <w:rFonts w:ascii="Calibri" w:hAnsi="Calibri"/>
          <w:color w:val="202428"/>
          <w:sz w:val="22"/>
        </w:rPr>
        <w:t>Enum en datums: valideer eerst het requestcontract en laat SQL-constraints de invariant als tweede laag bewaken.</w:t>
      </w:r>
    </w:p>
    <w:p>
      <w:r>
        <w:t>Een mappingprofiel vervangt geen autorisatie of validatie. AutoMapper vertaalt objectvormen; de controller en repository bepalen welke bron mag worden gelezen en welke doelentity mag worden gewijzigd. Die verantwoordelijkheden blijven bewust gescheiden.</w:t>
      </w:r>
    </w:p>
    <w:p>
      <w:bookmarkStart w:id="20" w:name="repositories"/>
      <w:pPr>
        <w:pStyle w:val="Heading1"/>
      </w:pPr>
      <w:r>
        <w:t>Repositories, tracking en gebruikersisolatie</w:t>
      </w:r>
      <w:bookmarkEnd w:id="20"/>
    </w:p>
    <w:p>
      <w:pPr>
        <w:spacing w:before="0" w:after="80"/>
        <w:jc w:val="right"/>
      </w:pPr>
      <w:hyperlink w:anchor="inhoud">
        <w:r>
          <w:rPr>
            <w:color w:val="2E74B5"/>
            <w:u w:val="single"/>
          </w:rPr>
          <w:t>Terug naar inhoud</w:t>
        </w:r>
      </w:hyperlink>
    </w:p>
    <w:p>
      <w:r>
        <w:t>Controllers formuleren HTTP-gedrag; repositories formuleren databasequeries. De cruciale beveiligingsregel staat in iedere readquery: zowel record-Id als UserId moeten overeenkomen. Een Guid alleen is nooit voldoende autorisatie.</w:t>
      </w:r>
    </w:p>
    <w:p>
      <w:pPr>
        <w:keepNext/>
        <w:spacing w:before="100" w:after="60"/>
      </w:pPr>
      <w:r>
        <w:rPr>
          <w:rFonts w:ascii="Calibri" w:hAnsi="Calibri"/>
          <w:b/>
          <w:color w:val="5F6B76"/>
          <w:sz w:val="18"/>
        </w:rPr>
        <w:t>Ownershipfilter in AssetRepository</w:t>
      </w:r>
    </w:p>
    <w:p>
      <w:pPr>
        <w:pStyle w:val="CodeBlock"/>
        <w:shd w:fill="F6F8FA"/>
        <w:pBdr>
          <w:left w:val="single" w:sz="8" w:space="8" w:color="AAB7C4"/>
        </w:pBdr>
      </w:pPr>
      <w:r>
        <w:rPr>
          <w:rFonts w:ascii="Consolas" w:hAnsi="Consolas"/>
          <w:color w:val="15202B"/>
          <w:sz w:val="16"/>
        </w:rPr>
        <w:t>return await _context.Assets.FirstOrDefaultAsync(asset =&gt;</w:t>
        <w:br/>
      </w:r>
      <w:r>
        <w:rPr>
          <w:rFonts w:ascii="Consolas" w:hAnsi="Consolas"/>
          <w:color w:val="15202B"/>
          <w:sz w:val="16"/>
        </w:rPr>
        <w:t xml:space="preserve">    asset.Id == assetId &amp;&amp; asset.UserId == userId);</w:t>
      </w:r>
    </w:p>
    <w:p>
      <w:pPr>
        <w:pStyle w:val="Heading2"/>
      </w:pPr>
      <w:r>
        <w:t>ClaimsPrincipal naar Guid</w:t>
      </w:r>
    </w:p>
    <w:p>
      <w:r>
        <w:t>Identity zet de user-Id in ClaimTypes.NameIdentifier. User.FindFirstValue leest de tekstwaarde; Guid.TryParse zet hem veilig om. Mislukt dit ondanks de fallbackpolicy, dan antwoordt de controller 401. Nieuwe controllers centraliseren dit in een private helper; bestaande controllers tonen dezelfde stappen inline.</w:t>
      </w:r>
    </w:p>
    <w:p>
      <w:pPr>
        <w:pStyle w:val="Heading2"/>
      </w:pPr>
      <w:r>
        <w:t>Tracking versus AsNoTracking</w:t>
      </w:r>
    </w:p>
    <w:p>
      <w:r>
        <w:t>Get-lijsten gebruiken AsNoTracking omdat ze alleen lezen. EF hoeft dan geen originele waarden en objectidentiteit in de change tracker te bewaren. Een detailrecord dat later wordt gewijzigd wordt wél tracked geladen. Na _mapper.Map ziet SaveChangesAsync welke properties veranderd zijn en genereert EF een UPDATE.</w:t>
      </w:r>
    </w:p>
    <w:p>
      <w:pPr>
        <w:pStyle w:val="Heading2"/>
      </w:pPr>
      <w:r>
        <w:t>Belangrijke LINQ/EF-methodes</w:t>
      </w:r>
    </w:p>
    <w:tbl>
      <w:tblPr>
        <w:tblStyle w:val="TableGrid"/>
        <w:tblLook w:firstColumn="1" w:firstRow="1" w:lastColumn="0" w:lastRow="0" w:noHBand="0" w:noVBand="1" w:val="04A0"/>
        <w:jc w:val="left"/>
        <w:tblW w:w="9360" w:type="dxa"/>
        <w:tblInd w:w="120" w:type="dxa"/>
        <w:tblLayout w:type="fixed"/>
      </w:tblPr>
      <w:tblGrid>
        <w:gridCol w:w="3000"/>
        <w:gridCol w:w="6360"/>
      </w:tblGrid>
      <w:tr>
        <w:trPr>
          <w:tblHeader w:val="true"/>
        </w:trPr>
        <w:tc>
          <w:tcPr>
            <w:tcW w:type="dxa" w:w="300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Methode</w:t>
            </w:r>
          </w:p>
        </w:tc>
        <w:tc>
          <w:tcPr>
            <w:tcW w:type="dxa" w:w="6360"/>
            <w:tcMar>
              <w:top w:w="80" w:type="dxa"/>
              <w:bottom w:w="80" w:type="dxa"/>
              <w:start w:w="120" w:type="dxa"/>
              <w:end w:w="120" w:type="dxa"/>
            </w:tcMar>
            <w:vAlign w:val="center"/>
            <w:shd w:fill="E8EEF5"/>
          </w:tcPr>
          <w:p>
            <w:pPr>
              <w:spacing w:before="0" w:after="0" w:line="252" w:lineRule="auto"/>
            </w:pPr>
            <w:r>
              <w:rPr>
                <w:rFonts w:ascii="Calibri" w:hAnsi="Calibri"/>
                <w:b/>
                <w:color w:val="183B56"/>
                <w:sz w:val="18"/>
              </w:rPr>
              <w:t>Gedrag</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Where</w:t>
            </w:r>
          </w:p>
        </w:tc>
        <w:tc>
          <w:tcPr>
            <w:tcW w:type="dxa" w:w="6360"/>
            <w:tcMar>
              <w:top w:w="80" w:type="dxa"/>
              <w:bottom w:w="80" w:type="dxa"/>
              <w:start w:w="120" w:type="dxa"/>
              <w:end w:w="120" w:type="dxa"/>
            </w:tcMar>
            <w:vAlign w:val="center"/>
          </w:tcPr>
          <w:p>
            <w:pPr>
              <w:spacing w:before="0" w:after="20" w:line="259" w:lineRule="auto"/>
            </w:pPr>
            <w:r>
              <w:rPr>
                <w:rFonts w:ascii="Calibri" w:hAnsi="Calibri"/>
                <w:color w:val="202428"/>
                <w:sz w:val="18"/>
              </w:rPr>
              <w:t>Voegt SQL-WHERE-filter toe; voert nog niets uit</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Include / ThenInclude</w:t>
            </w:r>
          </w:p>
        </w:tc>
        <w:tc>
          <w:tcPr>
            <w:tcW w:type="dxa" w:w="6360"/>
            <w:tcMar>
              <w:top w:w="80" w:type="dxa"/>
              <w:bottom w:w="80" w:type="dxa"/>
              <w:start w:w="120" w:type="dxa"/>
              <w:end w:w="120" w:type="dxa"/>
            </w:tcMar>
            <w:vAlign w:val="center"/>
          </w:tcPr>
          <w:p>
            <w:pPr>
              <w:spacing w:before="0" w:after="20" w:line="259" w:lineRule="auto"/>
            </w:pPr>
            <w:r>
              <w:rPr>
                <w:rFonts w:ascii="Calibri" w:hAnsi="Calibri"/>
                <w:color w:val="202428"/>
                <w:sz w:val="18"/>
              </w:rPr>
              <w:t>Laadt navigaties zoals Warranty.Asset of Document.ItemLinks.Item</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AnyAsync</w:t>
            </w:r>
          </w:p>
        </w:tc>
        <w:tc>
          <w:tcPr>
            <w:tcW w:type="dxa" w:w="6360"/>
            <w:tcMar>
              <w:top w:w="80" w:type="dxa"/>
              <w:bottom w:w="80" w:type="dxa"/>
              <w:start w:w="120" w:type="dxa"/>
              <w:end w:w="120" w:type="dxa"/>
            </w:tcMar>
            <w:vAlign w:val="center"/>
          </w:tcPr>
          <w:p>
            <w:pPr>
              <w:spacing w:before="0" w:after="20" w:line="259" w:lineRule="auto"/>
            </w:pPr>
            <w:r>
              <w:rPr>
                <w:rFonts w:ascii="Calibri" w:hAnsi="Calibri"/>
                <w:color w:val="202428"/>
                <w:sz w:val="18"/>
              </w:rPr>
              <w:t>Efficiënte SQL EXISTS voor bestaan/constraintcheck</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FirstOrDefaultAsync</w:t>
            </w:r>
          </w:p>
        </w:tc>
        <w:tc>
          <w:tcPr>
            <w:tcW w:type="dxa" w:w="6360"/>
            <w:tcMar>
              <w:top w:w="80" w:type="dxa"/>
              <w:bottom w:w="80" w:type="dxa"/>
              <w:start w:w="120" w:type="dxa"/>
              <w:end w:w="120" w:type="dxa"/>
            </w:tcMar>
            <w:vAlign w:val="center"/>
          </w:tcPr>
          <w:p>
            <w:pPr>
              <w:spacing w:before="0" w:after="20" w:line="259" w:lineRule="auto"/>
            </w:pPr>
            <w:r>
              <w:rPr>
                <w:rFonts w:ascii="Calibri" w:hAnsi="Calibri"/>
                <w:color w:val="202428"/>
                <w:sz w:val="18"/>
              </w:rPr>
              <w:t>Eén match of null; gebruikt voor detail + ownership</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ToListAsync</w:t>
            </w:r>
          </w:p>
        </w:tc>
        <w:tc>
          <w:tcPr>
            <w:tcW w:type="dxa" w:w="6360"/>
            <w:tcMar>
              <w:top w:w="80" w:type="dxa"/>
              <w:bottom w:w="80" w:type="dxa"/>
              <w:start w:w="120" w:type="dxa"/>
              <w:end w:w="120" w:type="dxa"/>
            </w:tcMar>
            <w:vAlign w:val="center"/>
          </w:tcPr>
          <w:p>
            <w:pPr>
              <w:spacing w:before="0" w:after="20" w:line="259" w:lineRule="auto"/>
            </w:pPr>
            <w:r>
              <w:rPr>
                <w:rFonts w:ascii="Calibri" w:hAnsi="Calibri"/>
                <w:color w:val="202428"/>
                <w:sz w:val="18"/>
              </w:rPr>
              <w:t>Voert de samengestelde query uit en materialiseert de lijst</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OrderBy / ThenBy</w:t>
            </w:r>
          </w:p>
        </w:tc>
        <w:tc>
          <w:tcPr>
            <w:tcW w:type="dxa" w:w="6360"/>
            <w:tcMar>
              <w:top w:w="80" w:type="dxa"/>
              <w:bottom w:w="80" w:type="dxa"/>
              <w:start w:w="120" w:type="dxa"/>
              <w:end w:w="120" w:type="dxa"/>
            </w:tcMar>
            <w:vAlign w:val="center"/>
          </w:tcPr>
          <w:p>
            <w:pPr>
              <w:spacing w:before="0" w:after="20" w:line="259" w:lineRule="auto"/>
            </w:pPr>
            <w:r>
              <w:rPr>
                <w:rFonts w:ascii="Calibri" w:hAnsi="Calibri"/>
                <w:color w:val="202428"/>
                <w:sz w:val="18"/>
              </w:rPr>
              <w:t>Deterministische sortering in SQL</w:t>
            </w:r>
          </w:p>
        </w:tc>
      </w:tr>
      <w:tr>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8"/>
              </w:rPr>
              <w:t>SaveChangesAsync</w:t>
            </w:r>
          </w:p>
        </w:tc>
        <w:tc>
          <w:tcPr>
            <w:tcW w:type="dxa" w:w="6360"/>
            <w:tcMar>
              <w:top w:w="80" w:type="dxa"/>
              <w:bottom w:w="80" w:type="dxa"/>
              <w:start w:w="120" w:type="dxa"/>
              <w:end w:w="120" w:type="dxa"/>
            </w:tcMar>
            <w:vAlign w:val="center"/>
          </w:tcPr>
          <w:p>
            <w:pPr>
              <w:spacing w:before="0" w:after="20" w:line="259" w:lineRule="auto"/>
            </w:pPr>
            <w:r>
              <w:rPr>
                <w:rFonts w:ascii="Calibri" w:hAnsi="Calibri"/>
                <w:color w:val="202428"/>
                <w:sz w:val="18"/>
              </w:rPr>
              <w:t>Bepaalt INSERT/UPDATE/DELETE en voert ze transactioneel in SQL uit</w:t>
            </w:r>
          </w:p>
        </w:tc>
      </w:tr>
    </w:tbl>
    <w:p>
      <w:pPr>
        <w:spacing w:after="40"/>
      </w:pPr>
    </w:p>
    <w:p>
      <w:pPr>
        <w:pStyle w:val="Heading2"/>
      </w:pPr>
      <w:r>
        <w:t>Waarom 404 bij andermans Id</w:t>
      </w:r>
    </w:p>
    <w:p>
      <w:r>
        <w:t>Wanneer gebruiker B de Id van gebruiker A probeert, vindt de gecombineerde query niets en volgt 404. Een 403 zou bevestigen dat het record bestaat. 404 vermindert objectenumeratie en houdt ‘bestaat niet’ en ‘niet van jou’ bewust ononderscheidbaar. De integratietest UsersCannotReadEachOthersAssets maakt twee echte sessies en bewijst dit gedrag.</w:t>
      </w:r>
    </w:p>
    <w:p>
      <w:pPr>
        <w:pStyle w:val="Callout"/>
        <w:shd w:fill="FFF6D9"/>
        <w:pBdr>
          <w:left w:val="single" w:sz="18" w:space="8" w:color="9A6700"/>
        </w:pBdr>
      </w:pPr>
      <w:r>
        <w:rPr>
          <w:rFonts w:ascii="Calibri" w:hAnsi="Calibri"/>
          <w:b/>
          <w:color w:val="9A6700"/>
          <w:sz w:val="21"/>
        </w:rPr>
        <w:t xml:space="preserve">DbContext-concurrency: </w:t>
      </w:r>
      <w:r>
        <w:rPr>
          <w:rFonts w:ascii="Calibri" w:hAnsi="Calibri"/>
          <w:color w:val="202428"/>
          <w:sz w:val="21"/>
        </w:rPr>
        <w:t>Voer geen meerdere EF Core-queries tegelijk uit op dezelfde scoped MiraContext met Task.WhenAll. DbContext is niet thread-safe. DashboardRepository voert zijn tellingen en lijsten daarom sequentieel uit.</w:t>
      </w:r>
    </w:p>
    <w:p>
      <w:pPr>
        <w:pStyle w:val="Heading2"/>
      </w:pPr>
      <w:r>
        <w:t>SaveChanges als unit of work</w:t>
      </w:r>
    </w:p>
    <w:p>
      <w:r>
        <w:t>Alle tracked wijzigingen in één MiraContext worden bij SaveChangesAsync als één unit of work verwerkt. EF detecteert de state van iedere entity, ordent afhankelijke INSERTs en DELETEs en gebruikt voor een gewone relationele save automatisch een transactie. Bij een fout wordt die database-transactie teruggedraaid. Bestandsopslag valt daar niet onder; DocumentsController gebruikt daarvoor expliciete compensatie.</w:t>
      </w:r>
    </w:p>
    <w:p>
      <w:pPr>
        <w:keepNext/>
        <w:spacing w:before="100" w:after="60"/>
      </w:pPr>
      <w:r>
        <w:rPr>
          <w:rFonts w:ascii="Calibri" w:hAnsi="Calibri"/>
          <w:b/>
          <w:color w:val="5F6B76"/>
          <w:sz w:val="18"/>
        </w:rPr>
        <w:t>Eén context, één gevolgde wijzigingsset, één databasecommit</w:t>
      </w:r>
    </w:p>
    <w:p>
      <w:pPr>
        <w:pStyle w:val="CodeBlock"/>
        <w:shd w:fill="F6F8FA"/>
        <w:pBdr>
          <w:left w:val="single" w:sz="8" w:space="8" w:color="AAB7C4"/>
        </w:pBdr>
      </w:pPr>
      <w:r>
        <w:rPr>
          <w:rFonts w:ascii="Consolas" w:hAnsi="Consolas"/>
          <w:color w:val="15202B"/>
          <w:sz w:val="16"/>
        </w:rPr>
        <w:t>var entity = await repository.GetAsync(userId, id); // tracked</w:t>
        <w:br/>
      </w:r>
      <w:r>
        <w:rPr>
          <w:rFonts w:ascii="Consolas" w:hAnsi="Consolas"/>
          <w:color w:val="15202B"/>
          <w:sz w:val="16"/>
        </w:rPr>
        <w:t>_mapper.Map(request, entity);                       // state wordt Modified</w:t>
        <w:br/>
      </w:r>
      <w:r>
        <w:rPr>
          <w:rFonts w:ascii="Consolas" w:hAnsi="Consolas"/>
          <w:color w:val="15202B"/>
          <w:sz w:val="16"/>
        </w:rPr>
        <w:t>entity.UpdatedAt = DateTime.UtcNow;</w:t>
        <w:br/>
      </w:r>
      <w:r>
        <w:rPr>
          <w:rFonts w:ascii="Consolas" w:hAnsi="Consolas"/>
          <w:color w:val="15202B"/>
          <w:sz w:val="16"/>
        </w:rPr>
        <w:t>await repository.SaveChangesAsync(cancellationToken);</w:t>
      </w:r>
    </w:p>
    <w:p>
      <w:r>
        <w:t>CancellationToken wordt tot in EF doorgegeven zodat afgebroken HTTP-requests onnodig databasewerk kunnen stoppen. Na een reeds geslaagde databasecommit gebruikt noodzakelijke bestandscleanup bewust geen geannuleerde requesttoken meer.</w:t>
      </w:r>
    </w:p>
    <w:p>
      <w:bookmarkStart w:id="21" w:name="crud"/>
      <w:pPr>
        <w:pStyle w:val="Heading1"/>
      </w:pPr>
      <w:r>
        <w:t>De gewone CRUD-controllers</w:t>
      </w:r>
      <w:bookmarkEnd w:id="21"/>
    </w:p>
    <w:p>
      <w:pPr>
        <w:spacing w:before="0" w:after="80"/>
        <w:jc w:val="right"/>
      </w:pPr>
      <w:hyperlink w:anchor="inhoud">
        <w:r>
          <w:rPr>
            <w:color w:val="2E74B5"/>
            <w:u w:val="single"/>
          </w:rPr>
          <w:t>Terug naar inhoud</w:t>
        </w:r>
      </w:hyperlink>
    </w:p>
    <w:p>
      <w:r>
        <w:t>AssetsController, ContractsController, SubscriptionsController en WarrantiesController volgen hetzelfde leesbare patroon. Eerst wordt de UserId uit claims gehaald, daarna wordt via een repository gelezen of geschreven, AutoMapper vertaalt en de action kiest een HTTP-status.</w:t>
      </w:r>
    </w:p>
    <w:p>
      <w:pPr>
        <w:pStyle w:val="Heading2"/>
      </w:pPr>
      <w:r>
        <w:t>Het standaard createpatroon</w:t>
      </w:r>
    </w:p>
    <w:p>
      <w:pPr>
        <w:pStyle w:val="CodeBlock"/>
        <w:shd w:fill="F6F8FA"/>
        <w:pBdr>
          <w:left w:val="single" w:sz="8" w:space="8" w:color="AAB7C4"/>
        </w:pBdr>
      </w:pPr>
      <w:r>
        <w:rPr>
          <w:rFonts w:ascii="Consolas" w:hAnsi="Consolas"/>
          <w:color w:val="15202B"/>
          <w:sz w:val="16"/>
        </w:rPr>
        <w:t>var entity = _mapper.Map&lt;Asset&gt;(createAssetDto);</w:t>
        <w:br/>
      </w:r>
      <w:r>
        <w:rPr>
          <w:rFonts w:ascii="Consolas" w:hAnsi="Consolas"/>
          <w:color w:val="15202B"/>
          <w:sz w:val="16"/>
        </w:rPr>
        <w:t>entity.UserId = userId;              // server authority</w:t>
        <w:br/>
      </w:r>
      <w:r>
        <w:rPr>
          <w:rFonts w:ascii="Consolas" w:hAnsi="Consolas"/>
          <w:color w:val="15202B"/>
          <w:sz w:val="16"/>
        </w:rPr>
        <w:t>_assetRepository.AddAsset(entity);</w:t>
        <w:br/>
      </w:r>
      <w:r>
        <w:rPr>
          <w:rFonts w:ascii="Consolas" w:hAnsi="Consolas"/>
          <w:color w:val="15202B"/>
          <w:sz w:val="16"/>
        </w:rPr>
        <w:t>var saved = await _assetRepository.SaveChangesAsync();</w:t>
        <w:br/>
      </w:r>
      <w:r>
        <w:rPr>
          <w:rFonts w:ascii="Consolas" w:hAnsi="Consolas"/>
          <w:color w:val="15202B"/>
          <w:sz w:val="16"/>
        </w:rPr>
        <w:t>return CreatedAtAction(nameof(GetAsset), new { id = entity.Id }, dto);</w:t>
      </w:r>
    </w:p>
    <w:p>
      <w:r>
        <w:t>UserId wordt nooit uit de requestbody overgenomen. Add markeert de entity als Added; SaveChangesAsync voert INSERTs uit. CreatedAtAction retourneert 201 en maakt een Location-header die naar de detailaction wijst. Dit is preciezer dan 200 voor een nieuw resource.</w:t>
      </w:r>
    </w:p>
    <w:p>
      <w:pPr>
        <w:pStyle w:val="Heading2"/>
      </w:pPr>
      <w:r>
        <w:t>Het standaard updatepatroon</w:t>
      </w:r>
    </w:p>
    <w:p>
      <w:r>
        <w:t>GetEntityAsync(userId,id) doet tegelijk ownershipcontrole en laadt tracked. null wordt 404. _mapper.Map(updateDto, entity) wijzigt de toegestane velden. UpdatedAt krijgt UTC now; SaveChangesAsync schrijft. De Id in de route blijft leidend en kan niet via JSON worden vervangen.</w:t>
      </w:r>
    </w:p>
    <w:p>
      <w:pPr>
        <w:pStyle w:val="Heading2"/>
      </w:pPr>
      <w:r>
        <w:t>Archiveren en herstellen</w:t>
      </w:r>
    </w:p>
    <w:p>
      <w:r>
        <w:t>PATCH /archive zet Status=Archived, ArchivedAt en UpdatedAt op hetzelfde moment. PATCH /restore zet Status=Active, ArchivedAt=null en vernieuwt UpdatedAt. Beide actions zijn idempotent: nogmaals archiveren of herstellen retourneert het huidige DTO zonder nieuwe write. Lijstendpoints verbergen Archived standaard; includeArchived=true toont ze.</w:t>
      </w:r>
    </w:p>
    <w:p>
      <w:pPr>
        <w:pStyle w:val="Heading2"/>
      </w:pPr>
      <w:r>
        <w:t>AssetsController</w:t>
      </w:r>
    </w:p>
    <w:tbl>
      <w:tblPr>
        <w:tblStyle w:val="TableGrid"/>
        <w:tblLook w:firstColumn="1" w:firstRow="1" w:lastColumn="0" w:lastRow="0" w:noHBand="0" w:noVBand="1" w:val="04A0"/>
        <w:jc w:val="left"/>
        <w:tblW w:w="9360" w:type="dxa"/>
        <w:tblInd w:w="120" w:type="dxa"/>
        <w:tblLayout w:type="fixed"/>
      </w:tblPr>
      <w:tblGrid>
        <w:gridCol w:w="900"/>
        <w:gridCol w:w="3470"/>
        <w:gridCol w:w="4990"/>
      </w:tblGrid>
      <w:tr>
        <w:trPr>
          <w:tblHeader w:val="true"/>
        </w:trPr>
        <w:tc>
          <w:tcPr>
            <w:tcW w:type="dxa" w:w="9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Methode</w:t>
            </w:r>
          </w:p>
        </w:tc>
        <w:tc>
          <w:tcPr>
            <w:tcW w:type="dxa" w:w="347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Route</w:t>
            </w:r>
          </w:p>
        </w:tc>
        <w:tc>
          <w:tcPr>
            <w:tcW w:type="dxa" w:w="499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Werking</w:t>
            </w:r>
          </w:p>
        </w:tc>
      </w:tr>
      <w:tr>
        <w:tc>
          <w:tcPr>
            <w:tcW w:type="dxa" w:w="900"/>
            <w:tcMar>
              <w:top w:w="80" w:type="dxa"/>
              <w:bottom w:w="80" w:type="dxa"/>
              <w:start w:w="120" w:type="dxa"/>
              <w:end w:w="120" w:type="dxa"/>
            </w:tcMar>
            <w:vAlign w:val="center"/>
          </w:tcPr>
          <w:p>
            <w:pPr>
              <w:spacing w:before="0" w:after="20" w:line="259" w:lineRule="auto"/>
            </w:pPr>
            <w:r>
              <w:rPr>
                <w:rFonts w:ascii="Calibri" w:hAnsi="Calibri"/>
                <w:color w:val="202428"/>
                <w:sz w:val="17"/>
              </w:rPr>
              <w:t>GET</w:t>
            </w:r>
          </w:p>
        </w:tc>
        <w:tc>
          <w:tcPr>
            <w:tcW w:type="dxa" w:w="3470"/>
            <w:tcMar>
              <w:top w:w="80" w:type="dxa"/>
              <w:bottom w:w="80" w:type="dxa"/>
              <w:start w:w="120" w:type="dxa"/>
              <w:end w:w="120" w:type="dxa"/>
            </w:tcMar>
            <w:vAlign w:val="center"/>
          </w:tcPr>
          <w:p>
            <w:pPr>
              <w:spacing w:before="0" w:after="20" w:line="259" w:lineRule="auto"/>
            </w:pPr>
            <w:r>
              <w:rPr>
                <w:rFonts w:ascii="Calibri" w:hAnsi="Calibri"/>
                <w:color w:val="202428"/>
                <w:sz w:val="17"/>
              </w:rPr>
              <w:t>/api/assets?includeArchived=false</w:t>
            </w:r>
          </w:p>
        </w:tc>
        <w:tc>
          <w:tcPr>
            <w:tcW w:type="dxa" w:w="4990"/>
            <w:tcMar>
              <w:top w:w="80" w:type="dxa"/>
              <w:bottom w:w="80" w:type="dxa"/>
              <w:start w:w="120" w:type="dxa"/>
              <w:end w:w="120" w:type="dxa"/>
            </w:tcMar>
            <w:vAlign w:val="center"/>
          </w:tcPr>
          <w:p>
            <w:pPr>
              <w:spacing w:before="0" w:after="20" w:line="259" w:lineRule="auto"/>
            </w:pPr>
            <w:r>
              <w:rPr>
                <w:rFonts w:ascii="Calibri" w:hAnsi="Calibri"/>
                <w:color w:val="202428"/>
                <w:sz w:val="17"/>
              </w:rPr>
              <w:t>Lijst op naam, alleen huidige gebruiker</w:t>
            </w:r>
          </w:p>
        </w:tc>
      </w:tr>
      <w:tr>
        <w:tc>
          <w:tcPr>
            <w:tcW w:type="dxa" w:w="900"/>
            <w:tcMar>
              <w:top w:w="80" w:type="dxa"/>
              <w:bottom w:w="80" w:type="dxa"/>
              <w:start w:w="120" w:type="dxa"/>
              <w:end w:w="120" w:type="dxa"/>
            </w:tcMar>
            <w:vAlign w:val="center"/>
          </w:tcPr>
          <w:p>
            <w:pPr>
              <w:spacing w:before="0" w:after="20" w:line="259" w:lineRule="auto"/>
            </w:pPr>
            <w:r>
              <w:rPr>
                <w:rFonts w:ascii="Calibri" w:hAnsi="Calibri"/>
                <w:color w:val="202428"/>
                <w:sz w:val="17"/>
              </w:rPr>
              <w:t>GET</w:t>
            </w:r>
          </w:p>
        </w:tc>
        <w:tc>
          <w:tcPr>
            <w:tcW w:type="dxa" w:w="3470"/>
            <w:tcMar>
              <w:top w:w="80" w:type="dxa"/>
              <w:bottom w:w="80" w:type="dxa"/>
              <w:start w:w="120" w:type="dxa"/>
              <w:end w:w="120" w:type="dxa"/>
            </w:tcMar>
            <w:vAlign w:val="center"/>
          </w:tcPr>
          <w:p>
            <w:pPr>
              <w:spacing w:before="0" w:after="20" w:line="259" w:lineRule="auto"/>
            </w:pPr>
            <w:r>
              <w:rPr>
                <w:rFonts w:ascii="Calibri" w:hAnsi="Calibri"/>
                <w:color w:val="202428"/>
                <w:sz w:val="17"/>
              </w:rPr>
              <w:t>/api/assets/{id}</w:t>
            </w:r>
          </w:p>
        </w:tc>
        <w:tc>
          <w:tcPr>
            <w:tcW w:type="dxa" w:w="4990"/>
            <w:tcMar>
              <w:top w:w="80" w:type="dxa"/>
              <w:bottom w:w="80" w:type="dxa"/>
              <w:start w:w="120" w:type="dxa"/>
              <w:end w:w="120" w:type="dxa"/>
            </w:tcMar>
            <w:vAlign w:val="center"/>
          </w:tcPr>
          <w:p>
            <w:pPr>
              <w:spacing w:before="0" w:after="20" w:line="259" w:lineRule="auto"/>
            </w:pPr>
            <w:r>
              <w:rPr>
                <w:rFonts w:ascii="Calibri" w:hAnsi="Calibri"/>
                <w:color w:val="202428"/>
                <w:sz w:val="17"/>
              </w:rPr>
              <w:t>Detail of 404</w:t>
            </w:r>
          </w:p>
        </w:tc>
      </w:tr>
      <w:tr>
        <w:tc>
          <w:tcPr>
            <w:tcW w:type="dxa" w:w="900"/>
            <w:tcMar>
              <w:top w:w="80" w:type="dxa"/>
              <w:bottom w:w="80" w:type="dxa"/>
              <w:start w:w="120" w:type="dxa"/>
              <w:end w:w="120" w:type="dxa"/>
            </w:tcMar>
            <w:vAlign w:val="center"/>
          </w:tcPr>
          <w:p>
            <w:pPr>
              <w:spacing w:before="0" w:after="20" w:line="259" w:lineRule="auto"/>
            </w:pPr>
            <w:r>
              <w:rPr>
                <w:rFonts w:ascii="Calibri" w:hAnsi="Calibri"/>
                <w:color w:val="202428"/>
                <w:sz w:val="17"/>
              </w:rPr>
              <w:t>POST</w:t>
            </w:r>
          </w:p>
        </w:tc>
        <w:tc>
          <w:tcPr>
            <w:tcW w:type="dxa" w:w="3470"/>
            <w:tcMar>
              <w:top w:w="80" w:type="dxa"/>
              <w:bottom w:w="80" w:type="dxa"/>
              <w:start w:w="120" w:type="dxa"/>
              <w:end w:w="120" w:type="dxa"/>
            </w:tcMar>
            <w:vAlign w:val="center"/>
          </w:tcPr>
          <w:p>
            <w:pPr>
              <w:spacing w:before="0" w:after="20" w:line="259" w:lineRule="auto"/>
            </w:pPr>
            <w:r>
              <w:rPr>
                <w:rFonts w:ascii="Calibri" w:hAnsi="Calibri"/>
                <w:color w:val="202428"/>
                <w:sz w:val="17"/>
              </w:rPr>
              <w:t>/api/assets</w:t>
            </w:r>
          </w:p>
        </w:tc>
        <w:tc>
          <w:tcPr>
            <w:tcW w:type="dxa" w:w="4990"/>
            <w:tcMar>
              <w:top w:w="80" w:type="dxa"/>
              <w:bottom w:w="80" w:type="dxa"/>
              <w:start w:w="120" w:type="dxa"/>
              <w:end w:w="120" w:type="dxa"/>
            </w:tcMar>
            <w:vAlign w:val="center"/>
          </w:tcPr>
          <w:p>
            <w:pPr>
              <w:spacing w:before="0" w:after="20" w:line="259" w:lineRule="auto"/>
            </w:pPr>
            <w:r>
              <w:rPr>
                <w:rFonts w:ascii="Calibri" w:hAnsi="Calibri"/>
                <w:color w:val="202428"/>
                <w:sz w:val="17"/>
              </w:rPr>
              <w:t>Maakt asset; 201 + Location</w:t>
            </w:r>
          </w:p>
        </w:tc>
      </w:tr>
      <w:tr>
        <w:tc>
          <w:tcPr>
            <w:tcW w:type="dxa" w:w="900"/>
            <w:tcMar>
              <w:top w:w="80" w:type="dxa"/>
              <w:bottom w:w="80" w:type="dxa"/>
              <w:start w:w="120" w:type="dxa"/>
              <w:end w:w="120" w:type="dxa"/>
            </w:tcMar>
            <w:vAlign w:val="center"/>
          </w:tcPr>
          <w:p>
            <w:pPr>
              <w:spacing w:before="0" w:after="20" w:line="259" w:lineRule="auto"/>
            </w:pPr>
            <w:r>
              <w:rPr>
                <w:rFonts w:ascii="Calibri" w:hAnsi="Calibri"/>
                <w:color w:val="202428"/>
                <w:sz w:val="17"/>
              </w:rPr>
              <w:t>PUT</w:t>
            </w:r>
          </w:p>
        </w:tc>
        <w:tc>
          <w:tcPr>
            <w:tcW w:type="dxa" w:w="3470"/>
            <w:tcMar>
              <w:top w:w="80" w:type="dxa"/>
              <w:bottom w:w="80" w:type="dxa"/>
              <w:start w:w="120" w:type="dxa"/>
              <w:end w:w="120" w:type="dxa"/>
            </w:tcMar>
            <w:vAlign w:val="center"/>
          </w:tcPr>
          <w:p>
            <w:pPr>
              <w:spacing w:before="0" w:after="20" w:line="259" w:lineRule="auto"/>
            </w:pPr>
            <w:r>
              <w:rPr>
                <w:rFonts w:ascii="Calibri" w:hAnsi="Calibri"/>
                <w:color w:val="202428"/>
                <w:sz w:val="17"/>
              </w:rPr>
              <w:t>/api/assets/{id}</w:t>
            </w:r>
          </w:p>
        </w:tc>
        <w:tc>
          <w:tcPr>
            <w:tcW w:type="dxa" w:w="4990"/>
            <w:tcMar>
              <w:top w:w="80" w:type="dxa"/>
              <w:bottom w:w="80" w:type="dxa"/>
              <w:start w:w="120" w:type="dxa"/>
              <w:end w:w="120" w:type="dxa"/>
            </w:tcMar>
            <w:vAlign w:val="center"/>
          </w:tcPr>
          <w:p>
            <w:pPr>
              <w:spacing w:before="0" w:after="20" w:line="259" w:lineRule="auto"/>
            </w:pPr>
            <w:r>
              <w:rPr>
                <w:rFonts w:ascii="Calibri" w:hAnsi="Calibri"/>
                <w:color w:val="202428"/>
                <w:sz w:val="17"/>
              </w:rPr>
              <w:t>Volledige wijziging</w:t>
            </w:r>
          </w:p>
        </w:tc>
      </w:tr>
      <w:tr>
        <w:tc>
          <w:tcPr>
            <w:tcW w:type="dxa" w:w="900"/>
            <w:tcMar>
              <w:top w:w="80" w:type="dxa"/>
              <w:bottom w:w="80" w:type="dxa"/>
              <w:start w:w="120" w:type="dxa"/>
              <w:end w:w="120" w:type="dxa"/>
            </w:tcMar>
            <w:vAlign w:val="center"/>
          </w:tcPr>
          <w:p>
            <w:pPr>
              <w:spacing w:before="0" w:after="20" w:line="259" w:lineRule="auto"/>
            </w:pPr>
            <w:r>
              <w:rPr>
                <w:rFonts w:ascii="Calibri" w:hAnsi="Calibri"/>
                <w:color w:val="202428"/>
                <w:sz w:val="17"/>
              </w:rPr>
              <w:t>PATCH</w:t>
            </w:r>
          </w:p>
        </w:tc>
        <w:tc>
          <w:tcPr>
            <w:tcW w:type="dxa" w:w="3470"/>
            <w:tcMar>
              <w:top w:w="80" w:type="dxa"/>
              <w:bottom w:w="80" w:type="dxa"/>
              <w:start w:w="120" w:type="dxa"/>
              <w:end w:w="120" w:type="dxa"/>
            </w:tcMar>
            <w:vAlign w:val="center"/>
          </w:tcPr>
          <w:p>
            <w:pPr>
              <w:spacing w:before="0" w:after="20" w:line="259" w:lineRule="auto"/>
            </w:pPr>
            <w:r>
              <w:rPr>
                <w:rFonts w:ascii="Calibri" w:hAnsi="Calibri"/>
                <w:color w:val="202428"/>
                <w:sz w:val="17"/>
              </w:rPr>
              <w:t>/api/assets/{id}/archive</w:t>
            </w:r>
          </w:p>
        </w:tc>
        <w:tc>
          <w:tcPr>
            <w:tcW w:type="dxa" w:w="4990"/>
            <w:tcMar>
              <w:top w:w="80" w:type="dxa"/>
              <w:bottom w:w="80" w:type="dxa"/>
              <w:start w:w="120" w:type="dxa"/>
              <w:end w:w="120" w:type="dxa"/>
            </w:tcMar>
            <w:vAlign w:val="center"/>
          </w:tcPr>
          <w:p>
            <w:pPr>
              <w:spacing w:before="0" w:after="20" w:line="259" w:lineRule="auto"/>
            </w:pPr>
            <w:r>
              <w:rPr>
                <w:rFonts w:ascii="Calibri" w:hAnsi="Calibri"/>
                <w:color w:val="202428"/>
                <w:sz w:val="17"/>
              </w:rPr>
              <w:t>Soft archive</w:t>
            </w:r>
          </w:p>
        </w:tc>
      </w:tr>
      <w:tr>
        <w:tc>
          <w:tcPr>
            <w:tcW w:type="dxa" w:w="900"/>
            <w:tcMar>
              <w:top w:w="80" w:type="dxa"/>
              <w:bottom w:w="80" w:type="dxa"/>
              <w:start w:w="120" w:type="dxa"/>
              <w:end w:w="120" w:type="dxa"/>
            </w:tcMar>
            <w:vAlign w:val="center"/>
          </w:tcPr>
          <w:p>
            <w:pPr>
              <w:spacing w:before="0" w:after="20" w:line="259" w:lineRule="auto"/>
            </w:pPr>
            <w:r>
              <w:rPr>
                <w:rFonts w:ascii="Calibri" w:hAnsi="Calibri"/>
                <w:color w:val="202428"/>
                <w:sz w:val="17"/>
              </w:rPr>
              <w:t>PATCH</w:t>
            </w:r>
          </w:p>
        </w:tc>
        <w:tc>
          <w:tcPr>
            <w:tcW w:type="dxa" w:w="3470"/>
            <w:tcMar>
              <w:top w:w="80" w:type="dxa"/>
              <w:bottom w:w="80" w:type="dxa"/>
              <w:start w:w="120" w:type="dxa"/>
              <w:end w:w="120" w:type="dxa"/>
            </w:tcMar>
            <w:vAlign w:val="center"/>
          </w:tcPr>
          <w:p>
            <w:pPr>
              <w:spacing w:before="0" w:after="20" w:line="259" w:lineRule="auto"/>
            </w:pPr>
            <w:r>
              <w:rPr>
                <w:rFonts w:ascii="Calibri" w:hAnsi="Calibri"/>
                <w:color w:val="202428"/>
                <w:sz w:val="17"/>
              </w:rPr>
              <w:t>/api/assets/{id}/restore</w:t>
            </w:r>
          </w:p>
        </w:tc>
        <w:tc>
          <w:tcPr>
            <w:tcW w:type="dxa" w:w="4990"/>
            <w:tcMar>
              <w:top w:w="80" w:type="dxa"/>
              <w:bottom w:w="80" w:type="dxa"/>
              <w:start w:w="120" w:type="dxa"/>
              <w:end w:w="120" w:type="dxa"/>
            </w:tcMar>
            <w:vAlign w:val="center"/>
          </w:tcPr>
          <w:p>
            <w:pPr>
              <w:spacing w:before="0" w:after="20" w:line="259" w:lineRule="auto"/>
            </w:pPr>
            <w:r>
              <w:rPr>
                <w:rFonts w:ascii="Calibri" w:hAnsi="Calibri"/>
                <w:color w:val="202428"/>
                <w:sz w:val="17"/>
              </w:rPr>
              <w:t>Herstellen als Active</w:t>
            </w:r>
          </w:p>
        </w:tc>
      </w:tr>
    </w:tbl>
    <w:p>
      <w:pPr>
        <w:spacing w:after="40"/>
      </w:pPr>
    </w:p>
    <w:p>
      <w:pPr>
        <w:pStyle w:val="Heading2"/>
      </w:pPr>
      <w:r>
        <w:t>ContractsController</w:t>
      </w:r>
    </w:p>
    <w:p>
      <w:r>
        <w:t>De contractflow is dezelfde CRUD-vorm, met datum- en geldvalidatie in DTO/SQL. ContractProfile vertaalt een nullable BillingFrequency: null blijft null; een waarde wordt een enumstring. GetContracts sorteert op Name en verbergt Archived.</w:t>
      </w:r>
    </w:p>
    <w:p>
      <w:pPr>
        <w:pStyle w:val="Heading2"/>
      </w:pPr>
      <w:r>
        <w:t>SubscriptionsController</w:t>
      </w:r>
    </w:p>
    <w:p>
      <w:r>
        <w:t>Subscription heeft een speciaal relatiegeval: ContractId is optioneel. Bij create en update roept de controller ContractExistsAsync(userId, contractId) aan. Een contract van een andere gebruiker telt als niet bestaand. Pas daarna mapt hij de subscription. Hiermee kan de database nooit via de API een cross-user ContractId krijgen.</w:t>
      </w:r>
    </w:p>
    <w:p>
      <w:pPr>
        <w:pStyle w:val="Heading2"/>
      </w:pPr>
      <w:r>
        <w:t>WarrantiesController</w:t>
      </w:r>
    </w:p>
    <w:p>
      <w:r>
        <w:t>Warranty vereist altijd een AssetId. De controller haalt de asset met dezelfde UserId op, geeft een ValidationProblem bij een onbekende asset en 409 wanneer de asset gearchiveerd is. Bij update zet hij niet alleen AssetId maar ook de Asset-navigatie op het nieuw geladen object, zodat WarrantyDetailDto onmiddellijk de juiste AssetName bevat.</w:t>
      </w:r>
    </w:p>
    <w:tbl>
      <w:tblPr>
        <w:tblStyle w:val="TableGrid"/>
        <w:tblLook w:firstColumn="1" w:firstRow="1" w:lastColumn="0" w:lastRow="0" w:noHBand="0" w:noVBand="1" w:val="04A0"/>
        <w:jc w:val="left"/>
        <w:tblW w:w="9360" w:type="dxa"/>
        <w:tblInd w:w="120" w:type="dxa"/>
        <w:tblLayout w:type="fixed"/>
      </w:tblPr>
      <w:tblGrid>
        <w:gridCol w:w="900"/>
        <w:gridCol w:w="3300"/>
        <w:gridCol w:w="5160"/>
      </w:tblGrid>
      <w:tr>
        <w:trPr>
          <w:tblHeader w:val="true"/>
        </w:trPr>
        <w:tc>
          <w:tcPr>
            <w:tcW w:type="dxa" w:w="9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Methode</w:t>
            </w:r>
          </w:p>
        </w:tc>
        <w:tc>
          <w:tcPr>
            <w:tcW w:type="dxa" w:w="33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Route</w:t>
            </w:r>
          </w:p>
        </w:tc>
        <w:tc>
          <w:tcPr>
            <w:tcW w:type="dxa" w:w="516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Speciaal</w:t>
            </w:r>
          </w:p>
        </w:tc>
      </w:tr>
      <w:tr>
        <w:tc>
          <w:tcPr>
            <w:tcW w:type="dxa" w:w="900"/>
            <w:tcMar>
              <w:top w:w="80" w:type="dxa"/>
              <w:bottom w:w="80" w:type="dxa"/>
              <w:start w:w="120" w:type="dxa"/>
              <w:end w:w="120" w:type="dxa"/>
            </w:tcMar>
            <w:vAlign w:val="center"/>
          </w:tcPr>
          <w:p>
            <w:pPr>
              <w:spacing w:before="0" w:after="20" w:line="259" w:lineRule="auto"/>
            </w:pPr>
            <w:r>
              <w:rPr>
                <w:rFonts w:ascii="Calibri" w:hAnsi="Calibri"/>
                <w:color w:val="202428"/>
                <w:sz w:val="17"/>
              </w:rPr>
              <w:t>GET</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/api/warranties?assetId={id}</w:t>
            </w:r>
          </w:p>
        </w:tc>
        <w:tc>
          <w:tcPr>
            <w:tcW w:type="dxa" w:w="5160"/>
            <w:tcMar>
              <w:top w:w="80" w:type="dxa"/>
              <w:bottom w:w="80" w:type="dxa"/>
              <w:start w:w="120" w:type="dxa"/>
              <w:end w:w="120" w:type="dxa"/>
            </w:tcMar>
            <w:vAlign w:val="center"/>
          </w:tcPr>
          <w:p>
            <w:pPr>
              <w:spacing w:before="0" w:after="20" w:line="259" w:lineRule="auto"/>
            </w:pPr>
            <w:r>
              <w:rPr>
                <w:rFonts w:ascii="Calibri" w:hAnsi="Calibri"/>
                <w:color w:val="202428"/>
                <w:sz w:val="17"/>
              </w:rPr>
              <w:t>Optioneel filter per asset</w:t>
            </w:r>
          </w:p>
        </w:tc>
      </w:tr>
      <w:tr>
        <w:tc>
          <w:tcPr>
            <w:tcW w:type="dxa" w:w="900"/>
            <w:tcMar>
              <w:top w:w="80" w:type="dxa"/>
              <w:bottom w:w="80" w:type="dxa"/>
              <w:start w:w="120" w:type="dxa"/>
              <w:end w:w="120" w:type="dxa"/>
            </w:tcMar>
            <w:vAlign w:val="center"/>
          </w:tcPr>
          <w:p>
            <w:pPr>
              <w:spacing w:before="0" w:after="20" w:line="259" w:lineRule="auto"/>
            </w:pPr>
            <w:r>
              <w:rPr>
                <w:rFonts w:ascii="Calibri" w:hAnsi="Calibri"/>
                <w:color w:val="202428"/>
                <w:sz w:val="17"/>
              </w:rPr>
              <w:t>GET</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/api/warranties/{id}</w:t>
            </w:r>
          </w:p>
        </w:tc>
        <w:tc>
          <w:tcPr>
            <w:tcW w:type="dxa" w:w="5160"/>
            <w:tcMar>
              <w:top w:w="80" w:type="dxa"/>
              <w:bottom w:w="80" w:type="dxa"/>
              <w:start w:w="120" w:type="dxa"/>
              <w:end w:w="120" w:type="dxa"/>
            </w:tcMar>
            <w:vAlign w:val="center"/>
          </w:tcPr>
          <w:p>
            <w:pPr>
              <w:spacing w:before="0" w:after="20" w:line="259" w:lineRule="auto"/>
            </w:pPr>
            <w:r>
              <w:rPr>
                <w:rFonts w:ascii="Calibri" w:hAnsi="Calibri"/>
                <w:color w:val="202428"/>
                <w:sz w:val="17"/>
              </w:rPr>
              <w:t>Include Asset voor AssetName</w:t>
            </w:r>
          </w:p>
        </w:tc>
      </w:tr>
      <w:tr>
        <w:tc>
          <w:tcPr>
            <w:tcW w:type="dxa" w:w="900"/>
            <w:tcMar>
              <w:top w:w="80" w:type="dxa"/>
              <w:bottom w:w="80" w:type="dxa"/>
              <w:start w:w="120" w:type="dxa"/>
              <w:end w:w="120" w:type="dxa"/>
            </w:tcMar>
            <w:vAlign w:val="center"/>
          </w:tcPr>
          <w:p>
            <w:pPr>
              <w:spacing w:before="0" w:after="20" w:line="259" w:lineRule="auto"/>
            </w:pPr>
            <w:r>
              <w:rPr>
                <w:rFonts w:ascii="Calibri" w:hAnsi="Calibri"/>
                <w:color w:val="202428"/>
                <w:sz w:val="17"/>
              </w:rPr>
              <w:t>POST</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/api/warranties</w:t>
            </w:r>
          </w:p>
        </w:tc>
        <w:tc>
          <w:tcPr>
            <w:tcW w:type="dxa" w:w="5160"/>
            <w:tcMar>
              <w:top w:w="80" w:type="dxa"/>
              <w:bottom w:w="80" w:type="dxa"/>
              <w:start w:w="120" w:type="dxa"/>
              <w:end w:w="120" w:type="dxa"/>
            </w:tcMar>
            <w:vAlign w:val="center"/>
          </w:tcPr>
          <w:p>
            <w:pPr>
              <w:spacing w:before="0" w:after="20" w:line="259" w:lineRule="auto"/>
            </w:pPr>
            <w:r>
              <w:rPr>
                <w:rFonts w:ascii="Calibri" w:hAnsi="Calibri"/>
                <w:color w:val="202428"/>
                <w:sz w:val="17"/>
              </w:rPr>
              <w:t>Asset moet bestaan, van gebruiker zijn en niet archived zijn</w:t>
            </w:r>
          </w:p>
        </w:tc>
      </w:tr>
      <w:tr>
        <w:tc>
          <w:tcPr>
            <w:tcW w:type="dxa" w:w="900"/>
            <w:tcMar>
              <w:top w:w="80" w:type="dxa"/>
              <w:bottom w:w="80" w:type="dxa"/>
              <w:start w:w="120" w:type="dxa"/>
              <w:end w:w="120" w:type="dxa"/>
            </w:tcMar>
            <w:vAlign w:val="center"/>
          </w:tcPr>
          <w:p>
            <w:pPr>
              <w:spacing w:before="0" w:after="20" w:line="259" w:lineRule="auto"/>
            </w:pPr>
            <w:r>
              <w:rPr>
                <w:rFonts w:ascii="Calibri" w:hAnsi="Calibri"/>
                <w:color w:val="202428"/>
                <w:sz w:val="17"/>
              </w:rPr>
              <w:t>PUT</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/api/warranties/{id}</w:t>
            </w:r>
          </w:p>
        </w:tc>
        <w:tc>
          <w:tcPr>
            <w:tcW w:type="dxa" w:w="5160"/>
            <w:tcMar>
              <w:top w:w="80" w:type="dxa"/>
              <w:bottom w:w="80" w:type="dxa"/>
              <w:start w:w="120" w:type="dxa"/>
              <w:end w:w="120" w:type="dxa"/>
            </w:tcMar>
            <w:vAlign w:val="center"/>
          </w:tcPr>
          <w:p>
            <w:pPr>
              <w:spacing w:before="0" w:after="20" w:line="259" w:lineRule="auto"/>
            </w:pPr>
            <w:r>
              <w:rPr>
                <w:rFonts w:ascii="Calibri" w:hAnsi="Calibri"/>
                <w:color w:val="202428"/>
                <w:sz w:val="17"/>
              </w:rPr>
              <w:t>Mag naar een andere eigen actieve asset verhuizen</w:t>
            </w:r>
          </w:p>
        </w:tc>
      </w:tr>
      <w:tr>
        <w:tc>
          <w:tcPr>
            <w:tcW w:type="dxa" w:w="900"/>
            <w:tcMar>
              <w:top w:w="80" w:type="dxa"/>
              <w:bottom w:w="80" w:type="dxa"/>
              <w:start w:w="120" w:type="dxa"/>
              <w:end w:w="120" w:type="dxa"/>
            </w:tcMar>
            <w:vAlign w:val="center"/>
          </w:tcPr>
          <w:p>
            <w:pPr>
              <w:spacing w:before="0" w:after="20" w:line="259" w:lineRule="auto"/>
            </w:pPr>
            <w:r>
              <w:rPr>
                <w:rFonts w:ascii="Calibri" w:hAnsi="Calibri"/>
                <w:color w:val="202428"/>
                <w:sz w:val="17"/>
              </w:rPr>
              <w:t>PATCH</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.../archive of .../restore</w:t>
            </w:r>
          </w:p>
        </w:tc>
        <w:tc>
          <w:tcPr>
            <w:tcW w:type="dxa" w:w="5160"/>
            <w:tcMar>
              <w:top w:w="80" w:type="dxa"/>
              <w:bottom w:w="80" w:type="dxa"/>
              <w:start w:w="120" w:type="dxa"/>
              <w:end w:w="120" w:type="dxa"/>
            </w:tcMar>
            <w:vAlign w:val="center"/>
          </w:tcPr>
          <w:p>
            <w:pPr>
              <w:spacing w:before="0" w:after="20" w:line="259" w:lineRule="auto"/>
            </w:pPr>
            <w:r>
              <w:rPr>
                <w:rFonts w:ascii="Calibri" w:hAnsi="Calibri"/>
                <w:color w:val="202428"/>
                <w:sz w:val="17"/>
              </w:rPr>
              <w:t>Idempotente statusovergang</w:t>
            </w:r>
          </w:p>
        </w:tc>
      </w:tr>
    </w:tbl>
    <w:p>
      <w:pPr>
        <w:spacing w:after="40"/>
      </w:pPr>
    </w:p>
    <w:p>
      <w:bookmarkStart w:id="22" w:name="documents"/>
      <w:pPr>
        <w:pStyle w:val="Heading1"/>
      </w:pPr>
      <w:r>
        <w:t>Documenten, koppelingen en private opslag</w:t>
      </w:r>
      <w:bookmarkEnd w:id="22"/>
    </w:p>
    <w:p>
      <w:pPr>
        <w:spacing w:before="0" w:after="80"/>
        <w:jc w:val="right"/>
      </w:pPr>
      <w:hyperlink w:anchor="inhoud">
        <w:r>
          <w:rPr>
            <w:color w:val="2E74B5"/>
            <w:u w:val="single"/>
          </w:rPr>
          <w:t>Terug naar inhoud</w:t>
        </w:r>
      </w:hyperlink>
    </w:p>
    <w:p>
      <w:r>
        <w:t>Documenten zijn het meest securitygevoelige onderdeel. Een relationele rij bevat betekenis en metadata; de bytes staan in een private map zonder StaticFiles-middleware of voorspelbare publieke URL. Iedere download gaat opnieuw door cookie-authenticatie en ownershipfiltering.</w:t>
      </w:r>
    </w:p>
    <w:p>
      <w:pPr>
        <w:keepNext/>
        <w:spacing w:before="100" w:after="0"/>
        <w:jc w:val="center"/>
      </w:pPr>
      <w:r>
        <w:drawing>
          <wp:inline xmlns:a="http://schemas.openxmlformats.org/drawingml/2006/main" xmlns:pic="http://schemas.openxmlformats.org/drawingml/2006/picture">
            <wp:extent cx="5715000" cy="3214688"/>
            <wp:docPr id="6" name="Picture 6" descr="Procesdiagram voor multipartupload, validatie, ownership, private opslag, EF Core en compensatie bij databasefout."/>
            <wp:cNvGraphicFramePr>
              <a:graphicFrameLocks noChangeAspect="1"/>
            </wp:cNvGraphicFramePr>
            <a:graphic>
              <a:graphicData uri="http://schemas.openxmlformats.org/drawingml/2006/picture">
                <pic:pic>
                  <pic:nvPicPr>
                    <pic:cNvPr id="0" name="document-upload.png"/>
                    <pic:cNvPicPr/>
                  </pic:nvPicPr>
                  <pic:blipFill>
                    <a:blip r:embed="rId18"/>
                    <a:stretch>
                      <a:fillRect/>
                    </a:stretch>
                  </pic:blipFill>
                  <pic:spPr>
                    <a:xfrm>
                      <a:off x="0" y="0"/>
                      <a:ext cx="5715000" cy="3214688"/>
                    </a:xfrm>
                    <a:prstGeom prst="rect"/>
                  </pic:spPr>
                </pic:pic>
              </a:graphicData>
            </a:graphic>
          </wp:inline>
        </w:drawing>
      </w:r>
    </w:p>
    <w:p>
      <w:pPr>
        <w:pStyle w:val="Caption"/>
      </w:pPr>
      <w:r>
        <w:t>Figuur 6. Upload valideert eerst, schrijft daarna privé en commit ten slotte metadata en relatie.</w:t>
      </w:r>
    </w:p>
    <w:p>
      <w:pPr>
        <w:pStyle w:val="Heading2"/>
      </w:pPr>
      <w:r>
        <w:t>Endpointoverzicht</w:t>
      </w:r>
    </w:p>
    <w:tbl>
      <w:tblPr>
        <w:tblStyle w:val="TableGrid"/>
        <w:tblLook w:firstColumn="1" w:firstRow="1" w:lastColumn="0" w:lastRow="0" w:noHBand="0" w:noVBand="1" w:val="04A0"/>
        <w:jc w:val="left"/>
        <w:tblW w:w="9360" w:type="dxa"/>
        <w:tblInd w:w="120" w:type="dxa"/>
        <w:tblLayout w:type="fixed"/>
      </w:tblPr>
      <w:tblGrid>
        <w:gridCol w:w="850"/>
        <w:gridCol w:w="4070"/>
        <w:gridCol w:w="4440"/>
      </w:tblGrid>
      <w:tr>
        <w:trPr>
          <w:tblHeader w:val="true"/>
        </w:trPr>
        <w:tc>
          <w:tcPr>
            <w:tcW w:type="dxa" w:w="85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Methode</w:t>
            </w:r>
          </w:p>
        </w:tc>
        <w:tc>
          <w:tcPr>
            <w:tcW w:type="dxa" w:w="407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Route</w:t>
            </w:r>
          </w:p>
        </w:tc>
        <w:tc>
          <w:tcPr>
            <w:tcW w:type="dxa" w:w="444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Doel</w:t>
            </w:r>
          </w:p>
        </w:tc>
      </w:tr>
      <w:tr>
        <w:tc>
          <w:tcPr>
            <w:tcW w:type="dxa" w:w="850"/>
            <w:tcMar>
              <w:top w:w="80" w:type="dxa"/>
              <w:bottom w:w="80" w:type="dxa"/>
              <w:start w:w="120" w:type="dxa"/>
              <w:end w:w="120" w:type="dxa"/>
            </w:tcMar>
            <w:vAlign w:val="center"/>
          </w:tcPr>
          <w:p>
            <w:pPr>
              <w:spacing w:before="0" w:after="20" w:line="259" w:lineRule="auto"/>
            </w:pPr>
            <w:r>
              <w:rPr>
                <w:rFonts w:ascii="Calibri" w:hAnsi="Calibri"/>
                <w:color w:val="202428"/>
                <w:sz w:val="16"/>
              </w:rPr>
              <w:t>GET</w:t>
            </w:r>
          </w:p>
        </w:tc>
        <w:tc>
          <w:tcPr>
            <w:tcW w:type="dxa" w:w="4070"/>
            <w:tcMar>
              <w:top w:w="80" w:type="dxa"/>
              <w:bottom w:w="80" w:type="dxa"/>
              <w:start w:w="120" w:type="dxa"/>
              <w:end w:w="120" w:type="dxa"/>
            </w:tcMar>
            <w:vAlign w:val="center"/>
          </w:tcPr>
          <w:p>
            <w:pPr>
              <w:spacing w:before="0" w:after="20" w:line="259" w:lineRule="auto"/>
            </w:pPr>
            <w:r>
              <w:rPr>
                <w:rFonts w:ascii="Calibri" w:hAnsi="Calibri"/>
                <w:color w:val="202428"/>
                <w:sz w:val="16"/>
              </w:rPr>
              <w:t>/api/documents</w:t>
            </w:r>
          </w:p>
        </w:tc>
        <w:tc>
          <w:tcPr>
            <w:tcW w:type="dxa" w:w="4440"/>
            <w:tcMar>
              <w:top w:w="80" w:type="dxa"/>
              <w:bottom w:w="80" w:type="dxa"/>
              <w:start w:w="120" w:type="dxa"/>
              <w:end w:w="120" w:type="dxa"/>
            </w:tcMar>
            <w:vAlign w:val="center"/>
          </w:tcPr>
          <w:p>
            <w:pPr>
              <w:spacing w:before="0" w:after="20" w:line="259" w:lineRule="auto"/>
            </w:pPr>
            <w:r>
              <w:rPr>
                <w:rFonts w:ascii="Calibri" w:hAnsi="Calibri"/>
                <w:color w:val="202428"/>
                <w:sz w:val="16"/>
              </w:rPr>
              <w:t>Lijst; filters search, documentType, itemId, includeArchived</w:t>
            </w:r>
          </w:p>
        </w:tc>
      </w:tr>
      <w:tr>
        <w:tc>
          <w:tcPr>
            <w:tcW w:type="dxa" w:w="850"/>
            <w:tcMar>
              <w:top w:w="80" w:type="dxa"/>
              <w:bottom w:w="80" w:type="dxa"/>
              <w:start w:w="120" w:type="dxa"/>
              <w:end w:w="120" w:type="dxa"/>
            </w:tcMar>
            <w:vAlign w:val="center"/>
          </w:tcPr>
          <w:p>
            <w:pPr>
              <w:spacing w:before="0" w:after="20" w:line="259" w:lineRule="auto"/>
            </w:pPr>
            <w:r>
              <w:rPr>
                <w:rFonts w:ascii="Calibri" w:hAnsi="Calibri"/>
                <w:color w:val="202428"/>
                <w:sz w:val="16"/>
              </w:rPr>
              <w:t>GET</w:t>
            </w:r>
          </w:p>
        </w:tc>
        <w:tc>
          <w:tcPr>
            <w:tcW w:type="dxa" w:w="4070"/>
            <w:tcMar>
              <w:top w:w="80" w:type="dxa"/>
              <w:bottom w:w="80" w:type="dxa"/>
              <w:start w:w="120" w:type="dxa"/>
              <w:end w:w="120" w:type="dxa"/>
            </w:tcMar>
            <w:vAlign w:val="center"/>
          </w:tcPr>
          <w:p>
            <w:pPr>
              <w:spacing w:before="0" w:after="20" w:line="259" w:lineRule="auto"/>
            </w:pPr>
            <w:r>
              <w:rPr>
                <w:rFonts w:ascii="Calibri" w:hAnsi="Calibri"/>
                <w:color w:val="202428"/>
                <w:sz w:val="16"/>
              </w:rPr>
              <w:t>/api/documents/{id}</w:t>
            </w:r>
          </w:p>
        </w:tc>
        <w:tc>
          <w:tcPr>
            <w:tcW w:type="dxa" w:w="4440"/>
            <w:tcMar>
              <w:top w:w="80" w:type="dxa"/>
              <w:bottom w:w="80" w:type="dxa"/>
              <w:start w:w="120" w:type="dxa"/>
              <w:end w:w="120" w:type="dxa"/>
            </w:tcMar>
            <w:vAlign w:val="center"/>
          </w:tcPr>
          <w:p>
            <w:pPr>
              <w:spacing w:before="0" w:after="20" w:line="259" w:lineRule="auto"/>
            </w:pPr>
            <w:r>
              <w:rPr>
                <w:rFonts w:ascii="Calibri" w:hAnsi="Calibri"/>
                <w:color w:val="202428"/>
                <w:sz w:val="16"/>
              </w:rPr>
              <w:t>Veilige metadata + links</w:t>
            </w:r>
          </w:p>
        </w:tc>
      </w:tr>
      <w:tr>
        <w:tc>
          <w:tcPr>
            <w:tcW w:type="dxa" w:w="850"/>
            <w:tcMar>
              <w:top w:w="80" w:type="dxa"/>
              <w:bottom w:w="80" w:type="dxa"/>
              <w:start w:w="120" w:type="dxa"/>
              <w:end w:w="120" w:type="dxa"/>
            </w:tcMar>
            <w:vAlign w:val="center"/>
          </w:tcPr>
          <w:p>
            <w:pPr>
              <w:spacing w:before="0" w:after="20" w:line="259" w:lineRule="auto"/>
            </w:pPr>
            <w:r>
              <w:rPr>
                <w:rFonts w:ascii="Calibri" w:hAnsi="Calibri"/>
                <w:color w:val="202428"/>
                <w:sz w:val="16"/>
              </w:rPr>
              <w:t>GET</w:t>
            </w:r>
          </w:p>
        </w:tc>
        <w:tc>
          <w:tcPr>
            <w:tcW w:type="dxa" w:w="4070"/>
            <w:tcMar>
              <w:top w:w="80" w:type="dxa"/>
              <w:bottom w:w="80" w:type="dxa"/>
              <w:start w:w="120" w:type="dxa"/>
              <w:end w:w="120" w:type="dxa"/>
            </w:tcMar>
            <w:vAlign w:val="center"/>
          </w:tcPr>
          <w:p>
            <w:pPr>
              <w:spacing w:before="0" w:after="20" w:line="259" w:lineRule="auto"/>
            </w:pPr>
            <w:r>
              <w:rPr>
                <w:rFonts w:ascii="Calibri" w:hAnsi="Calibri"/>
                <w:color w:val="202428"/>
                <w:sz w:val="16"/>
              </w:rPr>
              <w:t>/api/documents/{id}/download</w:t>
            </w:r>
          </w:p>
        </w:tc>
        <w:tc>
          <w:tcPr>
            <w:tcW w:type="dxa" w:w="4440"/>
            <w:tcMar>
              <w:top w:w="80" w:type="dxa"/>
              <w:bottom w:w="80" w:type="dxa"/>
              <w:start w:w="120" w:type="dxa"/>
              <w:end w:w="120" w:type="dxa"/>
            </w:tcMar>
            <w:vAlign w:val="center"/>
          </w:tcPr>
          <w:p>
            <w:pPr>
              <w:spacing w:before="0" w:after="20" w:line="259" w:lineRule="auto"/>
            </w:pPr>
            <w:r>
              <w:rPr>
                <w:rFonts w:ascii="Calibri" w:hAnsi="Calibri"/>
                <w:color w:val="202428"/>
                <w:sz w:val="16"/>
              </w:rPr>
              <w:t>Private stream met attachmentheader</w:t>
            </w:r>
          </w:p>
        </w:tc>
      </w:tr>
      <w:tr>
        <w:tc>
          <w:tcPr>
            <w:tcW w:type="dxa" w:w="850"/>
            <w:tcMar>
              <w:top w:w="80" w:type="dxa"/>
              <w:bottom w:w="80" w:type="dxa"/>
              <w:start w:w="120" w:type="dxa"/>
              <w:end w:w="120" w:type="dxa"/>
            </w:tcMar>
            <w:vAlign w:val="center"/>
          </w:tcPr>
          <w:p>
            <w:pPr>
              <w:spacing w:before="0" w:after="20" w:line="259" w:lineRule="auto"/>
            </w:pPr>
            <w:r>
              <w:rPr>
                <w:rFonts w:ascii="Calibri" w:hAnsi="Calibri"/>
                <w:color w:val="202428"/>
                <w:sz w:val="16"/>
              </w:rPr>
              <w:t>POST</w:t>
            </w:r>
          </w:p>
        </w:tc>
        <w:tc>
          <w:tcPr>
            <w:tcW w:type="dxa" w:w="4070"/>
            <w:tcMar>
              <w:top w:w="80" w:type="dxa"/>
              <w:bottom w:w="80" w:type="dxa"/>
              <w:start w:w="120" w:type="dxa"/>
              <w:end w:w="120" w:type="dxa"/>
            </w:tcMar>
            <w:vAlign w:val="center"/>
          </w:tcPr>
          <w:p>
            <w:pPr>
              <w:spacing w:before="0" w:after="20" w:line="259" w:lineRule="auto"/>
            </w:pPr>
            <w:r>
              <w:rPr>
                <w:rFonts w:ascii="Calibri" w:hAnsi="Calibri"/>
                <w:color w:val="202428"/>
                <w:sz w:val="16"/>
              </w:rPr>
              <w:t>/api/documents</w:t>
            </w:r>
          </w:p>
        </w:tc>
        <w:tc>
          <w:tcPr>
            <w:tcW w:type="dxa" w:w="4440"/>
            <w:tcMar>
              <w:top w:w="80" w:type="dxa"/>
              <w:bottom w:w="80" w:type="dxa"/>
              <w:start w:w="120" w:type="dxa"/>
              <w:end w:w="120" w:type="dxa"/>
            </w:tcMar>
            <w:vAlign w:val="center"/>
          </w:tcPr>
          <w:p>
            <w:pPr>
              <w:spacing w:before="0" w:after="20" w:line="259" w:lineRule="auto"/>
            </w:pPr>
            <w:r>
              <w:rPr>
                <w:rFonts w:ascii="Calibri" w:hAnsi="Calibri"/>
                <w:color w:val="202428"/>
                <w:sz w:val="16"/>
              </w:rPr>
              <w:t>multipart upload, optioneel direct koppelen</w:t>
            </w:r>
          </w:p>
        </w:tc>
      </w:tr>
      <w:tr>
        <w:tc>
          <w:tcPr>
            <w:tcW w:type="dxa" w:w="850"/>
            <w:tcMar>
              <w:top w:w="80" w:type="dxa"/>
              <w:bottom w:w="80" w:type="dxa"/>
              <w:start w:w="120" w:type="dxa"/>
              <w:end w:w="120" w:type="dxa"/>
            </w:tcMar>
            <w:vAlign w:val="center"/>
          </w:tcPr>
          <w:p>
            <w:pPr>
              <w:spacing w:before="0" w:after="20" w:line="259" w:lineRule="auto"/>
            </w:pPr>
            <w:r>
              <w:rPr>
                <w:rFonts w:ascii="Calibri" w:hAnsi="Calibri"/>
                <w:color w:val="202428"/>
                <w:sz w:val="16"/>
              </w:rPr>
              <w:t>PUT</w:t>
            </w:r>
          </w:p>
        </w:tc>
        <w:tc>
          <w:tcPr>
            <w:tcW w:type="dxa" w:w="4070"/>
            <w:tcMar>
              <w:top w:w="80" w:type="dxa"/>
              <w:bottom w:w="80" w:type="dxa"/>
              <w:start w:w="120" w:type="dxa"/>
              <w:end w:w="120" w:type="dxa"/>
            </w:tcMar>
            <w:vAlign w:val="center"/>
          </w:tcPr>
          <w:p>
            <w:pPr>
              <w:spacing w:before="0" w:after="20" w:line="259" w:lineRule="auto"/>
            </w:pPr>
            <w:r>
              <w:rPr>
                <w:rFonts w:ascii="Calibri" w:hAnsi="Calibri"/>
                <w:color w:val="202428"/>
                <w:sz w:val="16"/>
              </w:rPr>
              <w:t>/api/documents/{id}</w:t>
            </w:r>
          </w:p>
        </w:tc>
        <w:tc>
          <w:tcPr>
            <w:tcW w:type="dxa" w:w="4440"/>
            <w:tcMar>
              <w:top w:w="80" w:type="dxa"/>
              <w:bottom w:w="80" w:type="dxa"/>
              <w:start w:w="120" w:type="dxa"/>
              <w:end w:w="120" w:type="dxa"/>
            </w:tcMar>
            <w:vAlign w:val="center"/>
          </w:tcPr>
          <w:p>
            <w:pPr>
              <w:spacing w:before="0" w:after="20" w:line="259" w:lineRule="auto"/>
            </w:pPr>
            <w:r>
              <w:rPr>
                <w:rFonts w:ascii="Calibri" w:hAnsi="Calibri"/>
                <w:color w:val="202428"/>
                <w:sz w:val="16"/>
              </w:rPr>
              <w:t>Alleen metadata wijzigen; bestand blijft gelijk</w:t>
            </w:r>
          </w:p>
        </w:tc>
      </w:tr>
      <w:tr>
        <w:tc>
          <w:tcPr>
            <w:tcW w:type="dxa" w:w="850"/>
            <w:tcMar>
              <w:top w:w="80" w:type="dxa"/>
              <w:bottom w:w="80" w:type="dxa"/>
              <w:start w:w="120" w:type="dxa"/>
              <w:end w:w="120" w:type="dxa"/>
            </w:tcMar>
            <w:vAlign w:val="center"/>
          </w:tcPr>
          <w:p>
            <w:pPr>
              <w:spacing w:before="0" w:after="20" w:line="259" w:lineRule="auto"/>
            </w:pPr>
            <w:r>
              <w:rPr>
                <w:rFonts w:ascii="Calibri" w:hAnsi="Calibri"/>
                <w:color w:val="202428"/>
                <w:sz w:val="16"/>
              </w:rPr>
              <w:t>PUT</w:t>
            </w:r>
          </w:p>
        </w:tc>
        <w:tc>
          <w:tcPr>
            <w:tcW w:type="dxa" w:w="4070"/>
            <w:tcMar>
              <w:top w:w="80" w:type="dxa"/>
              <w:bottom w:w="80" w:type="dxa"/>
              <w:start w:w="120" w:type="dxa"/>
              <w:end w:w="120" w:type="dxa"/>
            </w:tcMar>
            <w:vAlign w:val="center"/>
          </w:tcPr>
          <w:p>
            <w:pPr>
              <w:spacing w:before="0" w:after="20" w:line="259" w:lineRule="auto"/>
            </w:pPr>
            <w:r>
              <w:rPr>
                <w:rFonts w:ascii="Calibri" w:hAnsi="Calibri"/>
                <w:color w:val="202428"/>
                <w:sz w:val="16"/>
              </w:rPr>
              <w:t>/api/documents/{docId}/links/{itemId}</w:t>
            </w:r>
          </w:p>
        </w:tc>
        <w:tc>
          <w:tcPr>
            <w:tcW w:type="dxa" w:w="4440"/>
            <w:tcMar>
              <w:top w:w="80" w:type="dxa"/>
              <w:bottom w:w="80" w:type="dxa"/>
              <w:start w:w="120" w:type="dxa"/>
              <w:end w:w="120" w:type="dxa"/>
            </w:tcMar>
            <w:vAlign w:val="center"/>
          </w:tcPr>
          <w:p>
            <w:pPr>
              <w:spacing w:before="0" w:after="20" w:line="259" w:lineRule="auto"/>
            </w:pPr>
            <w:r>
              <w:rPr>
                <w:rFonts w:ascii="Calibri" w:hAnsi="Calibri"/>
                <w:color w:val="202428"/>
                <w:sz w:val="16"/>
              </w:rPr>
              <w:t>Link maken of rol idempotent wijzigen</w:t>
            </w:r>
          </w:p>
        </w:tc>
      </w:tr>
      <w:tr>
        <w:tc>
          <w:tcPr>
            <w:tcW w:type="dxa" w:w="850"/>
            <w:tcMar>
              <w:top w:w="80" w:type="dxa"/>
              <w:bottom w:w="80" w:type="dxa"/>
              <w:start w:w="120" w:type="dxa"/>
              <w:end w:w="120" w:type="dxa"/>
            </w:tcMar>
            <w:vAlign w:val="center"/>
          </w:tcPr>
          <w:p>
            <w:pPr>
              <w:spacing w:before="0" w:after="20" w:line="259" w:lineRule="auto"/>
            </w:pPr>
            <w:r>
              <w:rPr>
                <w:rFonts w:ascii="Calibri" w:hAnsi="Calibri"/>
                <w:color w:val="202428"/>
                <w:sz w:val="16"/>
              </w:rPr>
              <w:t>DELETE</w:t>
            </w:r>
          </w:p>
        </w:tc>
        <w:tc>
          <w:tcPr>
            <w:tcW w:type="dxa" w:w="4070"/>
            <w:tcMar>
              <w:top w:w="80" w:type="dxa"/>
              <w:bottom w:w="80" w:type="dxa"/>
              <w:start w:w="120" w:type="dxa"/>
              <w:end w:w="120" w:type="dxa"/>
            </w:tcMar>
            <w:vAlign w:val="center"/>
          </w:tcPr>
          <w:p>
            <w:pPr>
              <w:spacing w:before="0" w:after="20" w:line="259" w:lineRule="auto"/>
            </w:pPr>
            <w:r>
              <w:rPr>
                <w:rFonts w:ascii="Calibri" w:hAnsi="Calibri"/>
                <w:color w:val="202428"/>
                <w:sz w:val="16"/>
              </w:rPr>
              <w:t>/api/documents/{docId}/links/{itemId}</w:t>
            </w:r>
          </w:p>
        </w:tc>
        <w:tc>
          <w:tcPr>
            <w:tcW w:type="dxa" w:w="4440"/>
            <w:tcMar>
              <w:top w:w="80" w:type="dxa"/>
              <w:bottom w:w="80" w:type="dxa"/>
              <w:start w:w="120" w:type="dxa"/>
              <w:end w:w="120" w:type="dxa"/>
            </w:tcMar>
            <w:vAlign w:val="center"/>
          </w:tcPr>
          <w:p>
            <w:pPr>
              <w:spacing w:before="0" w:after="20" w:line="259" w:lineRule="auto"/>
            </w:pPr>
            <w:r>
              <w:rPr>
                <w:rFonts w:ascii="Calibri" w:hAnsi="Calibri"/>
                <w:color w:val="202428"/>
                <w:sz w:val="16"/>
              </w:rPr>
              <w:t>Alleen relatie verwijderen</w:t>
            </w:r>
          </w:p>
        </w:tc>
      </w:tr>
      <w:tr>
        <w:tc>
          <w:tcPr>
            <w:tcW w:type="dxa" w:w="850"/>
            <w:tcMar>
              <w:top w:w="80" w:type="dxa"/>
              <w:bottom w:w="80" w:type="dxa"/>
              <w:start w:w="120" w:type="dxa"/>
              <w:end w:w="120" w:type="dxa"/>
            </w:tcMar>
            <w:vAlign w:val="center"/>
          </w:tcPr>
          <w:p>
            <w:pPr>
              <w:spacing w:before="0" w:after="20" w:line="259" w:lineRule="auto"/>
            </w:pPr>
            <w:r>
              <w:rPr>
                <w:rFonts w:ascii="Calibri" w:hAnsi="Calibri"/>
                <w:color w:val="202428"/>
                <w:sz w:val="16"/>
              </w:rPr>
              <w:t>PATCH</w:t>
            </w:r>
          </w:p>
        </w:tc>
        <w:tc>
          <w:tcPr>
            <w:tcW w:type="dxa" w:w="4070"/>
            <w:tcMar>
              <w:top w:w="80" w:type="dxa"/>
              <w:bottom w:w="80" w:type="dxa"/>
              <w:start w:w="120" w:type="dxa"/>
              <w:end w:w="120" w:type="dxa"/>
            </w:tcMar>
            <w:vAlign w:val="center"/>
          </w:tcPr>
          <w:p>
            <w:pPr>
              <w:spacing w:before="0" w:after="20" w:line="259" w:lineRule="auto"/>
            </w:pPr>
            <w:r>
              <w:rPr>
                <w:rFonts w:ascii="Calibri" w:hAnsi="Calibri"/>
                <w:color w:val="202428"/>
                <w:sz w:val="16"/>
              </w:rPr>
              <w:t>/api/documents/{id}/archive</w:t>
            </w:r>
          </w:p>
        </w:tc>
        <w:tc>
          <w:tcPr>
            <w:tcW w:type="dxa" w:w="4440"/>
            <w:tcMar>
              <w:top w:w="80" w:type="dxa"/>
              <w:bottom w:w="80" w:type="dxa"/>
              <w:start w:w="120" w:type="dxa"/>
              <w:end w:w="120" w:type="dxa"/>
            </w:tcMar>
            <w:vAlign w:val="center"/>
          </w:tcPr>
          <w:p>
            <w:pPr>
              <w:spacing w:before="0" w:after="20" w:line="259" w:lineRule="auto"/>
            </w:pPr>
            <w:r>
              <w:rPr>
                <w:rFonts w:ascii="Calibri" w:hAnsi="Calibri"/>
                <w:color w:val="202428"/>
                <w:sz w:val="16"/>
              </w:rPr>
              <w:t>Metadata soft archiveren</w:t>
            </w:r>
          </w:p>
        </w:tc>
      </w:tr>
      <w:tr>
        <w:tc>
          <w:tcPr>
            <w:tcW w:type="dxa" w:w="850"/>
            <w:tcMar>
              <w:top w:w="80" w:type="dxa"/>
              <w:bottom w:w="80" w:type="dxa"/>
              <w:start w:w="120" w:type="dxa"/>
              <w:end w:w="120" w:type="dxa"/>
            </w:tcMar>
            <w:vAlign w:val="center"/>
          </w:tcPr>
          <w:p>
            <w:pPr>
              <w:spacing w:before="0" w:after="20" w:line="259" w:lineRule="auto"/>
            </w:pPr>
            <w:r>
              <w:rPr>
                <w:rFonts w:ascii="Calibri" w:hAnsi="Calibri"/>
                <w:color w:val="202428"/>
                <w:sz w:val="16"/>
              </w:rPr>
              <w:t>PATCH</w:t>
            </w:r>
          </w:p>
        </w:tc>
        <w:tc>
          <w:tcPr>
            <w:tcW w:type="dxa" w:w="4070"/>
            <w:tcMar>
              <w:top w:w="80" w:type="dxa"/>
              <w:bottom w:w="80" w:type="dxa"/>
              <w:start w:w="120" w:type="dxa"/>
              <w:end w:w="120" w:type="dxa"/>
            </w:tcMar>
            <w:vAlign w:val="center"/>
          </w:tcPr>
          <w:p>
            <w:pPr>
              <w:spacing w:before="0" w:after="20" w:line="259" w:lineRule="auto"/>
            </w:pPr>
            <w:r>
              <w:rPr>
                <w:rFonts w:ascii="Calibri" w:hAnsi="Calibri"/>
                <w:color w:val="202428"/>
                <w:sz w:val="16"/>
              </w:rPr>
              <w:t>/api/documents/{id}/restore</w:t>
            </w:r>
          </w:p>
        </w:tc>
        <w:tc>
          <w:tcPr>
            <w:tcW w:type="dxa" w:w="4440"/>
            <w:tcMar>
              <w:top w:w="80" w:type="dxa"/>
              <w:bottom w:w="80" w:type="dxa"/>
              <w:start w:w="120" w:type="dxa"/>
              <w:end w:w="120" w:type="dxa"/>
            </w:tcMar>
            <w:vAlign w:val="center"/>
          </w:tcPr>
          <w:p>
            <w:pPr>
              <w:spacing w:before="0" w:after="20" w:line="259" w:lineRule="auto"/>
            </w:pPr>
            <w:r>
              <w:rPr>
                <w:rFonts w:ascii="Calibri" w:hAnsi="Calibri"/>
                <w:color w:val="202428"/>
                <w:sz w:val="16"/>
              </w:rPr>
              <w:t>Metadata herstellen</w:t>
            </w:r>
          </w:p>
        </w:tc>
      </w:tr>
      <w:tr>
        <w:tc>
          <w:tcPr>
            <w:tcW w:type="dxa" w:w="850"/>
            <w:tcMar>
              <w:top w:w="80" w:type="dxa"/>
              <w:bottom w:w="80" w:type="dxa"/>
              <w:start w:w="120" w:type="dxa"/>
              <w:end w:w="120" w:type="dxa"/>
            </w:tcMar>
            <w:vAlign w:val="center"/>
          </w:tcPr>
          <w:p>
            <w:pPr>
              <w:spacing w:before="0" w:after="20" w:line="259" w:lineRule="auto"/>
            </w:pPr>
            <w:r>
              <w:rPr>
                <w:rFonts w:ascii="Calibri" w:hAnsi="Calibri"/>
                <w:color w:val="202428"/>
                <w:sz w:val="16"/>
              </w:rPr>
              <w:t>DELETE</w:t>
            </w:r>
          </w:p>
        </w:tc>
        <w:tc>
          <w:tcPr>
            <w:tcW w:type="dxa" w:w="4070"/>
            <w:tcMar>
              <w:top w:w="80" w:type="dxa"/>
              <w:bottom w:w="80" w:type="dxa"/>
              <w:start w:w="120" w:type="dxa"/>
              <w:end w:w="120" w:type="dxa"/>
            </w:tcMar>
            <w:vAlign w:val="center"/>
          </w:tcPr>
          <w:p>
            <w:pPr>
              <w:spacing w:before="0" w:after="20" w:line="259" w:lineRule="auto"/>
            </w:pPr>
            <w:r>
              <w:rPr>
                <w:rFonts w:ascii="Calibri" w:hAnsi="Calibri"/>
                <w:color w:val="202428"/>
                <w:sz w:val="16"/>
              </w:rPr>
              <w:t>/api/documents/{id}</w:t>
            </w:r>
          </w:p>
        </w:tc>
        <w:tc>
          <w:tcPr>
            <w:tcW w:type="dxa" w:w="4440"/>
            <w:tcMar>
              <w:top w:w="80" w:type="dxa"/>
              <w:bottom w:w="80" w:type="dxa"/>
              <w:start w:w="120" w:type="dxa"/>
              <w:end w:w="120" w:type="dxa"/>
            </w:tcMar>
            <w:vAlign w:val="center"/>
          </w:tcPr>
          <w:p>
            <w:pPr>
              <w:spacing w:before="0" w:after="20" w:line="259" w:lineRule="auto"/>
            </w:pPr>
            <w:r>
              <w:rPr>
                <w:rFonts w:ascii="Calibri" w:hAnsi="Calibri"/>
                <w:color w:val="202428"/>
                <w:sz w:val="16"/>
              </w:rPr>
              <w:t>Permanent; alleen wanneer archived</w:t>
            </w:r>
          </w:p>
        </w:tc>
      </w:tr>
    </w:tbl>
    <w:p>
      <w:pPr>
        <w:spacing w:after="40"/>
      </w:pPr>
    </w:p>
    <w:p>
      <w:pPr>
        <w:pStyle w:val="Heading2"/>
      </w:pPr>
      <w:r>
        <w:t>UploadDocumentRequest</w:t>
      </w:r>
    </w:p>
    <w:p>
      <w:r>
        <w:t>De request is multipart/form-data omdat hij IFormFile plus tekstvelden bevat. Name is optioneel en valt terug op de bestandsnaam zonder extensie. DocumentType en Role hebben AllowedValues. IssuedOn/ExpiresOn worden samen gevalideerd. ItemId is optioneel: een document mag eerst los in het archief bestaan.</w:t>
      </w:r>
    </w:p>
    <w:p>
      <w:pPr>
        <w:pStyle w:val="Heading2"/>
      </w:pPr>
      <w:r>
        <w:t>DocumentUploadValidator</w:t>
      </w:r>
    </w:p>
    <w:p>
      <w:r>
        <w:t>De validator vertrouwt ContentType van de browser niet. Hij sanitizet de bestandsnaam, haalt een toegestane extensie op en bepaalt zelf het canonical MIME-type. PDF, PNG, JPEG en WebP krijgen magic-bytecontroles. DOCX en XLSX worden als ZIP geopend en moeten [Content_Types].xml plus respectievelijk word/ of xl/ bevatten. TXT mag in de eerste bytes geen nulbyte bevatten. HTML, SVG, scripts, executables en onbekende extensies worden geweigerd.</w:t>
      </w:r>
    </w:p>
    <w:tbl>
      <w:tblPr>
        <w:tblStyle w:val="TableGrid"/>
        <w:tblLook w:firstColumn="1" w:firstRow="1" w:lastColumn="0" w:lastRow="0" w:noHBand="0" w:noVBand="1" w:val="04A0"/>
        <w:jc w:val="left"/>
        <w:tblW w:w="9360" w:type="dxa"/>
        <w:tblInd w:w="120" w:type="dxa"/>
        <w:tblLayout w:type="fixed"/>
      </w:tblPr>
      <w:tblGrid>
        <w:gridCol w:w="1400"/>
        <w:gridCol w:w="3300"/>
        <w:gridCol w:w="4660"/>
      </w:tblGrid>
      <w:tr>
        <w:trPr>
          <w:tblHeader w:val="true"/>
        </w:trPr>
        <w:tc>
          <w:tcPr>
            <w:tcW w:type="dxa" w:w="14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Extensie</w:t>
            </w:r>
          </w:p>
        </w:tc>
        <w:tc>
          <w:tcPr>
            <w:tcW w:type="dxa" w:w="33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Server-MIME</w:t>
            </w:r>
          </w:p>
        </w:tc>
        <w:tc>
          <w:tcPr>
            <w:tcW w:type="dxa" w:w="466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Inhoudscontrole</w:t>
            </w:r>
          </w:p>
        </w:tc>
      </w:tr>
      <w:tr>
        <w:tc>
          <w:tcPr>
            <w:tcW w:type="dxa" w:w="1400"/>
            <w:tcMar>
              <w:top w:w="80" w:type="dxa"/>
              <w:bottom w:w="80" w:type="dxa"/>
              <w:start w:w="120" w:type="dxa"/>
              <w:end w:w="120" w:type="dxa"/>
            </w:tcMar>
            <w:vAlign w:val="center"/>
          </w:tcPr>
          <w:p>
            <w:pPr>
              <w:spacing w:before="0" w:after="20" w:line="259" w:lineRule="auto"/>
            </w:pPr>
            <w:r>
              <w:rPr>
                <w:rFonts w:ascii="Calibri" w:hAnsi="Calibri"/>
                <w:color w:val="202428"/>
                <w:sz w:val="17"/>
              </w:rPr>
              <w:t>.pdf</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application/pdf</w:t>
            </w:r>
          </w:p>
        </w:tc>
        <w:tc>
          <w:tcPr>
            <w:tcW w:type="dxa" w:w="4660"/>
            <w:tcMar>
              <w:top w:w="80" w:type="dxa"/>
              <w:bottom w:w="80" w:type="dxa"/>
              <w:start w:w="120" w:type="dxa"/>
              <w:end w:w="120" w:type="dxa"/>
            </w:tcMar>
            <w:vAlign w:val="center"/>
          </w:tcPr>
          <w:p>
            <w:pPr>
              <w:spacing w:before="0" w:after="20" w:line="259" w:lineRule="auto"/>
            </w:pPr>
            <w:r>
              <w:rPr>
                <w:rFonts w:ascii="Calibri" w:hAnsi="Calibri"/>
                <w:color w:val="202428"/>
                <w:sz w:val="17"/>
              </w:rPr>
              <w:t>%PDF-</w:t>
            </w:r>
          </w:p>
        </w:tc>
      </w:tr>
      <w:tr>
        <w:tc>
          <w:tcPr>
            <w:tcW w:type="dxa" w:w="1400"/>
            <w:tcMar>
              <w:top w:w="80" w:type="dxa"/>
              <w:bottom w:w="80" w:type="dxa"/>
              <w:start w:w="120" w:type="dxa"/>
              <w:end w:w="120" w:type="dxa"/>
            </w:tcMar>
            <w:vAlign w:val="center"/>
          </w:tcPr>
          <w:p>
            <w:pPr>
              <w:spacing w:before="0" w:after="20" w:line="259" w:lineRule="auto"/>
            </w:pPr>
            <w:r>
              <w:rPr>
                <w:rFonts w:ascii="Calibri" w:hAnsi="Calibri"/>
                <w:color w:val="202428"/>
                <w:sz w:val="17"/>
              </w:rPr>
              <w:t>.png</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image/png</w:t>
            </w:r>
          </w:p>
        </w:tc>
        <w:tc>
          <w:tcPr>
            <w:tcW w:type="dxa" w:w="4660"/>
            <w:tcMar>
              <w:top w:w="80" w:type="dxa"/>
              <w:bottom w:w="80" w:type="dxa"/>
              <w:start w:w="120" w:type="dxa"/>
              <w:end w:w="120" w:type="dxa"/>
            </w:tcMar>
            <w:vAlign w:val="center"/>
          </w:tcPr>
          <w:p>
            <w:pPr>
              <w:spacing w:before="0" w:after="20" w:line="259" w:lineRule="auto"/>
            </w:pPr>
            <w:r>
              <w:rPr>
                <w:rFonts w:ascii="Calibri" w:hAnsi="Calibri"/>
                <w:color w:val="202428"/>
                <w:sz w:val="17"/>
              </w:rPr>
              <w:t>8-byte PNG-signature</w:t>
            </w:r>
          </w:p>
        </w:tc>
      </w:tr>
      <w:tr>
        <w:tc>
          <w:tcPr>
            <w:tcW w:type="dxa" w:w="1400"/>
            <w:tcMar>
              <w:top w:w="80" w:type="dxa"/>
              <w:bottom w:w="80" w:type="dxa"/>
              <w:start w:w="120" w:type="dxa"/>
              <w:end w:w="120" w:type="dxa"/>
            </w:tcMar>
            <w:vAlign w:val="center"/>
          </w:tcPr>
          <w:p>
            <w:pPr>
              <w:spacing w:before="0" w:after="20" w:line="259" w:lineRule="auto"/>
            </w:pPr>
            <w:r>
              <w:rPr>
                <w:rFonts w:ascii="Calibri" w:hAnsi="Calibri"/>
                <w:color w:val="202428"/>
                <w:sz w:val="17"/>
              </w:rPr>
              <w:t>.jpg/.jpeg</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image/jpeg</w:t>
            </w:r>
          </w:p>
        </w:tc>
        <w:tc>
          <w:tcPr>
            <w:tcW w:type="dxa" w:w="4660"/>
            <w:tcMar>
              <w:top w:w="80" w:type="dxa"/>
              <w:bottom w:w="80" w:type="dxa"/>
              <w:start w:w="120" w:type="dxa"/>
              <w:end w:w="120" w:type="dxa"/>
            </w:tcMar>
            <w:vAlign w:val="center"/>
          </w:tcPr>
          <w:p>
            <w:pPr>
              <w:spacing w:before="0" w:after="20" w:line="259" w:lineRule="auto"/>
            </w:pPr>
            <w:r>
              <w:rPr>
                <w:rFonts w:ascii="Calibri" w:hAnsi="Calibri"/>
                <w:color w:val="202428"/>
                <w:sz w:val="17"/>
              </w:rPr>
              <w:t>FF D8 FF</w:t>
            </w:r>
          </w:p>
        </w:tc>
      </w:tr>
      <w:tr>
        <w:tc>
          <w:tcPr>
            <w:tcW w:type="dxa" w:w="1400"/>
            <w:tcMar>
              <w:top w:w="80" w:type="dxa"/>
              <w:bottom w:w="80" w:type="dxa"/>
              <w:start w:w="120" w:type="dxa"/>
              <w:end w:w="120" w:type="dxa"/>
            </w:tcMar>
            <w:vAlign w:val="center"/>
          </w:tcPr>
          <w:p>
            <w:pPr>
              <w:spacing w:before="0" w:after="20" w:line="259" w:lineRule="auto"/>
            </w:pPr>
            <w:r>
              <w:rPr>
                <w:rFonts w:ascii="Calibri" w:hAnsi="Calibri"/>
                <w:color w:val="202428"/>
                <w:sz w:val="17"/>
              </w:rPr>
              <w:t>.webp</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image/webp</w:t>
            </w:r>
          </w:p>
        </w:tc>
        <w:tc>
          <w:tcPr>
            <w:tcW w:type="dxa" w:w="4660"/>
            <w:tcMar>
              <w:top w:w="80" w:type="dxa"/>
              <w:bottom w:w="80" w:type="dxa"/>
              <w:start w:w="120" w:type="dxa"/>
              <w:end w:w="120" w:type="dxa"/>
            </w:tcMar>
            <w:vAlign w:val="center"/>
          </w:tcPr>
          <w:p>
            <w:pPr>
              <w:spacing w:before="0" w:after="20" w:line="259" w:lineRule="auto"/>
            </w:pPr>
            <w:r>
              <w:rPr>
                <w:rFonts w:ascii="Calibri" w:hAnsi="Calibri"/>
                <w:color w:val="202428"/>
                <w:sz w:val="17"/>
              </w:rPr>
              <w:t>RIFF + WEBP</w:t>
            </w:r>
          </w:p>
        </w:tc>
      </w:tr>
      <w:tr>
        <w:tc>
          <w:tcPr>
            <w:tcW w:type="dxa" w:w="1400"/>
            <w:tcMar>
              <w:top w:w="80" w:type="dxa"/>
              <w:bottom w:w="80" w:type="dxa"/>
              <w:start w:w="120" w:type="dxa"/>
              <w:end w:w="120" w:type="dxa"/>
            </w:tcMar>
            <w:vAlign w:val="center"/>
          </w:tcPr>
          <w:p>
            <w:pPr>
              <w:spacing w:before="0" w:after="20" w:line="259" w:lineRule="auto"/>
            </w:pPr>
            <w:r>
              <w:rPr>
                <w:rFonts w:ascii="Calibri" w:hAnsi="Calibri"/>
                <w:color w:val="202428"/>
                <w:sz w:val="17"/>
              </w:rPr>
              <w:t>.docx</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OOXML Word</w:t>
            </w:r>
          </w:p>
        </w:tc>
        <w:tc>
          <w:tcPr>
            <w:tcW w:type="dxa" w:w="4660"/>
            <w:tcMar>
              <w:top w:w="80" w:type="dxa"/>
              <w:bottom w:w="80" w:type="dxa"/>
              <w:start w:w="120" w:type="dxa"/>
              <w:end w:w="120" w:type="dxa"/>
            </w:tcMar>
            <w:vAlign w:val="center"/>
          </w:tcPr>
          <w:p>
            <w:pPr>
              <w:spacing w:before="0" w:after="20" w:line="259" w:lineRule="auto"/>
            </w:pPr>
            <w:r>
              <w:rPr>
                <w:rFonts w:ascii="Calibri" w:hAnsi="Calibri"/>
                <w:color w:val="202428"/>
                <w:sz w:val="17"/>
              </w:rPr>
              <w:t>geldige ZIP + [Content_Types].xml + word/</w:t>
            </w:r>
          </w:p>
        </w:tc>
      </w:tr>
      <w:tr>
        <w:tc>
          <w:tcPr>
            <w:tcW w:type="dxa" w:w="1400"/>
            <w:tcMar>
              <w:top w:w="80" w:type="dxa"/>
              <w:bottom w:w="80" w:type="dxa"/>
              <w:start w:w="120" w:type="dxa"/>
              <w:end w:w="120" w:type="dxa"/>
            </w:tcMar>
            <w:vAlign w:val="center"/>
          </w:tcPr>
          <w:p>
            <w:pPr>
              <w:spacing w:before="0" w:after="20" w:line="259" w:lineRule="auto"/>
            </w:pPr>
            <w:r>
              <w:rPr>
                <w:rFonts w:ascii="Calibri" w:hAnsi="Calibri"/>
                <w:color w:val="202428"/>
                <w:sz w:val="17"/>
              </w:rPr>
              <w:t>.xlsx</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OOXML Excel</w:t>
            </w:r>
          </w:p>
        </w:tc>
        <w:tc>
          <w:tcPr>
            <w:tcW w:type="dxa" w:w="4660"/>
            <w:tcMar>
              <w:top w:w="80" w:type="dxa"/>
              <w:bottom w:w="80" w:type="dxa"/>
              <w:start w:w="120" w:type="dxa"/>
              <w:end w:w="120" w:type="dxa"/>
            </w:tcMar>
            <w:vAlign w:val="center"/>
          </w:tcPr>
          <w:p>
            <w:pPr>
              <w:spacing w:before="0" w:after="20" w:line="259" w:lineRule="auto"/>
            </w:pPr>
            <w:r>
              <w:rPr>
                <w:rFonts w:ascii="Calibri" w:hAnsi="Calibri"/>
                <w:color w:val="202428"/>
                <w:sz w:val="17"/>
              </w:rPr>
              <w:t>geldige ZIP + [Content_Types].xml + xl/</w:t>
            </w:r>
          </w:p>
        </w:tc>
      </w:tr>
      <w:tr>
        <w:tc>
          <w:tcPr>
            <w:tcW w:type="dxa" w:w="1400"/>
            <w:tcMar>
              <w:top w:w="80" w:type="dxa"/>
              <w:bottom w:w="80" w:type="dxa"/>
              <w:start w:w="120" w:type="dxa"/>
              <w:end w:w="120" w:type="dxa"/>
            </w:tcMar>
            <w:vAlign w:val="center"/>
          </w:tcPr>
          <w:p>
            <w:pPr>
              <w:spacing w:before="0" w:after="20" w:line="259" w:lineRule="auto"/>
            </w:pPr>
            <w:r>
              <w:rPr>
                <w:rFonts w:ascii="Calibri" w:hAnsi="Calibri"/>
                <w:color w:val="202428"/>
                <w:sz w:val="17"/>
              </w:rPr>
              <w:t>.txt</w:t>
            </w:r>
          </w:p>
        </w:tc>
        <w:tc>
          <w:tcPr>
            <w:tcW w:type="dxa" w:w="3300"/>
            <w:tcMar>
              <w:top w:w="80" w:type="dxa"/>
              <w:bottom w:w="80" w:type="dxa"/>
              <w:start w:w="120" w:type="dxa"/>
              <w:end w:w="120" w:type="dxa"/>
            </w:tcMar>
            <w:vAlign w:val="center"/>
          </w:tcPr>
          <w:p>
            <w:pPr>
              <w:spacing w:before="0" w:after="20" w:line="259" w:lineRule="auto"/>
            </w:pPr>
            <w:r>
              <w:rPr>
                <w:rFonts w:ascii="Calibri" w:hAnsi="Calibri"/>
                <w:color w:val="202428"/>
                <w:sz w:val="17"/>
              </w:rPr>
              <w:t>text/plain</w:t>
            </w:r>
          </w:p>
        </w:tc>
        <w:tc>
          <w:tcPr>
            <w:tcW w:type="dxa" w:w="4660"/>
            <w:tcMar>
              <w:top w:w="80" w:type="dxa"/>
              <w:bottom w:w="80" w:type="dxa"/>
              <w:start w:w="120" w:type="dxa"/>
              <w:end w:w="120" w:type="dxa"/>
            </w:tcMar>
            <w:vAlign w:val="center"/>
          </w:tcPr>
          <w:p>
            <w:pPr>
              <w:spacing w:before="0" w:after="20" w:line="259" w:lineRule="auto"/>
            </w:pPr>
            <w:r>
              <w:rPr>
                <w:rFonts w:ascii="Calibri" w:hAnsi="Calibri"/>
                <w:color w:val="202428"/>
                <w:sz w:val="17"/>
              </w:rPr>
              <w:t>niet leeg, geen vroege nulbyte</w:t>
            </w:r>
          </w:p>
        </w:tc>
      </w:tr>
    </w:tbl>
    <w:p>
      <w:pPr>
        <w:spacing w:after="40"/>
      </w:pPr>
    </w:p>
    <w:p>
      <w:pPr>
        <w:pStyle w:val="Heading2"/>
      </w:pPr>
      <w:r>
        <w:t>LocalPrivateFileStorage</w:t>
      </w:r>
    </w:p>
    <w:p>
      <w:r>
        <w:t>SaveAsync maakt een key zoals 2026/08/{random-guid}.pdf. De oorspronkelijke bestandsnaam wordt dus nooit een pad. ResolveStoragePath combineert de key met de geconfigureerde root, normaliseert via Path.GetFullPath en weigert elk resultaat buiten die root. Dit blokkeert ../-path traversal. Tijdens streaming telt de service werkelijk geschreven bytes en bouwt IncrementalHash SHA-256 op; hij hoeft het hele document niet in geheugen te laden.</w:t>
      </w:r>
    </w:p>
    <w:p>
      <w:pPr>
        <w:pStyle w:val="Callout"/>
        <w:shd w:fill="FCEBEC"/>
        <w:pBdr>
          <w:left w:val="single" w:sz="18" w:space="8" w:color="A33A3A"/>
        </w:pBdr>
      </w:pPr>
      <w:r>
        <w:rPr>
          <w:rFonts w:ascii="Calibri" w:hAnsi="Calibri"/>
          <w:b/>
          <w:color w:val="A33A3A"/>
          <w:sz w:val="21"/>
        </w:rPr>
        <w:t xml:space="preserve">Dubbele limiet: </w:t>
      </w:r>
      <w:r>
        <w:rPr>
          <w:rFonts w:ascii="Calibri" w:hAnsi="Calibri"/>
          <w:color w:val="202428"/>
          <w:sz w:val="21"/>
        </w:rPr>
        <w:t>FormOptions begrenst de totale multipartrequest, DocumentUploadValidator controleert IFormFile.Length en SaveAsync telt de echte streambytes opnieuw. Die lagen beschermen tegen verschillende fout- en aanvalspaden.</w:t>
      </w:r>
    </w:p>
    <w:p>
      <w:pPr>
        <w:pStyle w:val="Heading2"/>
      </w:pPr>
      <w:r>
        <w:t>Koppelingen en afbeeldingsrollen</w:t>
      </w:r>
    </w:p>
    <w:p>
      <w:r>
        <w:t>Voor een link haalt de controller zowel Document als target Item met dezelfde UserId op. Document-naar-documentkoppelingen zijn bewust niet toegestaan. Archived documenten of targetitems moeten eerst worden hersteld. PrimaryImage en GalleryImage vereisen een servergevalideerde image MIME. HasPrimaryImageAsync controleert vooraf, terwijl de unieke SQL-index races opvangt. Een bestaand link met dezelfde rol retourneert meteen 200 en is dus idempotent.</w:t>
      </w:r>
    </w:p>
    <w:p>
      <w:pPr>
        <w:pStyle w:val="Heading2"/>
      </w:pPr>
      <w:r>
        <w:t>Download</w:t>
      </w:r>
    </w:p>
    <w:p>
      <w:r>
        <w:t>DownloadDocument zoekt eerst metadata met UserId. OpenReadAsync ontvangt alleen de interne StorageKey. De response zet Cache-Control: private, no-store, X-Content-Type-Options: nosniff en Content-Disposition: attachment met de gesanitized oorspronkelijke naam. enableRangeProcessing ondersteunt hervatten en grote streams. Een ontbrekend fysiek bestand bij bestaande metadata is een interne inconsistentie: de server logt de DocumentId en geeft 500 zonder StorageKey te lekken.</w:t>
      </w:r>
    </w:p>
    <w:p>
      <w:pPr>
        <w:pStyle w:val="Heading2"/>
      </w:pPr>
      <w:r>
        <w:t>Permanent verwijderen en twee opslagwerelden</w:t>
      </w:r>
    </w:p>
    <w:p>
      <w:r>
        <w:t>SQL Server en het bestandssysteem delen geen distributed transaction. MIRA vereist daarom eerst archive. Bij upload wordt het bestand na een mislukte databasecommit als compensatie verwijderd. Bij hard delete worden eerst links en metadata uit SQL verwijderd en daarna de private file. Als die laatste cleanup faalt, blijft een onbereikbaar orphanbestand over en wordt Critical gelogd. Dat is veiliger dan een database-record behouden dat naar ontbrekende bytes wijst, maar productie hoort periodieke orphanreconciliatie of object-storage lifecyclebeheer toe te voegen.</w:t>
      </w:r>
    </w:p>
    <w:p>
      <w:pPr>
        <w:pStyle w:val="Callout"/>
        <w:shd w:fill="FFF6D9"/>
        <w:pBdr>
          <w:left w:val="single" w:sz="18" w:space="8" w:color="9A6700"/>
        </w:pBdr>
      </w:pPr>
      <w:r>
        <w:rPr>
          <w:rFonts w:ascii="Calibri" w:hAnsi="Calibri"/>
          <w:b/>
          <w:color w:val="9A6700"/>
          <w:sz w:val="21"/>
        </w:rPr>
        <w:t xml:space="preserve">Malwarescan: </w:t>
      </w:r>
      <w:r>
        <w:rPr>
          <w:rFonts w:ascii="Calibri" w:hAnsi="Calibri"/>
          <w:color w:val="202428"/>
          <w:sz w:val="21"/>
        </w:rPr>
        <w:t>Magic bytes en OOXML-structuur zijn formatvalidatie, geen antivirus. Voor publieke productieuploads hoort na upload en vóór vrijgave een malware-scanner/quarantainestap te komen.</w:t>
      </w:r>
    </w:p>
    <w:p>
      <w:bookmarkStart w:id="23" w:name="dashboard"/>
      <w:pPr>
        <w:pStyle w:val="Heading1"/>
      </w:pPr>
      <w:r>
        <w:t>Dashboard-readmodel</w:t>
      </w:r>
      <w:bookmarkEnd w:id="23"/>
    </w:p>
    <w:p>
      <w:pPr>
        <w:spacing w:before="0" w:after="80"/>
        <w:jc w:val="right"/>
      </w:pPr>
      <w:hyperlink w:anchor="inhoud">
        <w:r>
          <w:rPr>
            <w:color w:val="2E74B5"/>
            <w:u w:val="single"/>
          </w:rPr>
          <w:t>Terug naar inhoud</w:t>
        </w:r>
      </w:hyperlink>
    </w:p>
    <w:p>
      <w:r>
        <w:t>DashboardController schrijft niets. Het combineert tellingen, recente items en aandachtspunten tot één response die voor de startpagina is geoptimaliseerd. TimeProvider levert generatedAt en today testbaar aan. horizonDays is met [Range(1,365)] begrensd; recentItemCount met [Range(1,20)].</w:t>
      </w:r>
    </w:p>
    <w:p>
      <w:pPr>
        <w:pStyle w:val="CodeBlock"/>
        <w:shd w:fill="F6F8FA"/>
        <w:pBdr>
          <w:left w:val="single" w:sz="8" w:space="8" w:color="AAB7C4"/>
        </w:pBdr>
      </w:pPr>
      <w:r>
        <w:rPr>
          <w:rFonts w:ascii="Consolas" w:hAnsi="Consolas"/>
          <w:color w:val="15202B"/>
          <w:sz w:val="16"/>
        </w:rPr>
        <w:t>var snapshot = await _dashboardRepository.GetDashboardAsync(</w:t>
        <w:br/>
      </w:r>
      <w:r>
        <w:rPr>
          <w:rFonts w:ascii="Consolas" w:hAnsi="Consolas"/>
          <w:color w:val="15202B"/>
          <w:sz w:val="16"/>
        </w:rPr>
        <w:t xml:space="preserve">    userId, today, horizonDays, recentItemCount,</w:t>
        <w:br/>
      </w:r>
      <w:r>
        <w:rPr>
          <w:rFonts w:ascii="Consolas" w:hAnsi="Consolas"/>
          <w:color w:val="15202B"/>
          <w:sz w:val="16"/>
        </w:rPr>
        <w:t xml:space="preserve">    attentionItemCount: 12, cancellationToken);</w:t>
      </w:r>
    </w:p>
    <w:p>
      <w:pPr>
        <w:pStyle w:val="Heading2"/>
      </w:pPr>
      <w:r>
        <w:t>Wat de repository samenstelt</w:t>
      </w:r>
    </w:p>
    <w:p>
      <w:pPr>
        <w:numPr>
          <w:ilvl w:val="0"/>
          <w:numId w:val="10"/>
        </w:numPr>
        <w:spacing w:after="80" w:line="300" w:lineRule="auto"/>
      </w:pPr>
      <w:r>
        <w:rPr>
          <w:rFonts w:ascii="Calibri" w:hAnsi="Calibri"/>
          <w:color w:val="202428"/>
          <w:sz w:val="22"/>
        </w:rPr>
        <w:t>Counts: niet-gearchiveerde Assets, Documents, Warranties, Contracts en Subscriptions.</w:t>
      </w:r>
    </w:p>
    <w:p>
      <w:pPr>
        <w:numPr>
          <w:ilvl w:val="0"/>
          <w:numId w:val="10"/>
        </w:numPr>
        <w:spacing w:after="80" w:line="300" w:lineRule="auto"/>
      </w:pPr>
      <w:r>
        <w:rPr>
          <w:rFonts w:ascii="Calibri" w:hAnsi="Calibri"/>
          <w:color w:val="202428"/>
          <w:sz w:val="22"/>
        </w:rPr>
        <w:t>RecentItems: maximaal de gevraagde hoeveelheid Items, nieuwste CreatedAt eerst, over alle TPT-subtypes.</w:t>
      </w:r>
    </w:p>
    <w:p>
      <w:pPr>
        <w:numPr>
          <w:ilvl w:val="0"/>
          <w:numId w:val="10"/>
        </w:numPr>
        <w:spacing w:after="80" w:line="300" w:lineRule="auto"/>
      </w:pPr>
      <w:r>
        <w:rPr>
          <w:rFonts w:ascii="Calibri" w:hAnsi="Calibri"/>
          <w:color w:val="202428"/>
          <w:sz w:val="22"/>
        </w:rPr>
        <w:t>WarrantyExpires: garanties met EndsOn tot en met de horizon.</w:t>
      </w:r>
    </w:p>
    <w:p>
      <w:pPr>
        <w:numPr>
          <w:ilvl w:val="0"/>
          <w:numId w:val="10"/>
        </w:numPr>
        <w:spacing w:after="80" w:line="300" w:lineRule="auto"/>
      </w:pPr>
      <w:r>
        <w:rPr>
          <w:rFonts w:ascii="Calibri" w:hAnsi="Calibri"/>
          <w:color w:val="202428"/>
          <w:sz w:val="22"/>
        </w:rPr>
        <w:t>DocumentExpires: documenten met ExpiresOn tot en met de horizon.</w:t>
      </w:r>
    </w:p>
    <w:p>
      <w:pPr>
        <w:numPr>
          <w:ilvl w:val="0"/>
          <w:numId w:val="10"/>
        </w:numPr>
        <w:spacing w:after="80" w:line="300" w:lineRule="auto"/>
      </w:pPr>
      <w:r>
        <w:rPr>
          <w:rFonts w:ascii="Calibri" w:hAnsi="Calibri"/>
          <w:color w:val="202428"/>
          <w:sz w:val="22"/>
        </w:rPr>
        <w:t>ContractCancellationDeadline en ContractEnds: twee afzonderlijke events voor hetzelfde contract mogelijk.</w:t>
      </w:r>
    </w:p>
    <w:p>
      <w:pPr>
        <w:numPr>
          <w:ilvl w:val="0"/>
          <w:numId w:val="10"/>
        </w:numPr>
        <w:spacing w:after="80" w:line="300" w:lineRule="auto"/>
      </w:pPr>
      <w:r>
        <w:rPr>
          <w:rFonts w:ascii="Calibri" w:hAnsi="Calibri"/>
          <w:color w:val="202428"/>
          <w:sz w:val="22"/>
        </w:rPr>
        <w:t>SubscriptionBilling: alleen actieve subscriptions met een NextBillingDate.</w:t>
      </w:r>
    </w:p>
    <w:p>
      <w:r>
        <w:t>Aandachtspunten bevatten ook achterstallige datums; er is alleen een bovengrens. Daarna sorteert C# op DueOn en Name en neemt maximaal twaalf events. Alle onderliggende queries filteren UserId en Status != Archived. Het responsecontract bevat EventType als stabiele machineleesbare string voor frontendlabels en iconen.</w:t>
      </w:r>
    </w:p>
    <w:p>
      <w:bookmarkStart w:id="24" w:name="responses"/>
      <w:pPr>
        <w:pStyle w:val="Heading1"/>
      </w:pPr>
      <w:r>
        <w:t>Statuscodes, fouten en speciale gevallen</w:t>
      </w:r>
      <w:bookmarkEnd w:id="24"/>
    </w:p>
    <w:p>
      <w:pPr>
        <w:spacing w:before="0" w:after="80"/>
        <w:jc w:val="right"/>
      </w:pPr>
      <w:hyperlink w:anchor="inhoud">
        <w:r>
          <w:rPr>
            <w:color w:val="2E74B5"/>
            <w:u w:val="single"/>
          </w:rPr>
          <w:t>Terug naar inhoud</w:t>
        </w:r>
      </w:hyperlink>
    </w:p>
    <w:tbl>
      <w:tblPr>
        <w:tblStyle w:val="TableGrid"/>
        <w:tblLook w:firstColumn="1" w:firstRow="1" w:lastColumn="0" w:lastRow="0" w:noHBand="0" w:noVBand="1" w:val="04A0"/>
        <w:jc w:val="left"/>
        <w:tblW w:w="9360" w:type="dxa"/>
        <w:tblInd w:w="120" w:type="dxa"/>
        <w:tblLayout w:type="fixed"/>
      </w:tblPr>
      <w:tblGrid>
        <w:gridCol w:w="1100"/>
        <w:gridCol w:w="4300"/>
        <w:gridCol w:w="3960"/>
      </w:tblGrid>
      <w:tr>
        <w:trPr>
          <w:tblHeader w:val="true"/>
        </w:trPr>
        <w:tc>
          <w:tcPr>
            <w:tcW w:type="dxa" w:w="11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Code</w:t>
            </w:r>
          </w:p>
        </w:tc>
        <w:tc>
          <w:tcPr>
            <w:tcW w:type="dxa" w:w="43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Wanneer in MIRA</w:t>
            </w:r>
          </w:p>
        </w:tc>
        <w:tc>
          <w:tcPr>
            <w:tcW w:type="dxa" w:w="396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Betekenis voor frontend</w:t>
            </w:r>
          </w:p>
        </w:tc>
      </w:tr>
      <w:tr>
        <w:tc>
          <w:tcPr>
            <w:tcW w:type="dxa" w:w="1100"/>
            <w:tcMar>
              <w:top w:w="80" w:type="dxa"/>
              <w:bottom w:w="80" w:type="dxa"/>
              <w:start w:w="120" w:type="dxa"/>
              <w:end w:w="120" w:type="dxa"/>
            </w:tcMar>
            <w:vAlign w:val="center"/>
          </w:tcPr>
          <w:p>
            <w:pPr>
              <w:spacing w:before="0" w:after="20" w:line="259" w:lineRule="auto"/>
            </w:pPr>
            <w:r>
              <w:rPr>
                <w:rFonts w:ascii="Calibri" w:hAnsi="Calibri"/>
                <w:color w:val="202428"/>
                <w:sz w:val="17"/>
              </w:rPr>
              <w:t>200 OK</w:t>
            </w:r>
          </w:p>
        </w:tc>
        <w:tc>
          <w:tcPr>
            <w:tcW w:type="dxa" w:w="4300"/>
            <w:tcMar>
              <w:top w:w="80" w:type="dxa"/>
              <w:bottom w:w="80" w:type="dxa"/>
              <w:start w:w="120" w:type="dxa"/>
              <w:end w:w="120" w:type="dxa"/>
            </w:tcMar>
            <w:vAlign w:val="center"/>
          </w:tcPr>
          <w:p>
            <w:pPr>
              <w:spacing w:before="0" w:after="20" w:line="259" w:lineRule="auto"/>
            </w:pPr>
            <w:r>
              <w:rPr>
                <w:rFonts w:ascii="Calibri" w:hAnsi="Calibri"/>
                <w:color w:val="202428"/>
                <w:sz w:val="17"/>
              </w:rPr>
              <w:t>Read, update, idempotente archive/restore/link</w:t>
            </w:r>
          </w:p>
        </w:tc>
        <w:tc>
          <w:tcPr>
            <w:tcW w:type="dxa" w:w="3960"/>
            <w:tcMar>
              <w:top w:w="80" w:type="dxa"/>
              <w:bottom w:w="80" w:type="dxa"/>
              <w:start w:w="120" w:type="dxa"/>
              <w:end w:w="120" w:type="dxa"/>
            </w:tcMar>
            <w:vAlign w:val="center"/>
          </w:tcPr>
          <w:p>
            <w:pPr>
              <w:spacing w:before="0" w:after="20" w:line="259" w:lineRule="auto"/>
            </w:pPr>
            <w:r>
              <w:rPr>
                <w:rFonts w:ascii="Calibri" w:hAnsi="Calibri"/>
                <w:color w:val="202428"/>
                <w:sz w:val="17"/>
              </w:rPr>
              <w:t>Body bevat DTO</w:t>
            </w:r>
          </w:p>
        </w:tc>
      </w:tr>
      <w:tr>
        <w:tc>
          <w:tcPr>
            <w:tcW w:type="dxa" w:w="1100"/>
            <w:tcMar>
              <w:top w:w="80" w:type="dxa"/>
              <w:bottom w:w="80" w:type="dxa"/>
              <w:start w:w="120" w:type="dxa"/>
              <w:end w:w="120" w:type="dxa"/>
            </w:tcMar>
            <w:vAlign w:val="center"/>
          </w:tcPr>
          <w:p>
            <w:pPr>
              <w:spacing w:before="0" w:after="20" w:line="259" w:lineRule="auto"/>
            </w:pPr>
            <w:r>
              <w:rPr>
                <w:rFonts w:ascii="Calibri" w:hAnsi="Calibri"/>
                <w:color w:val="202428"/>
                <w:sz w:val="17"/>
              </w:rPr>
              <w:t>201 Created</w:t>
            </w:r>
          </w:p>
        </w:tc>
        <w:tc>
          <w:tcPr>
            <w:tcW w:type="dxa" w:w="4300"/>
            <w:tcMar>
              <w:top w:w="80" w:type="dxa"/>
              <w:bottom w:w="80" w:type="dxa"/>
              <w:start w:w="120" w:type="dxa"/>
              <w:end w:w="120" w:type="dxa"/>
            </w:tcMar>
            <w:vAlign w:val="center"/>
          </w:tcPr>
          <w:p>
            <w:pPr>
              <w:spacing w:before="0" w:after="20" w:line="259" w:lineRule="auto"/>
            </w:pPr>
            <w:r>
              <w:rPr>
                <w:rFonts w:ascii="Calibri" w:hAnsi="Calibri"/>
                <w:color w:val="202428"/>
                <w:sz w:val="17"/>
              </w:rPr>
              <w:t>Nieuw asset/contract/subscription/warranty/document</w:t>
            </w:r>
          </w:p>
        </w:tc>
        <w:tc>
          <w:tcPr>
            <w:tcW w:type="dxa" w:w="3960"/>
            <w:tcMar>
              <w:top w:w="80" w:type="dxa"/>
              <w:bottom w:w="80" w:type="dxa"/>
              <w:start w:w="120" w:type="dxa"/>
              <w:end w:w="120" w:type="dxa"/>
            </w:tcMar>
            <w:vAlign w:val="center"/>
          </w:tcPr>
          <w:p>
            <w:pPr>
              <w:spacing w:before="0" w:after="20" w:line="259" w:lineRule="auto"/>
            </w:pPr>
            <w:r>
              <w:rPr>
                <w:rFonts w:ascii="Calibri" w:hAnsi="Calibri"/>
                <w:color w:val="202428"/>
                <w:sz w:val="17"/>
              </w:rPr>
              <w:t>Gebruik body; Location wijst naar detail</w:t>
            </w:r>
          </w:p>
        </w:tc>
      </w:tr>
      <w:tr>
        <w:tc>
          <w:tcPr>
            <w:tcW w:type="dxa" w:w="1100"/>
            <w:tcMar>
              <w:top w:w="80" w:type="dxa"/>
              <w:bottom w:w="80" w:type="dxa"/>
              <w:start w:w="120" w:type="dxa"/>
              <w:end w:w="120" w:type="dxa"/>
            </w:tcMar>
            <w:vAlign w:val="center"/>
          </w:tcPr>
          <w:p>
            <w:pPr>
              <w:spacing w:before="0" w:after="20" w:line="259" w:lineRule="auto"/>
            </w:pPr>
            <w:r>
              <w:rPr>
                <w:rFonts w:ascii="Calibri" w:hAnsi="Calibri"/>
                <w:color w:val="202428"/>
                <w:sz w:val="17"/>
              </w:rPr>
              <w:t>204 No Content</w:t>
            </w:r>
          </w:p>
        </w:tc>
        <w:tc>
          <w:tcPr>
            <w:tcW w:type="dxa" w:w="4300"/>
            <w:tcMar>
              <w:top w:w="80" w:type="dxa"/>
              <w:bottom w:w="80" w:type="dxa"/>
              <w:start w:w="120" w:type="dxa"/>
              <w:end w:w="120" w:type="dxa"/>
            </w:tcMar>
            <w:vAlign w:val="center"/>
          </w:tcPr>
          <w:p>
            <w:pPr>
              <w:spacing w:before="0" w:after="20" w:line="259" w:lineRule="auto"/>
            </w:pPr>
            <w:r>
              <w:rPr>
                <w:rFonts w:ascii="Calibri" w:hAnsi="Calibri"/>
                <w:color w:val="202428"/>
                <w:sz w:val="17"/>
              </w:rPr>
              <w:t>Logout, unlink, hard delete</w:t>
            </w:r>
          </w:p>
        </w:tc>
        <w:tc>
          <w:tcPr>
            <w:tcW w:type="dxa" w:w="3960"/>
            <w:tcMar>
              <w:top w:w="80" w:type="dxa"/>
              <w:bottom w:w="80" w:type="dxa"/>
              <w:start w:w="120" w:type="dxa"/>
              <w:end w:w="120" w:type="dxa"/>
            </w:tcMar>
            <w:vAlign w:val="center"/>
          </w:tcPr>
          <w:p>
            <w:pPr>
              <w:spacing w:before="0" w:after="20" w:line="259" w:lineRule="auto"/>
            </w:pPr>
            <w:r>
              <w:rPr>
                <w:rFonts w:ascii="Calibri" w:hAnsi="Calibri"/>
                <w:color w:val="202428"/>
                <w:sz w:val="17"/>
              </w:rPr>
              <w:t>Geen JSON proberen te parsen</w:t>
            </w:r>
          </w:p>
        </w:tc>
      </w:tr>
      <w:tr>
        <w:tc>
          <w:tcPr>
            <w:tcW w:type="dxa" w:w="1100"/>
            <w:tcMar>
              <w:top w:w="80" w:type="dxa"/>
              <w:bottom w:w="80" w:type="dxa"/>
              <w:start w:w="120" w:type="dxa"/>
              <w:end w:w="120" w:type="dxa"/>
            </w:tcMar>
            <w:vAlign w:val="center"/>
          </w:tcPr>
          <w:p>
            <w:pPr>
              <w:spacing w:before="0" w:after="20" w:line="259" w:lineRule="auto"/>
            </w:pPr>
            <w:r>
              <w:rPr>
                <w:rFonts w:ascii="Calibri" w:hAnsi="Calibri"/>
                <w:color w:val="202428"/>
                <w:sz w:val="17"/>
              </w:rPr>
              <w:t>400 Bad Request</w:t>
            </w:r>
          </w:p>
        </w:tc>
        <w:tc>
          <w:tcPr>
            <w:tcW w:type="dxa" w:w="4300"/>
            <w:tcMar>
              <w:top w:w="80" w:type="dxa"/>
              <w:bottom w:w="80" w:type="dxa"/>
              <w:start w:w="120" w:type="dxa"/>
              <w:end w:w="120" w:type="dxa"/>
            </w:tcMar>
            <w:vAlign w:val="center"/>
          </w:tcPr>
          <w:p>
            <w:pPr>
              <w:spacing w:before="0" w:after="20" w:line="259" w:lineRule="auto"/>
            </w:pPr>
            <w:r>
              <w:rPr>
                <w:rFonts w:ascii="Calibri" w:hAnsi="Calibri"/>
                <w:color w:val="202428"/>
                <w:sz w:val="17"/>
              </w:rPr>
              <w:t>Binding, DataAnnotations, antiforgery, ongeldige relatievorm</w:t>
            </w:r>
          </w:p>
        </w:tc>
        <w:tc>
          <w:tcPr>
            <w:tcW w:type="dxa" w:w="3960"/>
            <w:tcMar>
              <w:top w:w="80" w:type="dxa"/>
              <w:bottom w:w="80" w:type="dxa"/>
              <w:start w:w="120" w:type="dxa"/>
              <w:end w:w="120" w:type="dxa"/>
            </w:tcMar>
            <w:vAlign w:val="center"/>
          </w:tcPr>
          <w:p>
            <w:pPr>
              <w:spacing w:before="0" w:after="20" w:line="259" w:lineRule="auto"/>
            </w:pPr>
            <w:r>
              <w:rPr>
                <w:rFonts w:ascii="Calibri" w:hAnsi="Calibri"/>
                <w:color w:val="202428"/>
                <w:sz w:val="17"/>
              </w:rPr>
              <w:t>Toon veldfouten of herhaal tokenflow</w:t>
            </w:r>
          </w:p>
        </w:tc>
      </w:tr>
      <w:tr>
        <w:tc>
          <w:tcPr>
            <w:tcW w:type="dxa" w:w="1100"/>
            <w:tcMar>
              <w:top w:w="80" w:type="dxa"/>
              <w:bottom w:w="80" w:type="dxa"/>
              <w:start w:w="120" w:type="dxa"/>
              <w:end w:w="120" w:type="dxa"/>
            </w:tcMar>
            <w:vAlign w:val="center"/>
          </w:tcPr>
          <w:p>
            <w:pPr>
              <w:spacing w:before="0" w:after="20" w:line="259" w:lineRule="auto"/>
            </w:pPr>
            <w:r>
              <w:rPr>
                <w:rFonts w:ascii="Calibri" w:hAnsi="Calibri"/>
                <w:color w:val="202428"/>
                <w:sz w:val="17"/>
              </w:rPr>
              <w:t>401 Unauthorized</w:t>
            </w:r>
          </w:p>
        </w:tc>
        <w:tc>
          <w:tcPr>
            <w:tcW w:type="dxa" w:w="4300"/>
            <w:tcMar>
              <w:top w:w="80" w:type="dxa"/>
              <w:bottom w:w="80" w:type="dxa"/>
              <w:start w:w="120" w:type="dxa"/>
              <w:end w:w="120" w:type="dxa"/>
            </w:tcMar>
            <w:vAlign w:val="center"/>
          </w:tcPr>
          <w:p>
            <w:pPr>
              <w:spacing w:before="0" w:after="20" w:line="259" w:lineRule="auto"/>
            </w:pPr>
            <w:r>
              <w:rPr>
                <w:rFonts w:ascii="Calibri" w:hAnsi="Calibri"/>
                <w:color w:val="202428"/>
                <w:sz w:val="17"/>
              </w:rPr>
              <w:t>Geen/ongeldige authcookie of foute login</w:t>
            </w:r>
          </w:p>
        </w:tc>
        <w:tc>
          <w:tcPr>
            <w:tcW w:type="dxa" w:w="3960"/>
            <w:tcMar>
              <w:top w:w="80" w:type="dxa"/>
              <w:bottom w:w="80" w:type="dxa"/>
              <w:start w:w="120" w:type="dxa"/>
              <w:end w:w="120" w:type="dxa"/>
            </w:tcMar>
            <w:vAlign w:val="center"/>
          </w:tcPr>
          <w:p>
            <w:pPr>
              <w:spacing w:before="0" w:after="20" w:line="259" w:lineRule="auto"/>
            </w:pPr>
            <w:r>
              <w:rPr>
                <w:rFonts w:ascii="Calibri" w:hAnsi="Calibri"/>
                <w:color w:val="202428"/>
                <w:sz w:val="17"/>
              </w:rPr>
              <w:t>Naar login; sessiestatus wissen</w:t>
            </w:r>
          </w:p>
        </w:tc>
      </w:tr>
      <w:tr>
        <w:tc>
          <w:tcPr>
            <w:tcW w:type="dxa" w:w="1100"/>
            <w:tcMar>
              <w:top w:w="80" w:type="dxa"/>
              <w:bottom w:w="80" w:type="dxa"/>
              <w:start w:w="120" w:type="dxa"/>
              <w:end w:w="120" w:type="dxa"/>
            </w:tcMar>
            <w:vAlign w:val="center"/>
          </w:tcPr>
          <w:p>
            <w:pPr>
              <w:spacing w:before="0" w:after="20" w:line="259" w:lineRule="auto"/>
            </w:pPr>
            <w:r>
              <w:rPr>
                <w:rFonts w:ascii="Calibri" w:hAnsi="Calibri"/>
                <w:color w:val="202428"/>
                <w:sz w:val="17"/>
              </w:rPr>
              <w:t>404 Not Found</w:t>
            </w:r>
          </w:p>
        </w:tc>
        <w:tc>
          <w:tcPr>
            <w:tcW w:type="dxa" w:w="4300"/>
            <w:tcMar>
              <w:top w:w="80" w:type="dxa"/>
              <w:bottom w:w="80" w:type="dxa"/>
              <w:start w:w="120" w:type="dxa"/>
              <w:end w:w="120" w:type="dxa"/>
            </w:tcMar>
            <w:vAlign w:val="center"/>
          </w:tcPr>
          <w:p>
            <w:pPr>
              <w:spacing w:before="0" w:after="20" w:line="259" w:lineRule="auto"/>
            </w:pPr>
            <w:r>
              <w:rPr>
                <w:rFonts w:ascii="Calibri" w:hAnsi="Calibri"/>
                <w:color w:val="202428"/>
                <w:sz w:val="17"/>
              </w:rPr>
              <w:t>Id bestaat niet óf is van andere gebruiker</w:t>
            </w:r>
          </w:p>
        </w:tc>
        <w:tc>
          <w:tcPr>
            <w:tcW w:type="dxa" w:w="3960"/>
            <w:tcMar>
              <w:top w:w="80" w:type="dxa"/>
              <w:bottom w:w="80" w:type="dxa"/>
              <w:start w:w="120" w:type="dxa"/>
              <w:end w:w="120" w:type="dxa"/>
            </w:tcMar>
            <w:vAlign w:val="center"/>
          </w:tcPr>
          <w:p>
            <w:pPr>
              <w:spacing w:before="0" w:after="20" w:line="259" w:lineRule="auto"/>
            </w:pPr>
            <w:r>
              <w:rPr>
                <w:rFonts w:ascii="Calibri" w:hAnsi="Calibri"/>
                <w:color w:val="202428"/>
                <w:sz w:val="17"/>
              </w:rPr>
              <w:t>Geen onderscheid tonen</w:t>
            </w:r>
          </w:p>
        </w:tc>
      </w:tr>
      <w:tr>
        <w:tc>
          <w:tcPr>
            <w:tcW w:type="dxa" w:w="1100"/>
            <w:tcMar>
              <w:top w:w="80" w:type="dxa"/>
              <w:bottom w:w="80" w:type="dxa"/>
              <w:start w:w="120" w:type="dxa"/>
              <w:end w:w="120" w:type="dxa"/>
            </w:tcMar>
            <w:vAlign w:val="center"/>
          </w:tcPr>
          <w:p>
            <w:pPr>
              <w:spacing w:before="0" w:after="20" w:line="259" w:lineRule="auto"/>
            </w:pPr>
            <w:r>
              <w:rPr>
                <w:rFonts w:ascii="Calibri" w:hAnsi="Calibri"/>
                <w:color w:val="202428"/>
                <w:sz w:val="17"/>
              </w:rPr>
              <w:t>409 Conflict</w:t>
            </w:r>
          </w:p>
        </w:tc>
        <w:tc>
          <w:tcPr>
            <w:tcW w:type="dxa" w:w="4300"/>
            <w:tcMar>
              <w:top w:w="80" w:type="dxa"/>
              <w:bottom w:w="80" w:type="dxa"/>
              <w:start w:w="120" w:type="dxa"/>
              <w:end w:w="120" w:type="dxa"/>
            </w:tcMar>
            <w:vAlign w:val="center"/>
          </w:tcPr>
          <w:p>
            <w:pPr>
              <w:spacing w:before="0" w:after="20" w:line="259" w:lineRule="auto"/>
            </w:pPr>
            <w:r>
              <w:rPr>
                <w:rFonts w:ascii="Calibri" w:hAnsi="Calibri"/>
                <w:color w:val="202428"/>
                <w:sz w:val="17"/>
              </w:rPr>
              <w:t>Archived target, tweede PrimaryImage, delete vóór archive</w:t>
            </w:r>
          </w:p>
        </w:tc>
        <w:tc>
          <w:tcPr>
            <w:tcW w:type="dxa" w:w="3960"/>
            <w:tcMar>
              <w:top w:w="80" w:type="dxa"/>
              <w:bottom w:w="80" w:type="dxa"/>
              <w:start w:w="120" w:type="dxa"/>
              <w:end w:w="120" w:type="dxa"/>
            </w:tcMar>
            <w:vAlign w:val="center"/>
          </w:tcPr>
          <w:p>
            <w:pPr>
              <w:spacing w:before="0" w:after="20" w:line="259" w:lineRule="auto"/>
            </w:pPr>
            <w:r>
              <w:rPr>
                <w:rFonts w:ascii="Calibri" w:hAnsi="Calibri"/>
                <w:color w:val="202428"/>
                <w:sz w:val="17"/>
              </w:rPr>
              <w:t>Gebruiker moet toestand eerst oplossen</w:t>
            </w:r>
          </w:p>
        </w:tc>
      </w:tr>
      <w:tr>
        <w:tc>
          <w:tcPr>
            <w:tcW w:type="dxa" w:w="1100"/>
            <w:tcMar>
              <w:top w:w="80" w:type="dxa"/>
              <w:bottom w:w="80" w:type="dxa"/>
              <w:start w:w="120" w:type="dxa"/>
              <w:end w:w="120" w:type="dxa"/>
            </w:tcMar>
            <w:vAlign w:val="center"/>
          </w:tcPr>
          <w:p>
            <w:pPr>
              <w:spacing w:before="0" w:after="20" w:line="259" w:lineRule="auto"/>
            </w:pPr>
            <w:r>
              <w:rPr>
                <w:rFonts w:ascii="Calibri" w:hAnsi="Calibri"/>
                <w:color w:val="202428"/>
                <w:sz w:val="17"/>
              </w:rPr>
              <w:t>500 Problem</w:t>
            </w:r>
          </w:p>
        </w:tc>
        <w:tc>
          <w:tcPr>
            <w:tcW w:type="dxa" w:w="4300"/>
            <w:tcMar>
              <w:top w:w="80" w:type="dxa"/>
              <w:bottom w:w="80" w:type="dxa"/>
              <w:start w:w="120" w:type="dxa"/>
              <w:end w:w="120" w:type="dxa"/>
            </w:tcMar>
            <w:vAlign w:val="center"/>
          </w:tcPr>
          <w:p>
            <w:pPr>
              <w:spacing w:before="0" w:after="20" w:line="259" w:lineRule="auto"/>
            </w:pPr>
            <w:r>
              <w:rPr>
                <w:rFonts w:ascii="Calibri" w:hAnsi="Calibri"/>
                <w:color w:val="202428"/>
                <w:sz w:val="17"/>
              </w:rPr>
              <w:t>Opslag/metadata inconsistentie of onverwachte savefout</w:t>
            </w:r>
          </w:p>
        </w:tc>
        <w:tc>
          <w:tcPr>
            <w:tcW w:type="dxa" w:w="3960"/>
            <w:tcMar>
              <w:top w:w="80" w:type="dxa"/>
              <w:bottom w:w="80" w:type="dxa"/>
              <w:start w:w="120" w:type="dxa"/>
              <w:end w:w="120" w:type="dxa"/>
            </w:tcMar>
            <w:vAlign w:val="center"/>
          </w:tcPr>
          <w:p>
            <w:pPr>
              <w:spacing w:before="0" w:after="20" w:line="259" w:lineRule="auto"/>
            </w:pPr>
            <w:r>
              <w:rPr>
                <w:rFonts w:ascii="Calibri" w:hAnsi="Calibri"/>
                <w:color w:val="202428"/>
                <w:sz w:val="17"/>
              </w:rPr>
              <w:t>Generieke melding + traceId voor support</w:t>
            </w:r>
          </w:p>
        </w:tc>
      </w:tr>
    </w:tbl>
    <w:p>
      <w:pPr>
        <w:spacing w:after="40"/>
      </w:pPr>
    </w:p>
    <w:p>
      <w:pPr>
        <w:pStyle w:val="Heading2"/>
      </w:pPr>
      <w:r>
        <w:t>ControllerBase-result helpers</w:t>
      </w:r>
    </w:p>
    <w:p>
      <w:r>
        <w:t>Ok(value), CreatedAtAction(...), NoContent(), Unauthorized(), NotFound(), BadRequest(), Conflict(), ValidationProblem() en Problem() bouwen IActionResult/ActionResult-objecten. ASP.NET Core formatteert DTO's als JSON. ActionResult&lt;T&gt; documenteert tegelijk het succesvolle bodytype en laat alternatieve statusresultaten toe.</w:t>
      </w:r>
    </w:p>
    <w:p>
      <w:pPr>
        <w:pStyle w:val="Heading2"/>
      </w:pPr>
      <w:r>
        <w:t>Speciale gevallen samengevat</w:t>
      </w:r>
    </w:p>
    <w:p>
      <w:pPr>
        <w:numPr>
          <w:ilvl w:val="0"/>
          <w:numId w:val="10"/>
        </w:numPr>
        <w:spacing w:after="80" w:line="300" w:lineRule="auto"/>
      </w:pPr>
      <w:r>
        <w:rPr>
          <w:rFonts w:ascii="Calibri" w:hAnsi="Calibri"/>
          <w:color w:val="202428"/>
          <w:sz w:val="22"/>
        </w:rPr>
        <w:t>Archive/restore is idempotent; SaveChangesAsync wordt niet aangeroepen als de gewenste toestand al bestaat.</w:t>
      </w:r>
    </w:p>
    <w:p>
      <w:pPr>
        <w:numPr>
          <w:ilvl w:val="0"/>
          <w:numId w:val="10"/>
        </w:numPr>
        <w:spacing w:after="80" w:line="300" w:lineRule="auto"/>
      </w:pPr>
      <w:r>
        <w:rPr>
          <w:rFonts w:ascii="Calibri" w:hAnsi="Calibri"/>
          <w:color w:val="202428"/>
          <w:sz w:val="22"/>
        </w:rPr>
        <w:t>Een Id van een andere gebruiker wordt 404 door het gecombineerde ownershipfilter.</w:t>
      </w:r>
    </w:p>
    <w:p>
      <w:pPr>
        <w:numPr>
          <w:ilvl w:val="0"/>
          <w:numId w:val="10"/>
        </w:numPr>
        <w:spacing w:after="80" w:line="300" w:lineRule="auto"/>
      </w:pPr>
      <w:r>
        <w:rPr>
          <w:rFonts w:ascii="Calibri" w:hAnsi="Calibri"/>
          <w:color w:val="202428"/>
          <w:sz w:val="22"/>
        </w:rPr>
        <w:t>Een archived asset/item kan niet als nieuw relatiedoel worden gebruikt.</w:t>
      </w:r>
    </w:p>
    <w:p>
      <w:pPr>
        <w:numPr>
          <w:ilvl w:val="0"/>
          <w:numId w:val="10"/>
        </w:numPr>
        <w:spacing w:after="80" w:line="300" w:lineRule="auto"/>
      </w:pPr>
      <w:r>
        <w:rPr>
          <w:rFonts w:ascii="Calibri" w:hAnsi="Calibri"/>
          <w:color w:val="202428"/>
          <w:sz w:val="22"/>
        </w:rPr>
        <w:t>Document hard delete vereist eerst archive; unlink verwijdert nooit de documentbytes.</w:t>
      </w:r>
    </w:p>
    <w:p>
      <w:pPr>
        <w:numPr>
          <w:ilvl w:val="0"/>
          <w:numId w:val="10"/>
        </w:numPr>
        <w:spacing w:after="80" w:line="300" w:lineRule="auto"/>
      </w:pPr>
      <w:r>
        <w:rPr>
          <w:rFonts w:ascii="Calibri" w:hAnsi="Calibri"/>
          <w:color w:val="202428"/>
          <w:sz w:val="22"/>
        </w:rPr>
        <w:t>Een requesttoken moet na login/registratie worden vernieuwd omdat de identiteit veranderde.</w:t>
      </w:r>
    </w:p>
    <w:p>
      <w:pPr>
        <w:numPr>
          <w:ilvl w:val="0"/>
          <w:numId w:val="10"/>
        </w:numPr>
        <w:spacing w:after="80" w:line="300" w:lineRule="auto"/>
      </w:pPr>
      <w:r>
        <w:rPr>
          <w:rFonts w:ascii="Calibri" w:hAnsi="Calibri"/>
          <w:color w:val="202428"/>
          <w:sz w:val="22"/>
        </w:rPr>
        <w:t>GET-download mag een archived document nog lezen: archiveren betekent bewaren maar uit lijsten verbergen.</w:t>
      </w:r>
    </w:p>
    <w:p>
      <w:pPr>
        <w:numPr>
          <w:ilvl w:val="0"/>
          <w:numId w:val="10"/>
        </w:numPr>
        <w:spacing w:after="80" w:line="300" w:lineRule="auto"/>
      </w:pPr>
      <w:r>
        <w:rPr>
          <w:rFonts w:ascii="Calibri" w:hAnsi="Calibri"/>
          <w:color w:val="202428"/>
          <w:sz w:val="22"/>
        </w:rPr>
        <w:t>Databaseconstraints blijven nodig ondanks DTO-validatie, omdat niet elk toekomstig writepad HTTP hoeft te zijn.</w:t>
      </w:r>
    </w:p>
    <w:p>
      <w:pPr>
        <w:numPr>
          <w:ilvl w:val="0"/>
          <w:numId w:val="10"/>
        </w:numPr>
        <w:spacing w:after="80" w:line="300" w:lineRule="auto"/>
      </w:pPr>
      <w:r>
        <w:rPr>
          <w:rFonts w:ascii="Calibri" w:hAnsi="Calibri"/>
          <w:color w:val="202428"/>
          <w:sz w:val="22"/>
        </w:rPr>
        <w:t>CancellationToken stopt lang werk bij clientdisconnect, behalve noodzakelijke cleanup na een reeds voltooide databasecommit.</w:t>
      </w:r>
    </w:p>
    <w:p>
      <w:pPr>
        <w:pStyle w:val="Heading2"/>
      </w:pPr>
      <w:r>
        <w:t>Snelle foutdiagnose</w:t>
      </w:r>
    </w:p>
    <w:tbl>
      <w:tblPr>
        <w:tblStyle w:val="TableGrid"/>
        <w:tblLook w:firstColumn="1" w:firstRow="1" w:lastColumn="0" w:lastRow="0" w:noHBand="0" w:noVBand="1" w:val="04A0"/>
        <w:jc w:val="left"/>
        <w:tblW w:w="9360" w:type="dxa"/>
        <w:tblInd w:w="120" w:type="dxa"/>
        <w:tblLayout w:type="fixed"/>
      </w:tblPr>
      <w:tblGrid>
        <w:gridCol w:w="2600"/>
        <w:gridCol w:w="3760"/>
        <w:gridCol w:w="3000"/>
      </w:tblGrid>
      <w:tr>
        <w:trPr>
          <w:tblHeader w:val="true"/>
        </w:trPr>
        <w:tc>
          <w:tcPr>
            <w:tcW w:type="dxa" w:w="260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Symptoom</w:t>
            </w:r>
          </w:p>
        </w:tc>
        <w:tc>
          <w:tcPr>
            <w:tcW w:type="dxa" w:w="376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Waarschijnlijke oorzaak</w:t>
            </w:r>
          </w:p>
        </w:tc>
        <w:tc>
          <w:tcPr>
            <w:tcW w:type="dxa" w:w="300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Controle</w:t>
            </w:r>
          </w:p>
        </w:tc>
      </w:tr>
      <w:tr>
        <w:tc>
          <w:tcPr>
            <w:tcW w:type="dxa" w:w="2600"/>
            <w:tcMar>
              <w:top w:w="80" w:type="dxa"/>
              <w:bottom w:w="80" w:type="dxa"/>
              <w:start w:w="120" w:type="dxa"/>
              <w:end w:w="120" w:type="dxa"/>
            </w:tcMar>
            <w:vAlign w:val="center"/>
          </w:tcPr>
          <w:p>
            <w:pPr>
              <w:spacing w:before="0" w:after="20" w:line="259" w:lineRule="auto"/>
            </w:pPr>
            <w:r>
              <w:rPr>
                <w:rFonts w:ascii="Calibri" w:hAnsi="Calibri"/>
                <w:color w:val="202428"/>
                <w:sz w:val="16"/>
              </w:rPr>
              <w:t>POST geeft direct 400</w:t>
            </w:r>
          </w:p>
        </w:tc>
        <w:tc>
          <w:tcPr>
            <w:tcW w:type="dxa" w:w="3760"/>
            <w:tcMar>
              <w:top w:w="80" w:type="dxa"/>
              <w:bottom w:w="80" w:type="dxa"/>
              <w:start w:w="120" w:type="dxa"/>
              <w:end w:w="120" w:type="dxa"/>
            </w:tcMar>
            <w:vAlign w:val="center"/>
          </w:tcPr>
          <w:p>
            <w:pPr>
              <w:spacing w:before="0" w:after="20" w:line="259" w:lineRule="auto"/>
            </w:pPr>
            <w:r>
              <w:rPr>
                <w:rFonts w:ascii="Calibri" w:hAnsi="Calibri"/>
                <w:color w:val="202428"/>
                <w:sz w:val="16"/>
              </w:rPr>
              <w:t>XSRF-header ontbreekt of token hoort bij vorige identiteit</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Haal token opnieuw op en stuur cookies mee</w:t>
            </w:r>
          </w:p>
        </w:tc>
      </w:tr>
      <w:tr>
        <w:tc>
          <w:tcPr>
            <w:tcW w:type="dxa" w:w="2600"/>
            <w:tcMar>
              <w:top w:w="80" w:type="dxa"/>
              <w:bottom w:w="80" w:type="dxa"/>
              <w:start w:w="120" w:type="dxa"/>
              <w:end w:w="120" w:type="dxa"/>
            </w:tcMar>
            <w:vAlign w:val="center"/>
          </w:tcPr>
          <w:p>
            <w:pPr>
              <w:spacing w:before="0" w:after="20" w:line="259" w:lineRule="auto"/>
            </w:pPr>
            <w:r>
              <w:rPr>
                <w:rFonts w:ascii="Calibri" w:hAnsi="Calibri"/>
                <w:color w:val="202428"/>
                <w:sz w:val="16"/>
              </w:rPr>
              <w:t>Iedere beveiligde GET geeft 401</w:t>
            </w:r>
          </w:p>
        </w:tc>
        <w:tc>
          <w:tcPr>
            <w:tcW w:type="dxa" w:w="3760"/>
            <w:tcMar>
              <w:top w:w="80" w:type="dxa"/>
              <w:bottom w:w="80" w:type="dxa"/>
              <w:start w:w="120" w:type="dxa"/>
              <w:end w:w="120" w:type="dxa"/>
            </w:tcMar>
            <w:vAlign w:val="center"/>
          </w:tcPr>
          <w:p>
            <w:pPr>
              <w:spacing w:before="0" w:after="20" w:line="259" w:lineRule="auto"/>
            </w:pPr>
            <w:r>
              <w:rPr>
                <w:rFonts w:ascii="Calibri" w:hAnsi="Calibri"/>
                <w:color w:val="202428"/>
                <w:sz w:val="16"/>
              </w:rPr>
              <w:t>Mira.Auth ontbreekt, is verlopen of wordt door originbeleid geblokkeerd</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Controleer Set-Cookie, HTTPS en credentials</w:t>
            </w:r>
          </w:p>
        </w:tc>
      </w:tr>
      <w:tr>
        <w:tc>
          <w:tcPr>
            <w:tcW w:type="dxa" w:w="2600"/>
            <w:tcMar>
              <w:top w:w="80" w:type="dxa"/>
              <w:bottom w:w="80" w:type="dxa"/>
              <w:start w:w="120" w:type="dxa"/>
              <w:end w:w="120" w:type="dxa"/>
            </w:tcMar>
            <w:vAlign w:val="center"/>
          </w:tcPr>
          <w:p>
            <w:pPr>
              <w:spacing w:before="0" w:after="20" w:line="259" w:lineRule="auto"/>
            </w:pPr>
            <w:r>
              <w:rPr>
                <w:rFonts w:ascii="Calibri" w:hAnsi="Calibri"/>
                <w:color w:val="202428"/>
                <w:sz w:val="16"/>
              </w:rPr>
              <w:t>Alleen één object geeft 404</w:t>
            </w:r>
          </w:p>
        </w:tc>
        <w:tc>
          <w:tcPr>
            <w:tcW w:type="dxa" w:w="3760"/>
            <w:tcMar>
              <w:top w:w="80" w:type="dxa"/>
              <w:bottom w:w="80" w:type="dxa"/>
              <w:start w:w="120" w:type="dxa"/>
              <w:end w:w="120" w:type="dxa"/>
            </w:tcMar>
            <w:vAlign w:val="center"/>
          </w:tcPr>
          <w:p>
            <w:pPr>
              <w:spacing w:before="0" w:after="20" w:line="259" w:lineRule="auto"/>
            </w:pPr>
            <w:r>
              <w:rPr>
                <w:rFonts w:ascii="Calibri" w:hAnsi="Calibri"/>
                <w:color w:val="202428"/>
                <w:sz w:val="16"/>
              </w:rPr>
              <w:t>Verkeerde Id of het object is van een andere gebruiker</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Controleer de gecombineerde UserId + Id-query</w:t>
            </w:r>
          </w:p>
        </w:tc>
      </w:tr>
      <w:tr>
        <w:tc>
          <w:tcPr>
            <w:tcW w:type="dxa" w:w="2600"/>
            <w:tcMar>
              <w:top w:w="80" w:type="dxa"/>
              <w:bottom w:w="80" w:type="dxa"/>
              <w:start w:w="120" w:type="dxa"/>
              <w:end w:w="120" w:type="dxa"/>
            </w:tcMar>
            <w:vAlign w:val="center"/>
          </w:tcPr>
          <w:p>
            <w:pPr>
              <w:spacing w:before="0" w:after="20" w:line="259" w:lineRule="auto"/>
            </w:pPr>
            <w:r>
              <w:rPr>
                <w:rFonts w:ascii="Calibri" w:hAnsi="Calibri"/>
                <w:color w:val="202428"/>
                <w:sz w:val="16"/>
              </w:rPr>
              <w:t>Link of create geeft 409</w:t>
            </w:r>
          </w:p>
        </w:tc>
        <w:tc>
          <w:tcPr>
            <w:tcW w:type="dxa" w:w="3760"/>
            <w:tcMar>
              <w:top w:w="80" w:type="dxa"/>
              <w:bottom w:w="80" w:type="dxa"/>
              <w:start w:w="120" w:type="dxa"/>
              <w:end w:w="120" w:type="dxa"/>
            </w:tcMar>
            <w:vAlign w:val="center"/>
          </w:tcPr>
          <w:p>
            <w:pPr>
              <w:spacing w:before="0" w:after="20" w:line="259" w:lineRule="auto"/>
            </w:pPr>
            <w:r>
              <w:rPr>
                <w:rFonts w:ascii="Calibri" w:hAnsi="Calibri"/>
                <w:color w:val="202428"/>
                <w:sz w:val="16"/>
              </w:rPr>
              <w:t>Doel is archived of PrimaryImage bestaat al</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Herstel het doel of wijzig de bestaande rol</w:t>
            </w:r>
          </w:p>
        </w:tc>
      </w:tr>
      <w:tr>
        <w:tc>
          <w:tcPr>
            <w:tcW w:type="dxa" w:w="2600"/>
            <w:tcMar>
              <w:top w:w="80" w:type="dxa"/>
              <w:bottom w:w="80" w:type="dxa"/>
              <w:start w:w="120" w:type="dxa"/>
              <w:end w:w="120" w:type="dxa"/>
            </w:tcMar>
            <w:vAlign w:val="center"/>
          </w:tcPr>
          <w:p>
            <w:pPr>
              <w:spacing w:before="0" w:after="20" w:line="259" w:lineRule="auto"/>
            </w:pPr>
            <w:r>
              <w:rPr>
                <w:rFonts w:ascii="Calibri" w:hAnsi="Calibri"/>
                <w:color w:val="202428"/>
                <w:sz w:val="16"/>
              </w:rPr>
              <w:t>Download geeft 500</w:t>
            </w:r>
          </w:p>
        </w:tc>
        <w:tc>
          <w:tcPr>
            <w:tcW w:type="dxa" w:w="3760"/>
            <w:tcMar>
              <w:top w:w="80" w:type="dxa"/>
              <w:bottom w:w="80" w:type="dxa"/>
              <w:start w:w="120" w:type="dxa"/>
              <w:end w:w="120" w:type="dxa"/>
            </w:tcMar>
            <w:vAlign w:val="center"/>
          </w:tcPr>
          <w:p>
            <w:pPr>
              <w:spacing w:before="0" w:after="20" w:line="259" w:lineRule="auto"/>
            </w:pPr>
            <w:r>
              <w:rPr>
                <w:rFonts w:ascii="Calibri" w:hAnsi="Calibri"/>
                <w:color w:val="202428"/>
                <w:sz w:val="16"/>
              </w:rPr>
              <w:t>Metadata bestaat maar private bytes ontbreken</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Zoek traceId in logs en voer opslagreconciliatie uit</w:t>
            </w:r>
          </w:p>
        </w:tc>
      </w:tr>
    </w:tbl>
    <w:p>
      <w:pPr>
        <w:spacing w:after="40"/>
      </w:pPr>
    </w:p>
    <w:p>
      <w:bookmarkStart w:id="25" w:name="tests"/>
      <w:pPr>
        <w:pStyle w:val="Heading1"/>
      </w:pPr>
      <w:r>
        <w:t>Integratietests en uitvoerbare requestflows</w:t>
      </w:r>
      <w:bookmarkEnd w:id="25"/>
    </w:p>
    <w:p>
      <w:pPr>
        <w:spacing w:before="0" w:after="80"/>
        <w:jc w:val="right"/>
      </w:pPr>
      <w:hyperlink w:anchor="inhoud">
        <w:r>
          <w:rPr>
            <w:color w:val="2E74B5"/>
            <w:u w:val="single"/>
          </w:rPr>
          <w:t>Terug naar inhoud</w:t>
        </w:r>
      </w:hyperlink>
    </w:p>
    <w:p>
      <w:r>
        <w:t>Mira.API.Tests gebruikt WebApplicationFactory&lt;Program&gt;. Daardoor start in geheugen dezelfde minimal-host Program.cs, inclusief middleware, Identity, antiforgeryfilters, AutoMapper en controllers. Alleen SQL Server wordt voor tests vervangen door een unieke EF InMemory-database en de private root wordt een unieke tijdelijke map. Iedere HttpClient beheert een eigen cookiecontainer.</w:t>
      </w:r>
    </w:p>
    <w:p>
      <w:pPr>
        <w:pStyle w:val="Heading2"/>
      </w:pPr>
      <w:r>
        <w:t>De vier tests</w:t>
      </w:r>
    </w:p>
    <w:tbl>
      <w:tblPr>
        <w:tblStyle w:val="TableGrid"/>
        <w:tblLook w:firstColumn="1" w:firstRow="1" w:lastColumn="0" w:lastRow="0" w:noHBand="0" w:noVBand="1" w:val="04A0"/>
        <w:jc w:val="left"/>
        <w:tblW w:w="9360" w:type="dxa"/>
        <w:tblInd w:w="120" w:type="dxa"/>
        <w:tblLayout w:type="fixed"/>
      </w:tblPr>
      <w:tblGrid>
        <w:gridCol w:w="3900"/>
        <w:gridCol w:w="5460"/>
      </w:tblGrid>
      <w:tr>
        <w:trPr>
          <w:tblHeader w:val="true"/>
        </w:trPr>
        <w:tc>
          <w:tcPr>
            <w:tcW w:type="dxa" w:w="390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Test</w:t>
            </w:r>
          </w:p>
        </w:tc>
        <w:tc>
          <w:tcPr>
            <w:tcW w:type="dxa" w:w="5460"/>
            <w:tcMar>
              <w:top w:w="80" w:type="dxa"/>
              <w:bottom w:w="80" w:type="dxa"/>
              <w:start w:w="120" w:type="dxa"/>
              <w:end w:w="120" w:type="dxa"/>
            </w:tcMar>
            <w:vAlign w:val="center"/>
            <w:shd w:fill="E8EEF5"/>
          </w:tcPr>
          <w:p>
            <w:pPr>
              <w:spacing w:before="0" w:after="0" w:line="252" w:lineRule="auto"/>
            </w:pPr>
            <w:r>
              <w:rPr>
                <w:rFonts w:ascii="Calibri" w:hAnsi="Calibri"/>
                <w:b/>
                <w:color w:val="183B56"/>
                <w:sz w:val="17"/>
              </w:rPr>
              <w:t>Wat hij bewijst</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7"/>
              </w:rPr>
              <w:t>UnsafeEndpointWithoutAntiforgeryToken...</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7"/>
              </w:rPr>
              <w:t>POST register zonder X-XSRF-TOKEN wordt 400</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7"/>
              </w:rPr>
              <w:t>UsersCannotReadEachOthersAssets</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7"/>
              </w:rPr>
              <w:t>Twee echte sessies; eigenaar krijgt 200, andere gebruiker 404</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7"/>
              </w:rPr>
              <w:t>AuthenticatedUserCanUpload...</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7"/>
              </w:rPr>
              <w:t>Register, tokenrefresh, asset, multipart upload+link, private download en dashboardcounts</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7"/>
              </w:rPr>
              <w:t>WarrantyWithEndDateBeforeStartDate...</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7"/>
              </w:rPr>
              <w:t>IValidatableObject levert 400 application/problem+json vóór persistence</w:t>
            </w:r>
          </w:p>
        </w:tc>
      </w:tr>
    </w:tbl>
    <w:p>
      <w:pPr>
        <w:spacing w:after="40"/>
      </w:pPr>
    </w:p>
    <w:p>
      <w:pPr>
        <w:pStyle w:val="Heading2"/>
      </w:pPr>
      <w:r>
        <w:t>Waarom de tokenhelper tweemaal ophaalt</w:t>
      </w:r>
    </w:p>
    <w:p>
      <w:pPr>
        <w:pStyle w:val="CodeBlock"/>
        <w:shd w:fill="F6F8FA"/>
        <w:pBdr>
          <w:left w:val="single" w:sz="8" w:space="8" w:color="AAB7C4"/>
        </w:pBdr>
      </w:pPr>
      <w:r>
        <w:rPr>
          <w:rFonts w:ascii="Consolas" w:hAnsi="Consolas"/>
          <w:color w:val="15202B"/>
          <w:sz w:val="16"/>
        </w:rPr>
        <w:t>var anonymousToken = await GetAntiforgeryTokenAsync(client);</w:t>
        <w:br/>
      </w:r>
      <w:r>
        <w:rPr>
          <w:rFonts w:ascii="Consolas" w:hAnsi="Consolas"/>
          <w:color w:val="15202B"/>
          <w:sz w:val="16"/>
        </w:rPr>
        <w:t>await client.SendAsync(registerWithToken);</w:t>
        <w:br/>
      </w:r>
      <w:r>
        <w:rPr>
          <w:rFonts w:ascii="Consolas" w:hAnsi="Consolas"/>
          <w:color w:val="15202B"/>
          <w:sz w:val="16"/>
        </w:rPr>
        <w:t>return await GetAntiforgeryTokenAsync(client); // nieuwe identity</w:t>
      </w:r>
    </w:p>
    <w:p>
      <w:r>
        <w:t>Deze testcode is tegelijk documentatie van de frontendflow. De eerste token beschermt register/login als anonieme request. Na de Set-Cookie van Identity wordt een nieuw requesttoken opgehaald voor de authenticated ClaimsPrincipal. De geslaagde uploadtest bewijst dat cookies en header daarna samen door TestServer worden gevalideerd.</w:t>
      </w:r>
    </w:p>
    <w:p>
      <w:pPr>
        <w:pStyle w:val="Heading2"/>
      </w:pPr>
      <w:r>
        <w:t>Commando's</w:t>
      </w:r>
    </w:p>
    <w:p>
      <w:pPr>
        <w:pStyle w:val="CodeBlock"/>
        <w:shd w:fill="F6F8FA"/>
        <w:pBdr>
          <w:left w:val="single" w:sz="8" w:space="8" w:color="AAB7C4"/>
        </w:pBdr>
      </w:pPr>
      <w:r>
        <w:rPr>
          <w:rFonts w:ascii="Consolas" w:hAnsi="Consolas"/>
          <w:color w:val="15202B"/>
          <w:sz w:val="16"/>
        </w:rPr>
        <w:t>dotnet build .\Mira.slnx --configuration Release</w:t>
        <w:br/>
      </w:r>
      <w:r>
        <w:rPr>
          <w:rFonts w:ascii="Consolas" w:hAnsi="Consolas"/>
          <w:color w:val="15202B"/>
          <w:sz w:val="16"/>
        </w:rPr>
        <w:t>dotnet test .\Mira.slnx --configuration Release</w:t>
        <w:br/>
      </w:r>
      <w:r>
        <w:rPr>
          <w:rFonts w:ascii="Consolas" w:hAnsi="Consolas"/>
          <w:color w:val="15202B"/>
          <w:sz w:val="16"/>
        </w:rPr>
        <w:t>dotnet ef migrations has-pending-model-changes `</w:t>
        <w:br/>
      </w:r>
      <w:r>
        <w:rPr>
          <w:rFonts w:ascii="Consolas" w:hAnsi="Consolas"/>
          <w:color w:val="15202B"/>
          <w:sz w:val="16"/>
        </w:rPr>
        <w:t xml:space="preserve">  --project .\src\backend\Mira.Infrastructure `</w:t>
        <w:br/>
      </w:r>
      <w:r>
        <w:rPr>
          <w:rFonts w:ascii="Consolas" w:hAnsi="Consolas"/>
          <w:color w:val="15202B"/>
          <w:sz w:val="16"/>
        </w:rPr>
        <w:t xml:space="preserve">  --startup-project .\src\backend\Mira.API `</w:t>
        <w:br/>
      </w:r>
      <w:r>
        <w:rPr>
          <w:rFonts w:ascii="Consolas" w:hAnsi="Consolas"/>
          <w:color w:val="15202B"/>
          <w:sz w:val="16"/>
        </w:rPr>
        <w:t xml:space="preserve">  -- --environment Development</w:t>
      </w:r>
    </w:p>
    <w:p>
      <w:pPr>
        <w:pStyle w:val="Callout"/>
        <w:shd w:fill="E6F4F1"/>
        <w:pBdr>
          <w:left w:val="single" w:sz="18" w:space="8" w:color="0B7A75"/>
        </w:pBdr>
      </w:pPr>
      <w:r>
        <w:rPr>
          <w:rFonts w:ascii="Calibri" w:hAnsi="Calibri"/>
          <w:b/>
          <w:color w:val="0B7A75"/>
          <w:sz w:val="21"/>
        </w:rPr>
        <w:t xml:space="preserve">Huidige verificatie: </w:t>
      </w:r>
      <w:r>
        <w:rPr>
          <w:rFonts w:ascii="Calibri" w:hAnsi="Calibri"/>
          <w:color w:val="202428"/>
          <w:sz w:val="21"/>
        </w:rPr>
        <w:t>De Release-build eindigde met 0 warnings en 0 errors. Alle 4 integratietests slagen. Na een verse build meldt EF Core geen pending model changes.</w:t>
      </w:r>
    </w:p>
    <w:p>
      <w:bookmarkStart w:id="26" w:name="limitations"/>
      <w:pPr>
        <w:pStyle w:val="Heading1"/>
      </w:pPr>
      <w:r>
        <w:t>Bewuste grenzen en volgende productiestappen</w:t>
      </w:r>
      <w:bookmarkEnd w:id="26"/>
    </w:p>
    <w:p>
      <w:pPr>
        <w:spacing w:before="0" w:after="80"/>
        <w:jc w:val="right"/>
      </w:pPr>
      <w:hyperlink w:anchor="inhoud">
        <w:r>
          <w:rPr>
            <w:color w:val="2E74B5"/>
            <w:u w:val="single"/>
          </w:rPr>
          <w:t>Terug naar inhoud</w:t>
        </w:r>
      </w:hyperlink>
    </w:p>
    <w:p>
      <w:r>
        <w:t>De backend is bruikbaar voor de huidige scope, maar ‘productieklaar’ vraagt operationele voorzieningen naast controllers. Onderstaande grenzen zijn bewust zichtbaar gehouden in plaats van verstopt achter schijnzekerheid.</w:t>
      </w:r>
    </w:p>
    <w:tbl>
      <w:tblPr>
        <w:tblStyle w:val="TableGrid"/>
        <w:tblLook w:firstColumn="1" w:firstRow="1" w:lastColumn="0" w:lastRow="0" w:noHBand="0" w:noVBand="1" w:val="04A0"/>
        <w:jc w:val="left"/>
        <w:tblW w:w="9360" w:type="dxa"/>
        <w:tblInd w:w="120" w:type="dxa"/>
        <w:tblLayout w:type="fixed"/>
      </w:tblPr>
      <w:tblGrid>
        <w:gridCol w:w="2300"/>
        <w:gridCol w:w="3000"/>
        <w:gridCol w:w="4060"/>
      </w:tblGrid>
      <w:tr>
        <w:trPr>
          <w:tblHeader w:val="true"/>
        </w:trPr>
        <w:tc>
          <w:tcPr>
            <w:tcW w:type="dxa" w:w="230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Onderwerp</w:t>
            </w:r>
          </w:p>
        </w:tc>
        <w:tc>
          <w:tcPr>
            <w:tcW w:type="dxa" w:w="300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Huidige toestand</w:t>
            </w:r>
          </w:p>
        </w:tc>
        <w:tc>
          <w:tcPr>
            <w:tcW w:type="dxa" w:w="406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Logische volgende stap</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6"/>
              </w:rPr>
              <w:t>E-mailbevestiging</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RequireConfirmedEmail=false</w:t>
            </w:r>
          </w:p>
        </w:tc>
        <w:tc>
          <w:tcPr>
            <w:tcW w:type="dxa" w:w="4060"/>
            <w:tcMar>
              <w:top w:w="80" w:type="dxa"/>
              <w:bottom w:w="80" w:type="dxa"/>
              <w:start w:w="120" w:type="dxa"/>
              <w:end w:w="120" w:type="dxa"/>
            </w:tcMar>
            <w:vAlign w:val="center"/>
          </w:tcPr>
          <w:p>
            <w:pPr>
              <w:spacing w:before="0" w:after="20" w:line="259" w:lineRule="auto"/>
            </w:pPr>
            <w:r>
              <w:rPr>
                <w:rFonts w:ascii="Calibri" w:hAnsi="Calibri"/>
                <w:color w:val="202428"/>
                <w:sz w:val="16"/>
              </w:rPr>
              <w:t>Mailprovider + confirmendpoint + true</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6"/>
              </w:rPr>
              <w:t>Wachtwoordreset</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Tokenproviders geregistreerd, geen endpoint</w:t>
            </w:r>
          </w:p>
        </w:tc>
        <w:tc>
          <w:tcPr>
            <w:tcW w:type="dxa" w:w="4060"/>
            <w:tcMar>
              <w:top w:w="80" w:type="dxa"/>
              <w:bottom w:w="80" w:type="dxa"/>
              <w:start w:w="120" w:type="dxa"/>
              <w:end w:w="120" w:type="dxa"/>
            </w:tcMar>
            <w:vAlign w:val="center"/>
          </w:tcPr>
          <w:p>
            <w:pPr>
              <w:spacing w:before="0" w:after="20" w:line="259" w:lineRule="auto"/>
            </w:pPr>
            <w:r>
              <w:rPr>
                <w:rFonts w:ascii="Calibri" w:hAnsi="Calibri"/>
                <w:color w:val="202428"/>
                <w:sz w:val="16"/>
              </w:rPr>
              <w:t>Request/resetflow zonder accountenumeratie</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6"/>
              </w:rPr>
              <w:t>2FA</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Identityvelden bestaan, geen UX/API</w:t>
            </w:r>
          </w:p>
        </w:tc>
        <w:tc>
          <w:tcPr>
            <w:tcW w:type="dxa" w:w="4060"/>
            <w:tcMar>
              <w:top w:w="80" w:type="dxa"/>
              <w:bottom w:w="80" w:type="dxa"/>
              <w:start w:w="120" w:type="dxa"/>
              <w:end w:w="120" w:type="dxa"/>
            </w:tcMar>
            <w:vAlign w:val="center"/>
          </w:tcPr>
          <w:p>
            <w:pPr>
              <w:spacing w:before="0" w:after="20" w:line="259" w:lineRule="auto"/>
            </w:pPr>
            <w:r>
              <w:rPr>
                <w:rFonts w:ascii="Calibri" w:hAnsi="Calibri"/>
                <w:color w:val="202428"/>
                <w:sz w:val="16"/>
              </w:rPr>
              <w:t>Authenticator of passkeyflow</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6"/>
              </w:rPr>
              <w:t>Rate limiting</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Lockout beschermt password attempts</w:t>
            </w:r>
          </w:p>
        </w:tc>
        <w:tc>
          <w:tcPr>
            <w:tcW w:type="dxa" w:w="4060"/>
            <w:tcMar>
              <w:top w:w="80" w:type="dxa"/>
              <w:bottom w:w="80" w:type="dxa"/>
              <w:start w:w="120" w:type="dxa"/>
              <w:end w:w="120" w:type="dxa"/>
            </w:tcMar>
            <w:vAlign w:val="center"/>
          </w:tcPr>
          <w:p>
            <w:pPr>
              <w:spacing w:before="0" w:after="20" w:line="259" w:lineRule="auto"/>
            </w:pPr>
            <w:r>
              <w:rPr>
                <w:rFonts w:ascii="Calibri" w:hAnsi="Calibri"/>
                <w:color w:val="202428"/>
                <w:sz w:val="16"/>
              </w:rPr>
              <w:t>Globale/per-user rate limiter voor auth en uploads</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6"/>
              </w:rPr>
              <w:t>Malwarescan</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Format/signaturecontrole</w:t>
            </w:r>
          </w:p>
        </w:tc>
        <w:tc>
          <w:tcPr>
            <w:tcW w:type="dxa" w:w="4060"/>
            <w:tcMar>
              <w:top w:w="80" w:type="dxa"/>
              <w:bottom w:w="80" w:type="dxa"/>
              <w:start w:w="120" w:type="dxa"/>
              <w:end w:w="120" w:type="dxa"/>
            </w:tcMar>
            <w:vAlign w:val="center"/>
          </w:tcPr>
          <w:p>
            <w:pPr>
              <w:spacing w:before="0" w:after="20" w:line="259" w:lineRule="auto"/>
            </w:pPr>
            <w:r>
              <w:rPr>
                <w:rFonts w:ascii="Calibri" w:hAnsi="Calibri"/>
                <w:color w:val="202428"/>
                <w:sz w:val="16"/>
              </w:rPr>
              <w:t>Quarantine + scanner + vrijgavestatus</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6"/>
              </w:rPr>
              <w:t>Bestandsopslag</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Lokale private map</w:t>
            </w:r>
          </w:p>
        </w:tc>
        <w:tc>
          <w:tcPr>
            <w:tcW w:type="dxa" w:w="4060"/>
            <w:tcMar>
              <w:top w:w="80" w:type="dxa"/>
              <w:bottom w:w="80" w:type="dxa"/>
              <w:start w:w="120" w:type="dxa"/>
              <w:end w:w="120" w:type="dxa"/>
            </w:tcMar>
            <w:vAlign w:val="center"/>
          </w:tcPr>
          <w:p>
            <w:pPr>
              <w:spacing w:before="0" w:after="20" w:line="259" w:lineRule="auto"/>
            </w:pPr>
            <w:r>
              <w:rPr>
                <w:rFonts w:ascii="Calibri" w:hAnsi="Calibri"/>
                <w:color w:val="202428"/>
                <w:sz w:val="16"/>
              </w:rPr>
              <w:t>S3/Azure Blob met private keys en lifecycle</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6"/>
              </w:rPr>
              <w:t>Orphan cleanup</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Critical logging</w:t>
            </w:r>
          </w:p>
        </w:tc>
        <w:tc>
          <w:tcPr>
            <w:tcW w:type="dxa" w:w="4060"/>
            <w:tcMar>
              <w:top w:w="80" w:type="dxa"/>
              <w:bottom w:w="80" w:type="dxa"/>
              <w:start w:w="120" w:type="dxa"/>
              <w:end w:w="120" w:type="dxa"/>
            </w:tcMar>
            <w:vAlign w:val="center"/>
          </w:tcPr>
          <w:p>
            <w:pPr>
              <w:spacing w:before="0" w:after="20" w:line="259" w:lineRule="auto"/>
            </w:pPr>
            <w:r>
              <w:rPr>
                <w:rFonts w:ascii="Calibri" w:hAnsi="Calibri"/>
                <w:color w:val="202428"/>
                <w:sz w:val="16"/>
              </w:rPr>
              <w:t>Periodieke DB/storage-reconciliatie</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6"/>
              </w:rPr>
              <w:t>Observability</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ILogger + traceId</w:t>
            </w:r>
          </w:p>
        </w:tc>
        <w:tc>
          <w:tcPr>
            <w:tcW w:type="dxa" w:w="4060"/>
            <w:tcMar>
              <w:top w:w="80" w:type="dxa"/>
              <w:bottom w:w="80" w:type="dxa"/>
              <w:start w:w="120" w:type="dxa"/>
              <w:end w:w="120" w:type="dxa"/>
            </w:tcMar>
            <w:vAlign w:val="center"/>
          </w:tcPr>
          <w:p>
            <w:pPr>
              <w:spacing w:before="0" w:after="20" w:line="259" w:lineRule="auto"/>
            </w:pPr>
            <w:r>
              <w:rPr>
                <w:rFonts w:ascii="Calibri" w:hAnsi="Calibri"/>
                <w:color w:val="202428"/>
                <w:sz w:val="16"/>
              </w:rPr>
              <w:t>Structured logs, metrics, alerts, audit trail</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6"/>
              </w:rPr>
              <w:t>Migrations</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Handmatig gegenereerd/toegepast</w:t>
            </w:r>
          </w:p>
        </w:tc>
        <w:tc>
          <w:tcPr>
            <w:tcW w:type="dxa" w:w="4060"/>
            <w:tcMar>
              <w:top w:w="80" w:type="dxa"/>
              <w:bottom w:w="80" w:type="dxa"/>
              <w:start w:w="120" w:type="dxa"/>
              <w:end w:w="120" w:type="dxa"/>
            </w:tcMar>
            <w:vAlign w:val="center"/>
          </w:tcPr>
          <w:p>
            <w:pPr>
              <w:spacing w:before="0" w:after="20" w:line="259" w:lineRule="auto"/>
            </w:pPr>
            <w:r>
              <w:rPr>
                <w:rFonts w:ascii="Calibri" w:hAnsi="Calibri"/>
                <w:color w:val="202428"/>
                <w:sz w:val="16"/>
              </w:rPr>
              <w:t>Deploymentstap met backup en precheck</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6"/>
              </w:rPr>
              <w:t>Reminder</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Nog geen entity/controller</w:t>
            </w:r>
          </w:p>
        </w:tc>
        <w:tc>
          <w:tcPr>
            <w:tcW w:type="dxa" w:w="4060"/>
            <w:tcMar>
              <w:top w:w="80" w:type="dxa"/>
              <w:bottom w:w="80" w:type="dxa"/>
              <w:start w:w="120" w:type="dxa"/>
              <w:end w:w="120" w:type="dxa"/>
            </w:tcMar>
            <w:vAlign w:val="center"/>
          </w:tcPr>
          <w:p>
            <w:pPr>
              <w:spacing w:before="0" w:after="20" w:line="259" w:lineRule="auto"/>
            </w:pPr>
            <w:r>
              <w:rPr>
                <w:rFonts w:ascii="Calibri" w:hAnsi="Calibri"/>
                <w:color w:val="202428"/>
                <w:sz w:val="16"/>
              </w:rPr>
              <w:t>Toevoegen na stabiele verticale flow</w:t>
            </w:r>
          </w:p>
        </w:tc>
      </w:tr>
      <w:tr>
        <w:tc>
          <w:tcPr>
            <w:tcW w:type="dxa" w:w="2300"/>
            <w:tcMar>
              <w:top w:w="80" w:type="dxa"/>
              <w:bottom w:w="80" w:type="dxa"/>
              <w:start w:w="120" w:type="dxa"/>
              <w:end w:w="120" w:type="dxa"/>
            </w:tcMar>
            <w:vAlign w:val="center"/>
          </w:tcPr>
          <w:p>
            <w:pPr>
              <w:spacing w:before="0" w:after="20" w:line="259" w:lineRule="auto"/>
            </w:pPr>
            <w:r>
              <w:rPr>
                <w:rFonts w:ascii="Calibri" w:hAnsi="Calibri"/>
                <w:color w:val="202428"/>
                <w:sz w:val="16"/>
              </w:rPr>
              <w:t>Concurrency</w:t>
            </w:r>
          </w:p>
        </w:tc>
        <w:tc>
          <w:tcPr>
            <w:tcW w:type="dxa" w:w="3000"/>
            <w:tcMar>
              <w:top w:w="80" w:type="dxa"/>
              <w:bottom w:w="80" w:type="dxa"/>
              <w:start w:w="120" w:type="dxa"/>
              <w:end w:w="120" w:type="dxa"/>
            </w:tcMar>
            <w:vAlign w:val="center"/>
          </w:tcPr>
          <w:p>
            <w:pPr>
              <w:spacing w:before="0" w:after="20" w:line="259" w:lineRule="auto"/>
            </w:pPr>
            <w:r>
              <w:rPr>
                <w:rFonts w:ascii="Calibri" w:hAnsi="Calibri"/>
                <w:color w:val="202428"/>
                <w:sz w:val="16"/>
              </w:rPr>
              <w:t>Geen rowversion</w:t>
            </w:r>
          </w:p>
        </w:tc>
        <w:tc>
          <w:tcPr>
            <w:tcW w:type="dxa" w:w="4060"/>
            <w:tcMar>
              <w:top w:w="80" w:type="dxa"/>
              <w:bottom w:w="80" w:type="dxa"/>
              <w:start w:w="120" w:type="dxa"/>
              <w:end w:w="120" w:type="dxa"/>
            </w:tcMar>
            <w:vAlign w:val="center"/>
          </w:tcPr>
          <w:p>
            <w:pPr>
              <w:spacing w:before="0" w:after="20" w:line="259" w:lineRule="auto"/>
            </w:pPr>
            <w:r>
              <w:rPr>
                <w:rFonts w:ascii="Calibri" w:hAnsi="Calibri"/>
                <w:color w:val="202428"/>
                <w:sz w:val="16"/>
              </w:rPr>
              <w:t>ETag/rowversion bij echte multi-deviceconflicten</w:t>
            </w:r>
          </w:p>
        </w:tc>
      </w:tr>
    </w:tbl>
    <w:p>
      <w:pPr>
        <w:spacing w:after="40"/>
      </w:pPr>
    </w:p>
    <w:p>
      <w:pPr>
        <w:pStyle w:val="Callout"/>
        <w:shd w:fill="E8EEF5"/>
        <w:pBdr>
          <w:left w:val="single" w:sz="18" w:space="8" w:color="2E74B5"/>
        </w:pBdr>
      </w:pPr>
      <w:r>
        <w:rPr>
          <w:rFonts w:ascii="Calibri" w:hAnsi="Calibri"/>
          <w:b/>
          <w:color w:val="2E74B5"/>
          <w:sz w:val="21"/>
        </w:rPr>
        <w:t xml:space="preserve">Architectuurdiscipline: </w:t>
      </w:r>
      <w:r>
        <w:rPr>
          <w:rFonts w:ascii="Calibri" w:hAnsi="Calibri"/>
          <w:color w:val="202428"/>
          <w:sz w:val="21"/>
        </w:rPr>
        <w:t>Voeg Reminder, Insurance of MaintenanceRecord pas toe met entity, migration, DTO's, repository/service, controller, ownershipchecks en tests als één kleine verticale flow. Een lege controller maakt de backend niet completer; een bewezen end-to-endflow wel.</w:t>
      </w:r>
    </w:p>
    <w:p>
      <w:bookmarkStart w:id="27" w:name="reference"/>
      <w:pPr>
        <w:pStyle w:val="Heading1"/>
      </w:pPr>
      <w:r>
        <w:t>Functie- en begrippenreferentie</w:t>
      </w:r>
      <w:bookmarkEnd w:id="27"/>
    </w:p>
    <w:p>
      <w:pPr>
        <w:spacing w:before="0" w:after="80"/>
        <w:jc w:val="right"/>
      </w:pPr>
      <w:hyperlink w:anchor="inhoud">
        <w:r>
          <w:rPr>
            <w:color w:val="2E74B5"/>
            <w:u w:val="single"/>
          </w:rPr>
          <w:t>Terug naar inhoud</w:t>
        </w:r>
      </w:hyperlink>
    </w:p>
    <w:p>
      <w:pPr>
        <w:pStyle w:val="Heading2"/>
      </w:pPr>
      <w:r>
        <w:t>Program.cs-methodes</w:t>
      </w:r>
    </w:p>
    <w:tbl>
      <w:tblPr>
        <w:tblStyle w:val="TableGrid"/>
        <w:tblLook w:firstColumn="1" w:firstRow="1" w:lastColumn="0" w:lastRow="0" w:noHBand="0" w:noVBand="1" w:val="04A0"/>
        <w:jc w:val="left"/>
        <w:tblW w:w="9360" w:type="dxa"/>
        <w:tblInd w:w="120" w:type="dxa"/>
        <w:tblLayout w:type="fixed"/>
      </w:tblPr>
      <w:tblGrid>
        <w:gridCol w:w="3550"/>
        <w:gridCol w:w="5810"/>
      </w:tblGrid>
      <w:tr>
        <w:trPr>
          <w:tblHeader w:val="true"/>
        </w:trPr>
        <w:tc>
          <w:tcPr>
            <w:tcW w:type="dxa" w:w="355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Call</w:t>
            </w:r>
          </w:p>
        </w:tc>
        <w:tc>
          <w:tcPr>
            <w:tcW w:type="dxa" w:w="581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Effect</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WebApplication.CreateBuilder</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Bouwt config, logging, DI en hostdefaults</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AddDbContext + UseSqlServer</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Registreert scoped EF-context met SQL-provider</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AddIdentity</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Registreert UserManager, SignInManager, password hashing, validators en cookie-schema</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AddEntityFrameworkStores</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Identity gebruikt MiraContext als persistencestore</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AddDefaultTokenProviders</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Providers voor reset/confirm/2FA-tokens</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ConfigureApplicationCookie</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Naam, flags, vervalduur en API-statusgedrag</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SetFallbackPolicy</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Authenticatie standaard verplicht</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AddCors</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Browser-originbeleid; geen resourceautorisatie</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AddAntiforgery</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Cookie/headernamen en tokenservice</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AddControllersWithViews</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MVC-controllerpipeline + globale filters</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AddProblemDetails</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Gestandaardiseerde fouten met traceId</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AddAutoMapper</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Scant profiles en registreert IMapper</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AddSwaggerGen</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OpenAPI + XSRF-headerdocumentatie</w:t>
            </w:r>
          </w:p>
        </w:tc>
      </w:tr>
      <w:tr>
        <w:tc>
          <w:tcPr>
            <w:tcW w:type="dxa" w:w="3550"/>
            <w:tcMar>
              <w:top w:w="80" w:type="dxa"/>
              <w:bottom w:w="80" w:type="dxa"/>
              <w:start w:w="120" w:type="dxa"/>
              <w:end w:w="120" w:type="dxa"/>
            </w:tcMar>
            <w:vAlign w:val="center"/>
          </w:tcPr>
          <w:p>
            <w:pPr>
              <w:spacing w:before="0" w:after="20" w:line="259" w:lineRule="auto"/>
            </w:pPr>
            <w:r>
              <w:rPr>
                <w:rFonts w:ascii="Calibri" w:hAnsi="Calibri"/>
                <w:color w:val="202428"/>
                <w:sz w:val="16"/>
              </w:rPr>
              <w:t>Build / Run</w:t>
            </w:r>
          </w:p>
        </w:tc>
        <w:tc>
          <w:tcPr>
            <w:tcW w:type="dxa" w:w="5810"/>
            <w:tcMar>
              <w:top w:w="80" w:type="dxa"/>
              <w:bottom w:w="80" w:type="dxa"/>
              <w:start w:w="120" w:type="dxa"/>
              <w:end w:w="120" w:type="dxa"/>
            </w:tcMar>
            <w:vAlign w:val="center"/>
          </w:tcPr>
          <w:p>
            <w:pPr>
              <w:spacing w:before="0" w:after="20" w:line="259" w:lineRule="auto"/>
            </w:pPr>
            <w:r>
              <w:rPr>
                <w:rFonts w:ascii="Calibri" w:hAnsi="Calibri"/>
                <w:color w:val="202428"/>
                <w:sz w:val="16"/>
              </w:rPr>
              <w:t>Bouwt en start de webhost</w:t>
            </w:r>
          </w:p>
        </w:tc>
      </w:tr>
    </w:tbl>
    <w:p>
      <w:pPr>
        <w:spacing w:after="40"/>
      </w:pPr>
    </w:p>
    <w:p>
      <w:pPr>
        <w:pStyle w:val="Heading2"/>
      </w:pPr>
      <w:r>
        <w:t>Controller- en Identitycalls</w:t>
      </w:r>
    </w:p>
    <w:tbl>
      <w:tblPr>
        <w:tblStyle w:val="TableGrid"/>
        <w:tblLook w:firstColumn="1" w:firstRow="1" w:lastColumn="0" w:lastRow="0" w:noHBand="0" w:noVBand="1" w:val="04A0"/>
        <w:jc w:val="left"/>
        <w:tblW w:w="9360" w:type="dxa"/>
        <w:tblInd w:w="120" w:type="dxa"/>
        <w:tblLayout w:type="fixed"/>
      </w:tblPr>
      <w:tblGrid>
        <w:gridCol w:w="3900"/>
        <w:gridCol w:w="5460"/>
      </w:tblGrid>
      <w:tr>
        <w:trPr>
          <w:tblHeader w:val="true"/>
        </w:trPr>
        <w:tc>
          <w:tcPr>
            <w:tcW w:type="dxa" w:w="390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Call</w:t>
            </w:r>
          </w:p>
        </w:tc>
        <w:tc>
          <w:tcPr>
            <w:tcW w:type="dxa" w:w="546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Effect</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User.FindFirstValue(NameIdentifier)</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Leest user-Id-claim uit de gevalideerde cookie</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Guid.TryParse</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Converteert claim/route veilig zonder exception</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UserManager.CreateAsync</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Valideert, hasht en bewaart gebruiker</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FindByEmailAsync</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Zoekt via genormaliseerde e-mail</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GetUserAsync(User)</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Koppelt ClaimsPrincipal aan actuele userrow</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PasswordSignInAsync</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Wachtwoordcheck, lockout en cookie-sign-in</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SignInAsync</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Geeft cookie uit zonder wachtwoordcheck; alleen na vertrouwde creatie</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SignOutAsync</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Laat cookie-authschema sessie verwijderen</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GetAndStoreTokens</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Maakt/bewaart antiforgery-cookiedeel en retourneert requestdeel</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_mapper.Map&lt;T&gt;</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Vertaalt entity naar DTO of maakt entity uit create-DTO</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_mapper.Map(source, target)</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Wijzigt bestaande tracked entity</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CreatedAtAction</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201 + Location naar detailaction</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ValidationProblem</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RFC-achtige veldfouten met errorsdictionary</w:t>
            </w:r>
          </w:p>
        </w:tc>
      </w:tr>
      <w:tr>
        <w:tc>
          <w:tcPr>
            <w:tcW w:type="dxa" w:w="3900"/>
            <w:tcMar>
              <w:top w:w="80" w:type="dxa"/>
              <w:bottom w:w="80" w:type="dxa"/>
              <w:start w:w="120" w:type="dxa"/>
              <w:end w:w="120" w:type="dxa"/>
            </w:tcMar>
            <w:vAlign w:val="center"/>
          </w:tcPr>
          <w:p>
            <w:pPr>
              <w:spacing w:before="0" w:after="20" w:line="259" w:lineRule="auto"/>
            </w:pPr>
            <w:r>
              <w:rPr>
                <w:rFonts w:ascii="Calibri" w:hAnsi="Calibri"/>
                <w:color w:val="202428"/>
                <w:sz w:val="16"/>
              </w:rPr>
              <w:t>Problem</w:t>
            </w:r>
          </w:p>
        </w:tc>
        <w:tc>
          <w:tcPr>
            <w:tcW w:type="dxa" w:w="5460"/>
            <w:tcMar>
              <w:top w:w="80" w:type="dxa"/>
              <w:bottom w:w="80" w:type="dxa"/>
              <w:start w:w="120" w:type="dxa"/>
              <w:end w:w="120" w:type="dxa"/>
            </w:tcMar>
            <w:vAlign w:val="center"/>
          </w:tcPr>
          <w:p>
            <w:pPr>
              <w:spacing w:before="0" w:after="20" w:line="259" w:lineRule="auto"/>
            </w:pPr>
            <w:r>
              <w:rPr>
                <w:rFonts w:ascii="Calibri" w:hAnsi="Calibri"/>
                <w:color w:val="202428"/>
                <w:sz w:val="16"/>
              </w:rPr>
              <w:t>ProblemDetails voor niet-veldgebonden fout</w:t>
            </w:r>
          </w:p>
        </w:tc>
      </w:tr>
    </w:tbl>
    <w:p>
      <w:pPr>
        <w:spacing w:after="40"/>
      </w:pPr>
    </w:p>
    <w:p>
      <w:pPr>
        <w:pStyle w:val="Heading2"/>
      </w:pPr>
      <w:r>
        <w:t>Opslag- en EF-calls</w:t>
      </w:r>
    </w:p>
    <w:tbl>
      <w:tblPr>
        <w:tblStyle w:val="TableGrid"/>
        <w:tblLook w:firstColumn="1" w:firstRow="1" w:lastColumn="0" w:lastRow="0" w:noHBand="0" w:noVBand="1" w:val="04A0"/>
        <w:jc w:val="left"/>
        <w:tblW w:w="9360" w:type="dxa"/>
        <w:tblInd w:w="120" w:type="dxa"/>
        <w:tblLayout w:type="fixed"/>
      </w:tblPr>
      <w:tblGrid>
        <w:gridCol w:w="3700"/>
        <w:gridCol w:w="5660"/>
      </w:tblGrid>
      <w:tr>
        <w:trPr>
          <w:tblHeader w:val="true"/>
        </w:trPr>
        <w:tc>
          <w:tcPr>
            <w:tcW w:type="dxa" w:w="370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Call</w:t>
            </w:r>
          </w:p>
        </w:tc>
        <w:tc>
          <w:tcPr>
            <w:tcW w:type="dxa" w:w="5660"/>
            <w:tcMar>
              <w:top w:w="80" w:type="dxa"/>
              <w:bottom w:w="80" w:type="dxa"/>
              <w:start w:w="120" w:type="dxa"/>
              <w:end w:w="120" w:type="dxa"/>
            </w:tcMar>
            <w:vAlign w:val="center"/>
            <w:shd w:fill="E8EEF5"/>
          </w:tcPr>
          <w:p>
            <w:pPr>
              <w:spacing w:before="0" w:after="0" w:line="252" w:lineRule="auto"/>
            </w:pPr>
            <w:r>
              <w:rPr>
                <w:rFonts w:ascii="Calibri" w:hAnsi="Calibri"/>
                <w:b/>
                <w:color w:val="183B56"/>
                <w:sz w:val="16"/>
              </w:rPr>
              <w:t>Effect</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AsNoTracking</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Snellere read zonder change tracking</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Include / ThenInclude</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Eager-loadt navigaties</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AnyAsync</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SQL EXISTS</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FirstOrDefaultAsync</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Eerste match of null</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ToListAsync</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Voert query uit en materialiseert</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DbSet.Add</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Markeert graph als Added</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DbSet.Remove</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Markeert entity als Deleted</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SaveChangesAsync</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Commit tracked wijzigingen in transactie</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Path.GetFullPath</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Normaliseert opslagpad voor traversalcheck</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IncrementalHash.AppendData</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Bouwt SHA-256 tijdens streaming</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FileStream(...Asynchronous)</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Niet-blokkerende private read/write</w:t>
            </w:r>
          </w:p>
        </w:tc>
      </w:tr>
      <w:tr>
        <w:tc>
          <w:tcPr>
            <w:tcW w:type="dxa" w:w="3700"/>
            <w:tcMar>
              <w:top w:w="80" w:type="dxa"/>
              <w:bottom w:w="80" w:type="dxa"/>
              <w:start w:w="120" w:type="dxa"/>
              <w:end w:w="120" w:type="dxa"/>
            </w:tcMar>
            <w:vAlign w:val="center"/>
          </w:tcPr>
          <w:p>
            <w:pPr>
              <w:spacing w:before="0" w:after="20" w:line="259" w:lineRule="auto"/>
            </w:pPr>
            <w:r>
              <w:rPr>
                <w:rFonts w:ascii="Calibri" w:hAnsi="Calibri"/>
                <w:color w:val="202428"/>
                <w:sz w:val="16"/>
              </w:rPr>
              <w:t>ZipArchive</w:t>
            </w:r>
          </w:p>
        </w:tc>
        <w:tc>
          <w:tcPr>
            <w:tcW w:type="dxa" w:w="5660"/>
            <w:tcMar>
              <w:top w:w="80" w:type="dxa"/>
              <w:bottom w:w="80" w:type="dxa"/>
              <w:start w:w="120" w:type="dxa"/>
              <w:end w:w="120" w:type="dxa"/>
            </w:tcMar>
            <w:vAlign w:val="center"/>
          </w:tcPr>
          <w:p>
            <w:pPr>
              <w:spacing w:before="0" w:after="20" w:line="259" w:lineRule="auto"/>
            </w:pPr>
            <w:r>
              <w:rPr>
                <w:rFonts w:ascii="Calibri" w:hAnsi="Calibri"/>
                <w:color w:val="202428"/>
                <w:sz w:val="16"/>
              </w:rPr>
              <w:t>Controleert OOXML-container zonder uitpakken</w:t>
            </w:r>
          </w:p>
        </w:tc>
      </w:tr>
    </w:tbl>
    <w:p>
      <w:pPr>
        <w:spacing w:after="40"/>
      </w:pPr>
    </w:p>
    <w:p>
      <w:pPr>
        <w:pStyle w:val="Heading2"/>
      </w:pPr>
      <w:r>
        <w:t>Begrippen</w:t>
      </w:r>
    </w:p>
    <w:p>
      <w:r>
        <w:rPr>
          <w:rFonts w:ascii="Calibri" w:hAnsi="Calibri"/>
          <w:b/>
          <w:i w:val="0"/>
          <w:color w:val="202428"/>
          <w:sz w:val="22"/>
        </w:rPr>
        <w:t xml:space="preserve">Authentication. </w:t>
      </w:r>
      <w:r>
        <w:rPr>
          <w:rFonts w:ascii="Calibri" w:hAnsi="Calibri"/>
          <w:b w:val="0"/>
          <w:i w:val="0"/>
          <w:color w:val="202428"/>
          <w:sz w:val="22"/>
        </w:rPr>
        <w:t>Vaststellen wie de caller is; hier via Mira.Auth-cookie.</w:t>
      </w:r>
    </w:p>
    <w:p>
      <w:r>
        <w:rPr>
          <w:rFonts w:ascii="Calibri" w:hAnsi="Calibri"/>
          <w:b/>
          <w:i w:val="0"/>
          <w:color w:val="202428"/>
          <w:sz w:val="22"/>
        </w:rPr>
        <w:t xml:space="preserve">Authorization. </w:t>
      </w:r>
      <w:r>
        <w:rPr>
          <w:rFonts w:ascii="Calibri" w:hAnsi="Calibri"/>
          <w:b w:val="0"/>
          <w:i w:val="0"/>
          <w:color w:val="202428"/>
          <w:sz w:val="22"/>
        </w:rPr>
        <w:t>Beslissen wat die identiteit mag; fallbackpolicy plus UserId-ownership.</w:t>
      </w:r>
    </w:p>
    <w:p>
      <w:r>
        <w:rPr>
          <w:rFonts w:ascii="Calibri" w:hAnsi="Calibri"/>
          <w:b/>
          <w:i w:val="0"/>
          <w:color w:val="202428"/>
          <w:sz w:val="22"/>
        </w:rPr>
        <w:t xml:space="preserve">Claim. </w:t>
      </w:r>
      <w:r>
        <w:rPr>
          <w:rFonts w:ascii="Calibri" w:hAnsi="Calibri"/>
          <w:b w:val="0"/>
          <w:i w:val="0"/>
          <w:color w:val="202428"/>
          <w:sz w:val="22"/>
        </w:rPr>
        <w:t>Een bewering in ClaimsPrincipal, zoals NameIdentifier = user-Guid.</w:t>
      </w:r>
    </w:p>
    <w:p>
      <w:r>
        <w:rPr>
          <w:rFonts w:ascii="Calibri" w:hAnsi="Calibri"/>
          <w:b/>
          <w:i w:val="0"/>
          <w:color w:val="202428"/>
          <w:sz w:val="22"/>
        </w:rPr>
        <w:t xml:space="preserve">CSRF. </w:t>
      </w:r>
      <w:r>
        <w:rPr>
          <w:rFonts w:ascii="Calibri" w:hAnsi="Calibri"/>
          <w:b w:val="0"/>
          <w:i w:val="0"/>
          <w:color w:val="202428"/>
          <w:sz w:val="22"/>
        </w:rPr>
        <w:t>Misbruik van automatisch meegestuurde cookies vanuit een andere site.</w:t>
      </w:r>
    </w:p>
    <w:p>
      <w:r>
        <w:rPr>
          <w:rFonts w:ascii="Calibri" w:hAnsi="Calibri"/>
          <w:b/>
          <w:i w:val="0"/>
          <w:color w:val="202428"/>
          <w:sz w:val="22"/>
        </w:rPr>
        <w:t xml:space="preserve">DTO. </w:t>
      </w:r>
      <w:r>
        <w:rPr>
          <w:rFonts w:ascii="Calibri" w:hAnsi="Calibri"/>
          <w:b w:val="0"/>
          <w:i w:val="0"/>
          <w:color w:val="202428"/>
          <w:sz w:val="22"/>
        </w:rPr>
        <w:t>Expliciet request- of responsecontract, los van de persistence-entity.</w:t>
      </w:r>
    </w:p>
    <w:p>
      <w:r>
        <w:rPr>
          <w:rFonts w:ascii="Calibri" w:hAnsi="Calibri"/>
          <w:b/>
          <w:i w:val="0"/>
          <w:color w:val="202428"/>
          <w:sz w:val="22"/>
        </w:rPr>
        <w:t xml:space="preserve">Entity. </w:t>
      </w:r>
      <w:r>
        <w:rPr>
          <w:rFonts w:ascii="Calibri" w:hAnsi="Calibri"/>
          <w:b w:val="0"/>
          <w:i w:val="0"/>
          <w:color w:val="202428"/>
          <w:sz w:val="22"/>
        </w:rPr>
        <w:t>Door EF Core gevolgde domein/persistenceklasse met primary key.</w:t>
      </w:r>
    </w:p>
    <w:p>
      <w:r>
        <w:rPr>
          <w:rFonts w:ascii="Calibri" w:hAnsi="Calibri"/>
          <w:b/>
          <w:i w:val="0"/>
          <w:color w:val="202428"/>
          <w:sz w:val="22"/>
        </w:rPr>
        <w:t xml:space="preserve">TPT. </w:t>
      </w:r>
      <w:r>
        <w:rPr>
          <w:rFonts w:ascii="Calibri" w:hAnsi="Calibri"/>
          <w:b w:val="0"/>
          <w:i w:val="0"/>
          <w:color w:val="202428"/>
          <w:sz w:val="22"/>
        </w:rPr>
        <w:t>Inheritance mapping waarbij base en subtype elk een tabel hebben.</w:t>
      </w:r>
    </w:p>
    <w:p>
      <w:r>
        <w:rPr>
          <w:rFonts w:ascii="Calibri" w:hAnsi="Calibri"/>
          <w:b/>
          <w:i w:val="0"/>
          <w:color w:val="202428"/>
          <w:sz w:val="22"/>
        </w:rPr>
        <w:t xml:space="preserve">Navigation property. </w:t>
      </w:r>
      <w:r>
        <w:rPr>
          <w:rFonts w:ascii="Calibri" w:hAnsi="Calibri"/>
          <w:b w:val="0"/>
          <w:i w:val="0"/>
          <w:color w:val="202428"/>
          <w:sz w:val="22"/>
        </w:rPr>
        <w:t>Objectreferentie/collectie waarmee EF relaties uitdrukt.</w:t>
      </w:r>
    </w:p>
    <w:p>
      <w:r>
        <w:rPr>
          <w:rFonts w:ascii="Calibri" w:hAnsi="Calibri"/>
          <w:b/>
          <w:i w:val="0"/>
          <w:color w:val="202428"/>
          <w:sz w:val="22"/>
        </w:rPr>
        <w:t xml:space="preserve">Tracking. </w:t>
      </w:r>
      <w:r>
        <w:rPr>
          <w:rFonts w:ascii="Calibri" w:hAnsi="Calibri"/>
          <w:b w:val="0"/>
          <w:i w:val="0"/>
          <w:color w:val="202428"/>
          <w:sz w:val="22"/>
        </w:rPr>
        <w:t>EF bewaart originele en actuele waarden om writes te genereren.</w:t>
      </w:r>
    </w:p>
    <w:p>
      <w:r>
        <w:rPr>
          <w:rFonts w:ascii="Calibri" w:hAnsi="Calibri"/>
          <w:b/>
          <w:i w:val="0"/>
          <w:color w:val="202428"/>
          <w:sz w:val="22"/>
        </w:rPr>
        <w:t xml:space="preserve">Migration. </w:t>
      </w:r>
      <w:r>
        <w:rPr>
          <w:rFonts w:ascii="Calibri" w:hAnsi="Calibri"/>
          <w:b w:val="0"/>
          <w:i w:val="0"/>
          <w:color w:val="202428"/>
          <w:sz w:val="22"/>
        </w:rPr>
        <w:t>Versiebeheerde instructie om databaseschema vooruit/achteruit te wijzigen.</w:t>
      </w:r>
    </w:p>
    <w:p>
      <w:r>
        <w:rPr>
          <w:rFonts w:ascii="Calibri" w:hAnsi="Calibri"/>
          <w:b/>
          <w:i w:val="0"/>
          <w:color w:val="202428"/>
          <w:sz w:val="22"/>
        </w:rPr>
        <w:t xml:space="preserve">Idempotent. </w:t>
      </w:r>
      <w:r>
        <w:rPr>
          <w:rFonts w:ascii="Calibri" w:hAnsi="Calibri"/>
          <w:b w:val="0"/>
          <w:i w:val="0"/>
          <w:color w:val="202428"/>
          <w:sz w:val="22"/>
        </w:rPr>
        <w:t>Dezelfde request herhalen geeft dezelfde eindtoestand.</w:t>
      </w:r>
    </w:p>
    <w:p>
      <w:r>
        <w:rPr>
          <w:rFonts w:ascii="Calibri" w:hAnsi="Calibri"/>
          <w:b/>
          <w:i w:val="0"/>
          <w:color w:val="202428"/>
          <w:sz w:val="22"/>
        </w:rPr>
        <w:t xml:space="preserve">Checksum. </w:t>
      </w:r>
      <w:r>
        <w:rPr>
          <w:rFonts w:ascii="Calibri" w:hAnsi="Calibri"/>
          <w:b w:val="0"/>
          <w:i w:val="0"/>
          <w:color w:val="202428"/>
          <w:sz w:val="22"/>
        </w:rPr>
        <w:t>SHA-256-vingerafdruk van bytes; detectie/integriteit, geen encryptie.</w:t>
      </w:r>
    </w:p>
    <w:p>
      <w:pPr>
        <w:pStyle w:val="Callout"/>
        <w:shd w:fill="FCEBEC"/>
        <w:pBdr>
          <w:left w:val="single" w:sz="18" w:space="8" w:color="A33A3A"/>
        </w:pBdr>
      </w:pPr>
      <w:r>
        <w:rPr>
          <w:rFonts w:ascii="Calibri" w:hAnsi="Calibri"/>
          <w:b/>
          <w:color w:val="A33A3A"/>
          <w:sz w:val="21"/>
        </w:rPr>
        <w:t xml:space="preserve">Kernzin: </w:t>
      </w:r>
      <w:r>
        <w:rPr>
          <w:rFonts w:ascii="Calibri" w:hAnsi="Calibri"/>
          <w:color w:val="202428"/>
          <w:sz w:val="21"/>
        </w:rPr>
        <w:t>De beveiliging van MIRA rust niet op verborgen frontendknoppen, maar op drie serverlagen samen: een gevalideerde Identity-sessie, antiforgery voor cookiegedragen mutaties en UserId in iedere resourcequery.</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6"/>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8" w:color="D7DEE6"/>
      </w:pBdr>
    </w:pPr>
    <w:r>
      <w:rPr>
        <w:rFonts w:ascii="Calibri" w:hAnsi="Calibri"/>
        <w:b/>
        <w:color w:val="5F6B76"/>
        <w:sz w:val="17"/>
      </w:rPr>
      <w:t>MIRA Backendcursus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spacing w:after="80" w:line="300" w:lineRule="auto"/>
      </w:p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40" w:after="160"/>
      <w:jc w:val="center"/>
    </w:pPr>
    <w:rPr>
      <w:rFonts w:ascii="Calibri" w:hAnsi="Calibri"/>
      <w:b/>
      <w:bCs/>
      <w:i/>
      <w:color w:val="5F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78" w:lineRule="auto"/>
      <w:ind w:left="115" w:right="115"/>
    </w:pPr>
    <w:rPr>
      <w:rFonts w:ascii="Calibri" w:hAnsi="Calibri"/>
      <w:sz w:val="21"/>
    </w:rPr>
  </w:style>
  <w:style w:type="paragraph" w:customStyle="1" w:styleId="CodeBlock">
    <w:name w:val="Code Block"/>
    <w:pPr>
      <w:keepLines/>
      <w:spacing w:before="80" w:after="160" w:line="240" w:lineRule="auto"/>
      <w:ind w:left="115" w:right="5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Backendcursus</dc:title>
  <dc:subject>ASP.NET Core Identity, antiforgery, controllers, EF Core en private documentopslag</dc:subject>
  <dc:creator>MIRA projectdocumentatie</dc:creator>
  <cp:keywords>MIRA, ASP.NET Core, Identity, EF Core, antiforgery, backend</cp:keywords>
  <dc:description>Gegenereerd bij de codebasis van 4 augustus 2026.</dc:description>
  <cp:lastModifiedBy/>
  <cp:revision>1</cp:revision>
  <dcterms:created xsi:type="dcterms:W3CDTF">2013-12-23T23:15:00Z</dcterms:created>
  <dcterms:modified xsi:type="dcterms:W3CDTF">2013-12-23T23:15:00Z</dcterms:modified>
  <cp:category/>
</cp:coreProperties>
</file>