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Sieci Neuronowe – laboratorium</w:t>
        <w:br/>
        <w:br/>
        <w:t>Ćwiczenie nr. 1</w:t>
        <w:br/>
        <w:br/>
        <w:t>Kajetan Pynka, 254495</w:t>
      </w:r>
    </w:p>
    <w:p>
      <w:pPr>
        <w:pStyle w:val="Normal"/>
        <w:rPr>
          <w:rFonts w:ascii="Cambria" w:hAnsi="Cambria" w:eastAsia="宋体" w:cs="" w:asciiTheme="majorHAnsi" w:cstheme="majorBidi" w:eastAsiaTheme="majorEastAsia" w:hAnsiTheme="majorHAnsi"/>
          <w:spacing w:val="-10"/>
          <w:kern w:val="2"/>
          <w:sz w:val="56"/>
          <w:szCs w:val="56"/>
        </w:rPr>
      </w:pPr>
      <w:r>
        <w:rPr>
          <w:rFonts w:eastAsia="宋体" w:cs="" w:cstheme="majorBidi" w:eastAsiaTheme="majorEastAsia" w:ascii="Cambria" w:hAnsi="Cambria"/>
          <w:spacing w:val="-10"/>
          <w:kern w:val="2"/>
          <w:sz w:val="56"/>
          <w:szCs w:val="56"/>
        </w:rPr>
      </w:r>
    </w:p>
    <w:sdt>
      <w:sdtPr>
        <w:docPartObj>
          <w:docPartGallery w:val="Table of Contents"/>
          <w:docPartUnique w:val="true"/>
        </w:docPartObj>
      </w:sdtPr>
      <w:sdtContent>
        <w:p>
          <w:pPr>
            <w:pStyle w:val="ContentsHeading"/>
            <w:rPr/>
          </w:pPr>
          <w:r>
            <w:br w:type="page"/>
          </w:r>
          <w:r>
            <w:rPr/>
            <w:t>Spis treści</w:t>
          </w:r>
        </w:p>
        <w:p>
          <w:pPr>
            <w:pStyle w:val="Contents1"/>
            <w:tabs>
              <w:tab w:val="clear" w:pos="708"/>
              <w:tab w:val="right" w:pos="9062" w:leader="dot"/>
            </w:tabs>
            <w:rPr/>
          </w:pPr>
          <w:r>
            <w:fldChar w:fldCharType="begin"/>
          </w:r>
          <w:r>
            <w:rPr>
              <w:webHidden/>
              <w:rStyle w:val="IndexLink"/>
            </w:rPr>
            <w:instrText xml:space="preserve"> TOC \z \o "1-3" \u \h</w:instrText>
          </w:r>
          <w:r>
            <w:rPr>
              <w:webHidden/>
              <w:rStyle w:val="IndexLink"/>
            </w:rPr>
            <w:fldChar w:fldCharType="separate"/>
          </w:r>
          <w:hyperlink w:anchor="_Toc116820200">
            <w:r>
              <w:rPr>
                <w:webHidden/>
                <w:rStyle w:val="IndexLink"/>
              </w:rPr>
              <w:t>Perceptron prosty</w:t>
            </w:r>
            <w:r>
              <w:rPr>
                <w:webHidden/>
              </w:rPr>
              <w:fldChar w:fldCharType="begin"/>
            </w:r>
            <w:r>
              <w:rPr>
                <w:webHidden/>
              </w:rPr>
              <w:instrText xml:space="preserve">PAGEREF _Toc116820200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pPr>
          <w:hyperlink w:anchor="_Toc116820201">
            <w:r>
              <w:rPr>
                <w:webHidden/>
                <w:rStyle w:val="IndexLink"/>
              </w:rPr>
              <w:t>Eksperyment 1</w:t>
            </w:r>
            <w:r>
              <w:rPr>
                <w:webHidden/>
              </w:rPr>
              <w:fldChar w:fldCharType="begin"/>
            </w:r>
            <w:r>
              <w:rPr>
                <w:webHidden/>
              </w:rPr>
              <w:instrText xml:space="preserve">PAGEREF _Toc116820201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pPr>
          <w:hyperlink w:anchor="_Toc116820202">
            <w:r>
              <w:rPr>
                <w:webHidden/>
                <w:rStyle w:val="IndexLink"/>
              </w:rPr>
              <w:t>Eksperyment 2</w:t>
            </w:r>
            <w:r>
              <w:rPr>
                <w:webHidden/>
              </w:rPr>
              <w:fldChar w:fldCharType="begin"/>
            </w:r>
            <w:r>
              <w:rPr>
                <w:webHidden/>
              </w:rPr>
              <w:instrText xml:space="preserve">PAGEREF _Toc116820202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pPr>
          <w:hyperlink w:anchor="_Toc116820203">
            <w:r>
              <w:rPr>
                <w:webHidden/>
                <w:rStyle w:val="IndexLink"/>
              </w:rPr>
              <w:t>Eksperyment 3</w:t>
            </w:r>
            <w:r>
              <w:rPr>
                <w:webHidden/>
              </w:rPr>
              <w:fldChar w:fldCharType="begin"/>
            </w:r>
            <w:r>
              <w:rPr>
                <w:webHidden/>
              </w:rPr>
              <w:instrText xml:space="preserve">PAGEREF _Toc116820203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2" w:leader="dot"/>
            </w:tabs>
            <w:rPr/>
          </w:pPr>
          <w:hyperlink w:anchor="_Toc116820204">
            <w:r>
              <w:rPr>
                <w:webHidden/>
                <w:rStyle w:val="IndexLink"/>
              </w:rPr>
              <w:t>Eksperyment 4</w:t>
            </w:r>
            <w:r>
              <w:rPr>
                <w:webHidden/>
              </w:rPr>
              <w:fldChar w:fldCharType="begin"/>
            </w:r>
            <w:r>
              <w:rPr>
                <w:webHidden/>
              </w:rPr>
              <w:instrText xml:space="preserve">PAGEREF _Toc116820204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2" w:leader="dot"/>
            </w:tabs>
            <w:rPr/>
          </w:pPr>
          <w:hyperlink w:anchor="_Toc116820205">
            <w:r>
              <w:rPr>
                <w:webHidden/>
                <w:rStyle w:val="IndexLink"/>
              </w:rPr>
              <w:t>Adaline</w:t>
            </w:r>
            <w:r>
              <w:rPr>
                <w:webHidden/>
              </w:rPr>
              <w:fldChar w:fldCharType="begin"/>
            </w:r>
            <w:r>
              <w:rPr>
                <w:webHidden/>
              </w:rPr>
              <w:instrText xml:space="preserve">PAGEREF _Toc116820205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2" w:leader="dot"/>
            </w:tabs>
            <w:rPr/>
          </w:pPr>
          <w:hyperlink w:anchor="_Toc116820206">
            <w:r>
              <w:rPr>
                <w:webHidden/>
                <w:rStyle w:val="IndexLink"/>
              </w:rPr>
              <w:t>Eksperyment 1</w:t>
            </w:r>
            <w:r>
              <w:rPr>
                <w:webHidden/>
              </w:rPr>
              <w:fldChar w:fldCharType="begin"/>
            </w:r>
            <w:r>
              <w:rPr>
                <w:webHidden/>
              </w:rPr>
              <w:instrText xml:space="preserve">PAGEREF _Toc116820206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2" w:leader="dot"/>
            </w:tabs>
            <w:rPr/>
          </w:pPr>
          <w:hyperlink w:anchor="_Toc116820207">
            <w:r>
              <w:rPr>
                <w:webHidden/>
                <w:rStyle w:val="IndexLink"/>
              </w:rPr>
              <w:t>Eksperyment 2</w:t>
            </w:r>
            <w:r>
              <w:rPr>
                <w:webHidden/>
              </w:rPr>
              <w:fldChar w:fldCharType="begin"/>
            </w:r>
            <w:r>
              <w:rPr>
                <w:webHidden/>
              </w:rPr>
              <w:instrText xml:space="preserve">PAGEREF _Toc116820207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pPr>
          <w:hyperlink w:anchor="_Toc116820208">
            <w:r>
              <w:rPr>
                <w:webHidden/>
                <w:rStyle w:val="IndexLink"/>
              </w:rPr>
              <w:t>Eksperyment 3</w:t>
            </w:r>
            <w:r>
              <w:rPr>
                <w:webHidden/>
              </w:rPr>
              <w:fldChar w:fldCharType="begin"/>
            </w:r>
            <w:r>
              <w:rPr>
                <w:webHidden/>
              </w:rPr>
              <w:instrText xml:space="preserve">PAGEREF _Toc116820208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62" w:leader="dot"/>
            </w:tabs>
            <w:rPr/>
          </w:pPr>
          <w:hyperlink w:anchor="_Toc116820209">
            <w:r>
              <w:rPr>
                <w:webHidden/>
                <w:rStyle w:val="IndexLink"/>
              </w:rPr>
              <w:t>Eksperyment 4</w:t>
            </w:r>
            <w:r>
              <w:rPr>
                <w:webHidden/>
              </w:rPr>
              <w:fldChar w:fldCharType="begin"/>
            </w:r>
            <w:r>
              <w:rPr>
                <w:webHidden/>
              </w:rPr>
              <w:instrText xml:space="preserve">PAGEREF _Toc116820209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Normal"/>
        <w:rPr>
          <w:rFonts w:ascii="Cambria" w:hAnsi="Cambria" w:eastAsia="宋体" w:cs="" w:asciiTheme="majorHAnsi" w:cstheme="majorBidi" w:eastAsiaTheme="majorEastAsia" w:hAnsiTheme="majorHAnsi"/>
          <w:spacing w:val="-10"/>
          <w:kern w:val="2"/>
          <w:sz w:val="56"/>
          <w:szCs w:val="56"/>
        </w:rPr>
      </w:pPr>
      <w:r>
        <w:rPr>
          <w:rFonts w:eastAsia="宋体" w:cs="" w:cstheme="majorBidi" w:eastAsiaTheme="majorEastAsia" w:ascii="Cambria" w:hAnsi="Cambria"/>
          <w:spacing w:val="-10"/>
          <w:kern w:val="2"/>
          <w:sz w:val="56"/>
          <w:szCs w:val="56"/>
        </w:rPr>
      </w:r>
      <w:r>
        <w:br w:type="page"/>
      </w:r>
    </w:p>
    <w:p>
      <w:pPr>
        <w:pStyle w:val="Heading1"/>
        <w:rPr/>
      </w:pPr>
      <w:r>
        <w:rPr/>
        <w:t>Wstęp</w:t>
      </w:r>
    </w:p>
    <w:p>
      <w:pPr>
        <w:pStyle w:val="Normal"/>
        <w:rPr/>
      </w:pPr>
      <w:r>
        <w:rPr/>
        <w:t>Rozmiar danych = 100</w:t>
      </w:r>
    </w:p>
    <w:p>
      <w:pPr>
        <w:pStyle w:val="Normal"/>
        <w:rPr/>
      </w:pPr>
      <w:r>
        <w:rPr/>
        <w:t>Podział na zbiór treningowy / testowy: 80/20</w:t>
      </w:r>
    </w:p>
    <w:p>
      <w:pPr>
        <w:pStyle w:val="Normal"/>
        <w:rPr/>
      </w:pPr>
      <w:r>
        <w:rPr/>
        <w:t>Domyślny wsp. uczenia = 0.01</w:t>
      </w:r>
    </w:p>
    <w:p>
      <w:pPr>
        <w:pStyle w:val="Normal"/>
        <w:rPr/>
      </w:pPr>
      <w:r>
        <w:rPr/>
        <w:t>Domyślna waga = 0.001</w:t>
      </w:r>
      <w:r>
        <w:br w:type="page"/>
      </w:r>
    </w:p>
    <w:p>
      <w:pPr>
        <w:pStyle w:val="Heading1"/>
        <w:rPr/>
      </w:pPr>
      <w:bookmarkStart w:id="0" w:name="_Toc116820200"/>
      <w:r>
        <w:rPr/>
        <w:t>Perceptron prosty</w:t>
      </w:r>
      <w:bookmarkEnd w:id="0"/>
    </w:p>
    <w:p>
      <w:pPr>
        <w:pStyle w:val="Heading2"/>
        <w:rPr/>
      </w:pPr>
      <w:bookmarkStart w:id="1" w:name="_Toc116820201"/>
      <w:r>
        <w:rPr>
          <w:rStyle w:val="Nagwek2Znak"/>
        </w:rPr>
        <w:t>Eksperyment</w:t>
      </w:r>
      <w:r>
        <w:rPr/>
        <w:t xml:space="preserve"> 1</w:t>
      </w:r>
      <w:bookmarkEnd w:id="1"/>
    </w:p>
    <w:p>
      <w:pPr>
        <w:pStyle w:val="Normal"/>
        <w:rPr/>
      </w:pPr>
      <w:r>
        <w:rPr/>
        <w:t xml:space="preserve">Ogólnie </w:t>
      </w:r>
      <w:r>
        <w:rPr/>
        <w:t>gdy</w:t>
      </w:r>
      <w:r>
        <w:rPr/>
        <w:t xml:space="preserve"> theta rośnie do +inf </w:t>
      </w:r>
      <w:r>
        <w:rPr/>
        <w:t>t</w:t>
      </w:r>
      <w:r>
        <w:rPr/>
        <w:t xml:space="preserve">o potrzeba więcej epok na wyuczenie modelu, zależy to bezpośrednio od współczynnika uczenia: małe kroki → dłużej zajmuje osiągnięcie wag </w:t>
      </w:r>
      <w:r>
        <w:rPr/>
        <w:t>przekraczających</w:t>
      </w:r>
      <w:r>
        <w:rPr/>
        <w:t xml:space="preserve"> próg. Dla wartości bardzo bliskch zera potrzeba mieć adekwatnie mały współczynnik uczenia. </w:t>
      </w:r>
      <w:r>
        <w:rPr/>
        <w:t>Dla ujemnych theta oraz funkcji aktywacji unipolarnej model nigdy się nie wyuczy (zawsze predykcja będzie dobra → niezerowa delta nigdy się nie skoryguje).</w:t>
      </w:r>
    </w:p>
    <w:tbl>
      <w:tblPr>
        <w:tblStyle w:val="Tabela-Siatka"/>
        <w:tblW w:w="90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5"/>
        <w:gridCol w:w="3016"/>
        <w:gridCol w:w="3015"/>
      </w:tblGrid>
      <w:tr>
        <w:trPr>
          <w:trHeight w:val="717" w:hRule="atLeast"/>
        </w:trPr>
        <w:tc>
          <w:tcPr>
            <w:tcW w:w="3015"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Próg odcięcia (theta)</w:t>
            </w:r>
          </w:p>
        </w:tc>
        <w:tc>
          <w:tcPr>
            <w:tcW w:w="3016" w:type="dxa"/>
            <w:tcBorders>
              <w:right w:val="nil"/>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Średnia liczba epok potrzebna do wyuczenia</w:t>
            </w:r>
          </w:p>
        </w:tc>
        <w:tc>
          <w:tcPr>
            <w:tcW w:w="3015"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Średnie wagi [x1, x2]</w:t>
            </w:r>
          </w:p>
        </w:tc>
      </w:tr>
      <w:tr>
        <w:trPr>
          <w:trHeight w:val="678"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0.05</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3.0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[0.0317, 0.0301]</w:t>
            </w:r>
          </w:p>
        </w:tc>
      </w:tr>
      <w:tr>
        <w:trPr>
          <w:trHeight w:val="717"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0.10</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[0.0594, 0.0598]</w:t>
            </w:r>
          </w:p>
        </w:tc>
      </w:tr>
      <w:tr>
        <w:trPr>
          <w:trHeight w:val="678"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0.15</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[0.0886, 0.0897]</w:t>
            </w:r>
          </w:p>
        </w:tc>
      </w:tr>
      <w:tr>
        <w:trPr>
          <w:trHeight w:val="717"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0.20</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[0.1172, 0.1194]</w:t>
            </w:r>
          </w:p>
        </w:tc>
      </w:tr>
      <w:tr>
        <w:trPr>
          <w:trHeight w:val="678"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0.25</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6.0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[0.1452, 0.1510]</w:t>
            </w:r>
          </w:p>
        </w:tc>
      </w:tr>
      <w:tr>
        <w:trPr>
          <w:trHeight w:val="717"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0.30</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6.0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[0.1678, 0.1721]</w:t>
            </w:r>
          </w:p>
        </w:tc>
      </w:tr>
      <w:tr>
        <w:trPr>
          <w:trHeight w:val="717"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0.35</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6.3</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[0.1959, 0.2028]</w:t>
            </w:r>
          </w:p>
        </w:tc>
      </w:tr>
      <w:tr>
        <w:trPr>
          <w:trHeight w:val="678"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0.40</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7.6</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[0.2239, 0.2312]</w:t>
            </w:r>
          </w:p>
        </w:tc>
      </w:tr>
      <w:tr>
        <w:trPr>
          <w:trHeight w:val="678"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0.45</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8.0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[0.2540, 0.2611]</w:t>
            </w:r>
          </w:p>
        </w:tc>
      </w:tr>
      <w:tr>
        <w:trPr>
          <w:trHeight w:val="678"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0.50</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9.0</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[0.2818, 0.2932]</w:t>
            </w:r>
          </w:p>
        </w:tc>
      </w:tr>
      <w:tr>
        <w:trPr>
          <w:trHeight w:val="678" w:hRule="atLeast"/>
        </w:trPr>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0.80</w:t>
            </w:r>
          </w:p>
        </w:tc>
        <w:tc>
          <w:tcPr>
            <w:tcW w:w="3016"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12.2</w:t>
            </w:r>
          </w:p>
        </w:tc>
        <w:tc>
          <w:tcPr>
            <w:tcW w:w="301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[0.4482, 0.4640]</w:t>
            </w:r>
          </w:p>
        </w:tc>
      </w:tr>
      <w:tr>
        <w:trPr>
          <w:trHeight w:val="678" w:hRule="atLeast"/>
        </w:trPr>
        <w:tc>
          <w:tcPr>
            <w:tcW w:w="3015"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2.50</w:t>
            </w:r>
          </w:p>
        </w:tc>
        <w:tc>
          <w:tcPr>
            <w:tcW w:w="3016" w:type="dxa"/>
            <w:tcBorders>
              <w:top w:val="nil"/>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34.0</w:t>
            </w:r>
          </w:p>
        </w:tc>
        <w:tc>
          <w:tcPr>
            <w:tcW w:w="3015"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[1.3804, 1.4340]</w:t>
            </w:r>
          </w:p>
        </w:tc>
      </w:tr>
      <w:tr>
        <w:trPr>
          <w:trHeight w:val="678" w:hRule="atLeast"/>
        </w:trPr>
        <w:tc>
          <w:tcPr>
            <w:tcW w:w="3015"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100.00</w:t>
            </w:r>
          </w:p>
        </w:tc>
        <w:tc>
          <w:tcPr>
            <w:tcW w:w="3016" w:type="dxa"/>
            <w:tcBorders>
              <w:top w:val="nil"/>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1270.3</w:t>
            </w:r>
          </w:p>
        </w:tc>
        <w:tc>
          <w:tcPr>
            <w:tcW w:w="3015"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[54.941, 57.105]</w:t>
            </w:r>
          </w:p>
        </w:tc>
      </w:tr>
    </w:tbl>
    <w:p>
      <w:pPr>
        <w:pStyle w:val="Normal"/>
        <w:rPr>
          <w:rFonts w:ascii="Cambria" w:hAnsi="Cambria" w:eastAsia="宋体" w:cs="" w:asciiTheme="majorHAnsi" w:cstheme="majorBidi" w:eastAsiaTheme="majorEastAsia" w:hAnsiTheme="majorHAnsi"/>
          <w:color w:val="365F91" w:themeColor="accent1" w:themeShade="bf"/>
          <w:sz w:val="32"/>
          <w:szCs w:val="32"/>
        </w:rPr>
      </w:pPr>
      <w:r>
        <w:rPr>
          <w:rFonts w:eastAsia="宋体" w:cs="" w:cstheme="majorBidi" w:eastAsiaTheme="majorEastAsia" w:ascii="Cambria" w:hAnsi="Cambria"/>
          <w:color w:val="365F91" w:themeColor="accent1" w:themeShade="bf"/>
          <w:sz w:val="32"/>
          <w:szCs w:val="32"/>
        </w:rPr>
      </w:r>
      <w:r>
        <w:br w:type="page"/>
      </w:r>
    </w:p>
    <w:p>
      <w:pPr>
        <w:pStyle w:val="Heading2"/>
        <w:rPr/>
      </w:pPr>
      <w:bookmarkStart w:id="2" w:name="_Toc116820202"/>
      <w:r>
        <w:rPr/>
        <w:t>Eksperyment 2</w:t>
      </w:r>
      <w:bookmarkEnd w:id="2"/>
    </w:p>
    <w:p>
      <w:pPr>
        <w:pStyle w:val="Normal"/>
        <w:rPr/>
      </w:pPr>
      <w:r>
        <w:rPr/>
        <w:t xml:space="preserve">Jeśli wylosuje się idealne wagi to w zasadzie model może być od razu wyuczony, </w:t>
      </w:r>
      <w:r>
        <w:rPr/>
        <w:t>w związku z tym im bliżej optimum zostaną zainicjalizowane tym mniej epok będzie wymaganych do wyuczenia modelu. Najczęściej trudne będzie oszacowanie potencjalnie optymalnych wag, dlatego należy zwężać zakres wag „o tyle, ile się da”.</w:t>
      </w:r>
    </w:p>
    <w:tbl>
      <w:tblPr>
        <w:tblStyle w:val="Tabela-Siatka"/>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0"/>
        <w:gridCol w:w="3151"/>
        <w:gridCol w:w="4245"/>
      </w:tblGrid>
      <w:tr>
        <w:trPr>
          <w:trHeight w:val="720" w:hRule="atLeast"/>
        </w:trPr>
        <w:tc>
          <w:tcPr>
            <w:tcW w:w="2340"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Zakres wag</w:t>
            </w:r>
          </w:p>
        </w:tc>
        <w:tc>
          <w:tcPr>
            <w:tcW w:w="3151" w:type="dxa"/>
            <w:tcBorders>
              <w:right w:val="nil"/>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Średnia liczba epok potrzebna do wyuczenia</w:t>
            </w:r>
          </w:p>
        </w:tc>
        <w:tc>
          <w:tcPr>
            <w:tcW w:w="4245"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Średnie wagi [x1, x2, bias]</w:t>
            </w:r>
          </w:p>
        </w:tc>
      </w:tr>
      <w:tr>
        <w:trPr>
          <w:trHeight w:val="68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-1.0 do 1.0</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10.0</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[0.2870, 0.3125, -0.4560]</w:t>
            </w:r>
          </w:p>
        </w:tc>
      </w:tr>
      <w:tr>
        <w:trPr>
          <w:trHeight w:val="72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-0.9 do 0.9</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10.6</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[0.1581, 0.1280, -0.2335]</w:t>
            </w:r>
          </w:p>
        </w:tc>
      </w:tr>
      <w:tr>
        <w:trPr>
          <w:trHeight w:val="68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-0.8 do 0.8</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10.7</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[0.1141, 0.2055, -0.2632]</w:t>
            </w:r>
          </w:p>
        </w:tc>
      </w:tr>
      <w:tr>
        <w:trPr>
          <w:trHeight w:val="68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-0.7 do 0.7</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7.8</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[0.1168, 0.1375, -0.1883]</w:t>
            </w:r>
          </w:p>
        </w:tc>
      </w:tr>
      <w:tr>
        <w:trPr>
          <w:trHeight w:val="72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-0.6 do 0.6</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8.3</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[0.1293, 0.1238, -0.2028]</w:t>
            </w:r>
          </w:p>
        </w:tc>
      </w:tr>
      <w:tr>
        <w:trPr>
          <w:trHeight w:val="68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-0.5 do 0.5</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8.1</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[0.1233, 0.1278, -0.2168]</w:t>
            </w:r>
          </w:p>
        </w:tc>
      </w:tr>
      <w:tr>
        <w:trPr>
          <w:trHeight w:val="72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-0.4 do 0.4</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6.1</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[0.0781, 0.0952, -0.1404]</w:t>
            </w:r>
          </w:p>
        </w:tc>
      </w:tr>
      <w:tr>
        <w:trPr>
          <w:trHeight w:val="72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-0.3 do 0.3</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6.0</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[0.0781, 0.0795, -0.1223]</w:t>
            </w:r>
          </w:p>
        </w:tc>
      </w:tr>
      <w:tr>
        <w:trPr>
          <w:trHeight w:val="68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-0.2 do 0.2</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5.2</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[0.0471, 0.0836, -0.1113]</w:t>
            </w:r>
          </w:p>
        </w:tc>
      </w:tr>
      <w:tr>
        <w:trPr>
          <w:trHeight w:val="680" w:hRule="atLeast"/>
        </w:trPr>
        <w:tc>
          <w:tcPr>
            <w:tcW w:w="2340"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-0.1 do 0.1</w:t>
            </w:r>
          </w:p>
        </w:tc>
        <w:tc>
          <w:tcPr>
            <w:tcW w:w="315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4.4</w:t>
            </w:r>
          </w:p>
        </w:tc>
        <w:tc>
          <w:tcPr>
            <w:tcW w:w="424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[0.0279, 0.0284, -0.0455]</w:t>
            </w:r>
          </w:p>
        </w:tc>
      </w:tr>
    </w:tbl>
    <w:p>
      <w:pPr>
        <w:pStyle w:val="Normal"/>
        <w:rPr>
          <w:rFonts w:ascii="Cambria" w:hAnsi="Cambria" w:eastAsia="宋体" w:cs="" w:asciiTheme="majorHAnsi" w:cstheme="majorBidi" w:eastAsiaTheme="majorEastAsia" w:hAnsiTheme="majorHAnsi"/>
          <w:color w:val="365F91" w:themeColor="accent1" w:themeShade="bf"/>
          <w:sz w:val="32"/>
          <w:szCs w:val="32"/>
        </w:rPr>
      </w:pPr>
      <w:r>
        <w:rPr>
          <w:rFonts w:eastAsia="宋体" w:cs="" w:cstheme="majorBidi" w:eastAsiaTheme="majorEastAsia" w:ascii="Cambria" w:hAnsi="Cambria"/>
          <w:color w:val="365F91" w:themeColor="accent1" w:themeShade="bf"/>
          <w:sz w:val="32"/>
          <w:szCs w:val="32"/>
        </w:rPr>
      </w:r>
      <w:r>
        <w:br w:type="page"/>
      </w:r>
    </w:p>
    <w:p>
      <w:pPr>
        <w:pStyle w:val="Heading2"/>
        <w:rPr/>
      </w:pPr>
      <w:bookmarkStart w:id="3" w:name="_Toc116820203"/>
      <w:r>
        <w:rPr/>
        <w:t>Eksperyment 3</w:t>
      </w:r>
      <w:bookmarkEnd w:id="3"/>
    </w:p>
    <w:p>
      <w:pPr>
        <w:pStyle w:val="Normal"/>
        <w:rPr/>
      </w:pPr>
      <w:r>
        <w:rPr/>
        <w:t xml:space="preserve">Nieważne jak duży albo jak mały współczynnik uczenia damy, model w podobnej liczbie epok będzie w stanie się wyuczyć </w:t>
      </w:r>
      <w:r>
        <w:rPr>
          <w:b/>
          <w:bCs/>
        </w:rPr>
        <w:t xml:space="preserve">(przy założeniu wykorzystania biasu!). </w:t>
      </w:r>
      <w:r>
        <w:rPr/>
        <w:t>Jeśli manualnie ustalamy próg theta to bardzo istotne jest dobranie współczynnika uczenia, ponieważ za duży może skutkować zbyt dużymi zmianami wag (co uniemożliwi modelowi osiągnięcie optymalnego rozwiązania).</w:t>
      </w:r>
    </w:p>
    <w:tbl>
      <w:tblPr>
        <w:tblStyle w:val="Tabela-Siatka"/>
        <w:tblW w:w="9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0"/>
        <w:gridCol w:w="3061"/>
        <w:gridCol w:w="3675"/>
      </w:tblGrid>
      <w:tr>
        <w:trPr>
          <w:trHeight w:val="643" w:hRule="atLeast"/>
        </w:trPr>
        <w:tc>
          <w:tcPr>
            <w:tcW w:w="2340"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Wartość współczynnika uczenia</w:t>
            </w:r>
          </w:p>
        </w:tc>
        <w:tc>
          <w:tcPr>
            <w:tcW w:w="3061" w:type="dxa"/>
            <w:tcBorders>
              <w:right w:val="nil"/>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Średnia liczba epok potrzebna do wyuczenia</w:t>
            </w:r>
          </w:p>
        </w:tc>
        <w:tc>
          <w:tcPr>
            <w:tcW w:w="3675"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Średnie wagi [x1, x2, bias]</w:t>
            </w:r>
          </w:p>
        </w:tc>
      </w:tr>
      <w:tr>
        <w:trPr>
          <w:trHeight w:val="607"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5000.0000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5.0</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[10261.7,  11323.4, -15000.0]</w:t>
            </w:r>
          </w:p>
        </w:tc>
      </w:tr>
      <w:tr>
        <w:trPr>
          <w:trHeight w:val="607" w:hRule="atLeast"/>
        </w:trPr>
        <w:tc>
          <w:tcPr>
            <w:tcW w:w="2340"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1.0000</w:t>
            </w:r>
          </w:p>
        </w:tc>
        <w:tc>
          <w:tcPr>
            <w:tcW w:w="3061" w:type="dxa"/>
            <w:tcBorders>
              <w:top w:val="nil"/>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4.9</w:t>
            </w:r>
          </w:p>
        </w:tc>
        <w:tc>
          <w:tcPr>
            <w:tcW w:w="3675"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[1.9861, 2.2482, -3.0000]</w:t>
            </w:r>
          </w:p>
        </w:tc>
      </w:tr>
      <w:tr>
        <w:trPr>
          <w:trHeight w:val="643"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0.9000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4.6</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[1.7569, 1.7883, -2.4303]</w:t>
            </w:r>
          </w:p>
        </w:tc>
      </w:tr>
      <w:tr>
        <w:trPr>
          <w:trHeight w:val="607"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0.8000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4.8</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[1.6106, 1.6991, -2.4001]</w:t>
            </w:r>
          </w:p>
        </w:tc>
      </w:tr>
      <w:tr>
        <w:trPr>
          <w:trHeight w:val="643"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0.7000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4.9</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[1.4389, 1.5441, -2.1000]</w:t>
            </w:r>
          </w:p>
        </w:tc>
      </w:tr>
      <w:tr>
        <w:trPr>
          <w:trHeight w:val="607"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0.6000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5.0</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[1.2312, 1.3587, -1.7998]</w:t>
            </w:r>
          </w:p>
        </w:tc>
      </w:tr>
      <w:tr>
        <w:trPr>
          <w:trHeight w:val="643"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0.5000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4.8</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[1.0263, 1.0691, -1.5000]</w:t>
            </w:r>
          </w:p>
        </w:tc>
      </w:tr>
      <w:tr>
        <w:trPr>
          <w:trHeight w:val="643"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0.4000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5.2</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[0.8595, 0.8770, -1.2399]</w:t>
            </w:r>
          </w:p>
        </w:tc>
      </w:tr>
      <w:tr>
        <w:trPr>
          <w:trHeight w:val="607"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0.3000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5.0</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[0.6061, 0.6781, -0.8997]</w:t>
            </w:r>
          </w:p>
        </w:tc>
      </w:tr>
      <w:tr>
        <w:trPr>
          <w:trHeight w:val="607"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0.2000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4.9</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[0.4053, 0.4526, -0.5999]</w:t>
            </w:r>
          </w:p>
        </w:tc>
      </w:tr>
      <w:tr>
        <w:trPr>
          <w:trHeight w:val="607" w:hRule="atLeast"/>
        </w:trPr>
        <w:tc>
          <w:tcPr>
            <w:tcW w:w="234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0.1000</w:t>
            </w:r>
          </w:p>
        </w:tc>
        <w:tc>
          <w:tcPr>
            <w:tcW w:w="3061"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5.0</w:t>
            </w:r>
          </w:p>
        </w:tc>
        <w:tc>
          <w:tcPr>
            <w:tcW w:w="3675"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[0.1988, 0.2256, -0.2996]</w:t>
            </w:r>
          </w:p>
        </w:tc>
      </w:tr>
      <w:tr>
        <w:trPr>
          <w:trHeight w:val="607" w:hRule="atLeast"/>
        </w:trPr>
        <w:tc>
          <w:tcPr>
            <w:tcW w:w="2340"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0.0001</w:t>
            </w:r>
          </w:p>
        </w:tc>
        <w:tc>
          <w:tcPr>
            <w:tcW w:w="3061" w:type="dxa"/>
            <w:tcBorders>
              <w:top w:val="nil"/>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3.4</w:t>
            </w:r>
          </w:p>
        </w:tc>
        <w:tc>
          <w:tcPr>
            <w:tcW w:w="3675" w:type="dxa"/>
            <w:tcBorders>
              <w:top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[0.0003, 0.0003, -0.0005]</w:t>
            </w:r>
          </w:p>
        </w:tc>
      </w:tr>
    </w:tbl>
    <w:p>
      <w:pPr>
        <w:pStyle w:val="Normal"/>
        <w:rPr>
          <w:rFonts w:ascii="Cambria" w:hAnsi="Cambria" w:eastAsia="宋体" w:cs="" w:asciiTheme="majorHAnsi" w:cstheme="majorBidi" w:eastAsiaTheme="majorEastAsia" w:hAnsiTheme="majorHAnsi"/>
          <w:color w:val="365F91" w:themeColor="accent1" w:themeShade="bf"/>
          <w:sz w:val="32"/>
          <w:szCs w:val="32"/>
        </w:rPr>
      </w:pPr>
      <w:r>
        <w:rPr>
          <w:rFonts w:eastAsia="宋体" w:cs="" w:cstheme="majorBidi" w:eastAsiaTheme="majorEastAsia" w:ascii="Cambria" w:hAnsi="Cambria"/>
          <w:color w:val="365F91" w:themeColor="accent1" w:themeShade="bf"/>
          <w:sz w:val="32"/>
          <w:szCs w:val="32"/>
        </w:rPr>
      </w:r>
      <w:r>
        <w:br w:type="page"/>
      </w:r>
    </w:p>
    <w:p>
      <w:pPr>
        <w:pStyle w:val="Heading2"/>
        <w:rPr/>
      </w:pPr>
      <w:bookmarkStart w:id="4" w:name="_Toc116820204"/>
      <w:r>
        <w:rPr/>
        <w:t>Eksperyment 4</w:t>
      </w:r>
      <w:bookmarkEnd w:id="4"/>
    </w:p>
    <w:p>
      <w:pPr>
        <w:pStyle w:val="Normal"/>
        <w:rPr/>
      </w:pPr>
      <w:r>
        <w:rPr/>
        <w:t>Lepiej sprawdza się bipolarna funkcja aktywacji, wynika to prawdopodobnie z faktu, że korekcje wag są silniejsze (zbiór wartości różnicy poprawnej odpowiedzi oraz predykcji wynosi {-2, 0, 2} dla funkcji bipolarnej natomiast {-1, 0, 1} dla funkcji unipolarnej).</w:t>
      </w:r>
    </w:p>
    <w:tbl>
      <w:tblPr>
        <w:tblStyle w:val="Tabela-Siatka"/>
        <w:tblW w:w="90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1"/>
        <w:gridCol w:w="3419"/>
        <w:gridCol w:w="3360"/>
      </w:tblGrid>
      <w:tr>
        <w:trPr>
          <w:trHeight w:val="644" w:hRule="atLeast"/>
        </w:trPr>
        <w:tc>
          <w:tcPr>
            <w:tcW w:w="2251"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Rodzaj funkcji aktywacji</w:t>
            </w:r>
          </w:p>
        </w:tc>
        <w:tc>
          <w:tcPr>
            <w:tcW w:w="3419" w:type="dxa"/>
            <w:tcBorders>
              <w:right w:val="nil"/>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Średnia liczba epok potrzebna do wyuczenia</w:t>
            </w:r>
          </w:p>
        </w:tc>
        <w:tc>
          <w:tcPr>
            <w:tcW w:w="3360" w:type="dxa"/>
            <w:tcBorders/>
            <w:shd w:color="auto" w:fill="C6D9F1" w:themeFill="text2" w:themeFillTint="33" w:val="clear"/>
            <w:vAlign w:val="center"/>
          </w:tcPr>
          <w:p>
            <w:pPr>
              <w:pStyle w:val="Normal"/>
              <w:widowControl/>
              <w:suppressAutoHyphens w:val="true"/>
              <w:spacing w:lineRule="auto" w:line="240" w:before="0" w:after="0"/>
              <w:jc w:val="center"/>
              <w:rPr>
                <w:b/>
                <w:b/>
                <w:bCs/>
              </w:rPr>
            </w:pPr>
            <w:r>
              <w:rPr>
                <w:rFonts w:eastAsia="SimSun" w:cs=""/>
                <w:b/>
                <w:bCs/>
                <w:kern w:val="0"/>
                <w:sz w:val="22"/>
                <w:szCs w:val="22"/>
                <w:lang w:val="pl-PL" w:eastAsia="zh-CN" w:bidi="ar-SA"/>
              </w:rPr>
              <w:t>Średnie wagi [x1,x2,bias]</w:t>
            </w:r>
          </w:p>
        </w:tc>
      </w:tr>
      <w:tr>
        <w:trPr>
          <w:trHeight w:val="609" w:hRule="atLeast"/>
        </w:trPr>
        <w:tc>
          <w:tcPr>
            <w:tcW w:w="2251"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unipolarna</w:t>
            </w:r>
          </w:p>
        </w:tc>
        <w:tc>
          <w:tcPr>
            <w:tcW w:w="3419"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4.2</w:t>
            </w:r>
          </w:p>
        </w:tc>
        <w:tc>
          <w:tcPr>
            <w:tcW w:w="336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[0.0199, 0.0189, -0.0289]</w:t>
            </w:r>
          </w:p>
        </w:tc>
      </w:tr>
      <w:tr>
        <w:trPr>
          <w:trHeight w:val="644" w:hRule="atLeast"/>
        </w:trPr>
        <w:tc>
          <w:tcPr>
            <w:tcW w:w="2251" w:type="dxa"/>
            <w:tcBorders/>
            <w:vAlign w:val="cente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bipolarna</w:t>
            </w:r>
          </w:p>
        </w:tc>
        <w:tc>
          <w:tcPr>
            <w:tcW w:w="3419" w:type="dxa"/>
            <w:tcBorders>
              <w:right w:val="nil"/>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3.0</w:t>
            </w:r>
          </w:p>
        </w:tc>
        <w:tc>
          <w:tcPr>
            <w:tcW w:w="3360" w:type="dxa"/>
            <w:tcBorders/>
            <w:vAlign w:val="center"/>
          </w:tcPr>
          <w:p>
            <w:pPr>
              <w:pStyle w:val="Normal"/>
              <w:widowControl/>
              <w:suppressAutoHyphens w:val="true"/>
              <w:spacing w:lineRule="auto" w:line="240" w:before="0" w:after="0"/>
              <w:jc w:val="right"/>
              <w:rPr>
                <w:rFonts w:ascii="Calibri" w:hAnsi="Calibri" w:eastAsia="SimSun"/>
              </w:rPr>
            </w:pPr>
            <w:r>
              <w:rPr>
                <w:rFonts w:eastAsia="SimSun" w:cs=""/>
                <w:kern w:val="0"/>
                <w:sz w:val="22"/>
                <w:szCs w:val="22"/>
                <w:lang w:val="pl-PL" w:eastAsia="zh-CN" w:bidi="ar-SA"/>
              </w:rPr>
              <w:t>[0.0217, 0.0190, -0.0198]</w:t>
            </w:r>
          </w:p>
        </w:tc>
      </w:tr>
    </w:tbl>
    <w:p>
      <w:pPr>
        <w:pStyle w:val="Normal"/>
        <w:rPr/>
      </w:pPr>
      <w:r>
        <w:rPr/>
      </w:r>
    </w:p>
    <w:p>
      <w:pPr>
        <w:pStyle w:val="Normal"/>
        <w:spacing w:lineRule="auto" w:line="240" w:before="0" w:after="0"/>
        <w:rPr/>
      </w:pPr>
      <w:r>
        <w:rPr/>
      </w:r>
      <w:r>
        <w:br w:type="page"/>
      </w:r>
    </w:p>
    <w:p>
      <w:pPr>
        <w:pStyle w:val="Heading1"/>
        <w:rPr/>
      </w:pPr>
      <w:bookmarkStart w:id="5" w:name="_Toc116820205"/>
      <w:r>
        <w:rPr/>
        <w:t>A</w:t>
      </w:r>
      <w:bookmarkEnd w:id="5"/>
      <w:r>
        <w:rPr/>
        <w:t>DALINE</w:t>
      </w:r>
    </w:p>
    <w:p>
      <w:pPr>
        <w:pStyle w:val="Heading2"/>
        <w:rPr/>
      </w:pPr>
      <w:bookmarkStart w:id="6" w:name="_Toc116820206"/>
      <w:r>
        <w:rPr/>
        <w:t>Eksperyment 1</w:t>
      </w:r>
      <w:bookmarkEnd w:id="6"/>
    </w:p>
    <w:p>
      <w:pPr>
        <w:pStyle w:val="Normal"/>
        <w:rPr/>
      </w:pPr>
      <w:r>
        <w:rPr/>
      </w:r>
    </w:p>
    <w:tbl>
      <w:tblPr>
        <w:tblW w:w="5000" w:type="pct"/>
        <w:jc w:val="left"/>
        <w:tblInd w:w="-5" w:type="dxa"/>
        <w:tblLayout w:type="fixed"/>
        <w:tblCellMar>
          <w:top w:w="0" w:type="dxa"/>
          <w:left w:w="108" w:type="dxa"/>
          <w:bottom w:w="0" w:type="dxa"/>
          <w:right w:w="108" w:type="dxa"/>
        </w:tblCellMar>
      </w:tblPr>
      <w:tblGrid>
        <w:gridCol w:w="2430"/>
        <w:gridCol w:w="3420"/>
        <w:gridCol w:w="3222"/>
      </w:tblGrid>
      <w:tr>
        <w:trPr/>
        <w:tc>
          <w:tcPr>
            <w:tcW w:w="2430" w:type="dxa"/>
            <w:tcBorders>
              <w:top w:val="single" w:sz="4" w:space="0" w:color="000000"/>
              <w:left w:val="single" w:sz="4" w:space="0" w:color="000000"/>
              <w:bottom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Zakres wag</w:t>
            </w:r>
          </w:p>
        </w:tc>
        <w:tc>
          <w:tcPr>
            <w:tcW w:w="3420" w:type="dxa"/>
            <w:tcBorders>
              <w:top w:val="single" w:sz="4" w:space="0" w:color="000000"/>
              <w:left w:val="single" w:sz="4" w:space="0" w:color="000000"/>
              <w:bottom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Średnia liczba epok potrzebna do wyuczenia</w:t>
            </w:r>
          </w:p>
        </w:tc>
        <w:tc>
          <w:tcPr>
            <w:tcW w:w="3222" w:type="dxa"/>
            <w:tcBorders>
              <w:top w:val="single" w:sz="4" w:space="0" w:color="000000"/>
              <w:left w:val="single" w:sz="4" w:space="0" w:color="000000"/>
              <w:bottom w:val="single" w:sz="4" w:space="0" w:color="000000"/>
              <w:right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Średnie wagi [x1,x2,bias]</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-1.0 do 1.0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3.5</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[0.4230, 0.4320, -0.5440]</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-0.9 do 0.9</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[0.3735, 0.4091, -0.5563]</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-0.8 do 0.8</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3.3</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[0.3887, 0.4096, -0.5459]</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-0.7 do 0.7</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3.2</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[0.3784, 0.4543, -0.5160]</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-0.6 do 0.6</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3.3</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[0.3583, 0.4098, -0.4789]</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-0.5 do 0.5</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[0.3739, 0.4041, -0.4546]</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-0.4 do 0.4</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2.9</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[0.3874, 0.3875, -0.4845]</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-0.3 do 0.3</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[0.3872, 0.4156, -0.4732]</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-0.2 do 0.2</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[0.3702, 0.3948, -0.4883]</w:t>
            </w:r>
          </w:p>
        </w:tc>
      </w:tr>
      <w:tr>
        <w:trPr/>
        <w:tc>
          <w:tcPr>
            <w:tcW w:w="2430" w:type="dxa"/>
            <w:tcBorders>
              <w:left w:val="single" w:sz="4" w:space="0" w:color="000000"/>
              <w:bottom w:val="single" w:sz="4" w:space="0" w:color="000000"/>
            </w:tcBorders>
            <w:tcMar>
              <w:top w:w="55" w:type="dxa"/>
              <w:left w:w="55" w:type="dxa"/>
              <w:bottom w:w="55" w:type="dxa"/>
              <w:right w:w="55" w:type="dxa"/>
            </w:tcMar>
          </w:tcPr>
          <w:p>
            <w:pPr>
              <w:pStyle w:val="Normal"/>
              <w:widowControl/>
              <w:suppressAutoHyphens w:val="true"/>
              <w:spacing w:lineRule="auto" w:line="240" w:before="0" w:after="0"/>
              <w:jc w:val="left"/>
              <w:rPr>
                <w:rFonts w:ascii="Calibri" w:hAnsi="Calibri" w:eastAsia="SimSun"/>
              </w:rPr>
            </w:pPr>
            <w:r>
              <w:rPr>
                <w:rFonts w:eastAsia="SimSun" w:cs=""/>
                <w:kern w:val="0"/>
                <w:sz w:val="22"/>
                <w:szCs w:val="22"/>
                <w:lang w:val="pl-PL" w:eastAsia="zh-CN" w:bidi="ar-SA"/>
              </w:rPr>
              <w:t>-0.1 do 0.1</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[0.3718, 0.4064, -0.4729]</w:t>
            </w:r>
          </w:p>
        </w:tc>
      </w:tr>
    </w:tbl>
    <w:p>
      <w:pPr>
        <w:pStyle w:val="Normal"/>
        <w:spacing w:lineRule="auto" w:line="240" w:before="0" w:after="0"/>
        <w:rPr/>
      </w:pPr>
      <w:r>
        <w:rPr/>
      </w:r>
      <w:r>
        <w:br w:type="page"/>
      </w:r>
    </w:p>
    <w:p>
      <w:pPr>
        <w:pStyle w:val="Heading2"/>
        <w:rPr/>
      </w:pPr>
      <w:bookmarkStart w:id="7" w:name="_Toc116820207"/>
      <w:r>
        <w:rPr/>
        <w:t>Eksperyment 2</w:t>
      </w:r>
      <w:bookmarkEnd w:id="7"/>
    </w:p>
    <w:p>
      <w:pPr>
        <w:pStyle w:val="Normal"/>
        <w:rPr/>
      </w:pPr>
      <w:r>
        <w:rPr/>
      </w:r>
    </w:p>
    <w:tbl>
      <w:tblPr>
        <w:tblW w:w="5000" w:type="pct"/>
        <w:jc w:val="left"/>
        <w:tblInd w:w="-5" w:type="dxa"/>
        <w:tblLayout w:type="fixed"/>
        <w:tblCellMar>
          <w:top w:w="0" w:type="dxa"/>
          <w:left w:w="108" w:type="dxa"/>
          <w:bottom w:w="0" w:type="dxa"/>
          <w:right w:w="108" w:type="dxa"/>
        </w:tblCellMar>
      </w:tblPr>
      <w:tblGrid>
        <w:gridCol w:w="2340"/>
        <w:gridCol w:w="3420"/>
        <w:gridCol w:w="3312"/>
      </w:tblGrid>
      <w:tr>
        <w:trPr/>
        <w:tc>
          <w:tcPr>
            <w:tcW w:w="2340" w:type="dxa"/>
            <w:tcBorders>
              <w:top w:val="single" w:sz="4" w:space="0" w:color="000000"/>
              <w:left w:val="single" w:sz="4" w:space="0" w:color="000000"/>
              <w:bottom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Współczynnik uczenia</w:t>
            </w:r>
          </w:p>
        </w:tc>
        <w:tc>
          <w:tcPr>
            <w:tcW w:w="3420" w:type="dxa"/>
            <w:tcBorders>
              <w:top w:val="single" w:sz="4" w:space="0" w:color="000000"/>
              <w:left w:val="single" w:sz="4" w:space="0" w:color="000000"/>
              <w:bottom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Średnia liczba epok potrzebna do wyuczenia</w:t>
            </w:r>
          </w:p>
        </w:tc>
        <w:tc>
          <w:tcPr>
            <w:tcW w:w="3312" w:type="dxa"/>
            <w:tcBorders>
              <w:top w:val="single" w:sz="4" w:space="0" w:color="000000"/>
              <w:left w:val="single" w:sz="4" w:space="0" w:color="000000"/>
              <w:bottom w:val="single" w:sz="4" w:space="0" w:color="000000"/>
              <w:right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Średnie wagi [x1,x2,bias]</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0.50000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NULL</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NULL</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0.30000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[0.9637, 0.9342, -1.0302]</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0.20000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[0.8721, 0.8847, -0.9160]</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0.10000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[0.7105, 0.7625, -0.7555]</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0.05000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[0.5743, 0.6346, -0.6542]</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0.02500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[0.4992, 0.5462, -0.5961]</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0.01000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[0.3696, 0.4069, -0.4785]</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0.00100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11.0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[0.2387, 0.2659, -0.3299]</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0.00010</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94.0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[0.2257, 0.2516, -0.3143]</w:t>
            </w:r>
          </w:p>
        </w:tc>
      </w:tr>
      <w:tr>
        <w:trPr/>
        <w:tc>
          <w:tcPr>
            <w:tcW w:w="23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0.00001</w:t>
            </w:r>
          </w:p>
        </w:tc>
        <w:tc>
          <w:tcPr>
            <w:tcW w:w="34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922.2</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[0.2243, 0.2499, -0.3122]</w:t>
            </w:r>
          </w:p>
        </w:tc>
      </w:tr>
    </w:tbl>
    <w:p>
      <w:pPr>
        <w:pStyle w:val="Normal"/>
        <w:spacing w:lineRule="auto" w:line="240" w:before="0" w:after="0"/>
        <w:rPr/>
      </w:pPr>
      <w:r>
        <w:rPr/>
      </w:r>
      <w:r>
        <w:br w:type="page"/>
      </w:r>
    </w:p>
    <w:p>
      <w:pPr>
        <w:pStyle w:val="Heading2"/>
        <w:rPr/>
      </w:pPr>
      <w:bookmarkStart w:id="8" w:name="_Toc116820208"/>
      <w:r>
        <w:rPr/>
        <w:t>Eksperyment 3</w:t>
      </w:r>
      <w:bookmarkEnd w:id="8"/>
    </w:p>
    <w:p>
      <w:pPr>
        <w:pStyle w:val="Normal"/>
        <w:rPr/>
      </w:pPr>
      <w:r>
        <w:rPr/>
      </w:r>
    </w:p>
    <w:tbl>
      <w:tblPr>
        <w:tblW w:w="5000" w:type="pct"/>
        <w:jc w:val="left"/>
        <w:tblInd w:w="-5" w:type="dxa"/>
        <w:tblLayout w:type="fixed"/>
        <w:tblCellMar>
          <w:top w:w="0" w:type="dxa"/>
          <w:left w:w="108" w:type="dxa"/>
          <w:bottom w:w="0" w:type="dxa"/>
          <w:right w:w="108" w:type="dxa"/>
        </w:tblCellMar>
      </w:tblPr>
      <w:tblGrid>
        <w:gridCol w:w="2520"/>
        <w:gridCol w:w="3240"/>
        <w:gridCol w:w="3312"/>
      </w:tblGrid>
      <w:tr>
        <w:trPr/>
        <w:tc>
          <w:tcPr>
            <w:tcW w:w="2520" w:type="dxa"/>
            <w:tcBorders>
              <w:top w:val="single" w:sz="4" w:space="0" w:color="000000"/>
              <w:left w:val="single" w:sz="4" w:space="0" w:color="000000"/>
              <w:bottom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Dopuszczalny błąd</w:t>
            </w:r>
          </w:p>
        </w:tc>
        <w:tc>
          <w:tcPr>
            <w:tcW w:w="3240" w:type="dxa"/>
            <w:tcBorders>
              <w:top w:val="single" w:sz="4" w:space="0" w:color="000000"/>
              <w:left w:val="single" w:sz="4" w:space="0" w:color="000000"/>
              <w:bottom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Średnia liczba epok potrzebna do wyuczenia</w:t>
            </w:r>
          </w:p>
        </w:tc>
        <w:tc>
          <w:tcPr>
            <w:tcW w:w="3312" w:type="dxa"/>
            <w:tcBorders>
              <w:top w:val="single" w:sz="4" w:space="0" w:color="000000"/>
              <w:left w:val="single" w:sz="4" w:space="0" w:color="000000"/>
              <w:bottom w:val="single" w:sz="4" w:space="0" w:color="000000"/>
              <w:right w:val="single" w:sz="4" w:space="0" w:color="000000"/>
            </w:tcBorders>
            <w:shd w:fill="C6D9F1" w:val="clear"/>
            <w:vAlign w:val="center"/>
          </w:tcPr>
          <w:p>
            <w:pPr>
              <w:pStyle w:val="TableContents"/>
              <w:spacing w:before="0" w:after="200"/>
              <w:jc w:val="center"/>
              <w:rPr>
                <w:rFonts w:ascii="Calibri" w:hAnsi="Calibri" w:eastAsia="SimSun" w:cs=""/>
                <w:b/>
                <w:b/>
                <w:bCs/>
                <w:kern w:val="0"/>
                <w:sz w:val="22"/>
                <w:szCs w:val="22"/>
                <w:lang w:val="pl-PL" w:eastAsia="zh-CN" w:bidi="ar-SA"/>
              </w:rPr>
            </w:pPr>
            <w:r>
              <w:rPr>
                <w:rFonts w:eastAsia="SimSun" w:cs=""/>
                <w:b/>
                <w:bCs/>
                <w:kern w:val="0"/>
                <w:sz w:val="22"/>
                <w:szCs w:val="22"/>
                <w:lang w:val="pl-PL" w:eastAsia="zh-CN" w:bidi="ar-SA"/>
              </w:rPr>
              <w:t>Średnie wagi [x1,x2,bias]</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1.0000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[0.2542, 0.2861, -0.3422]</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0.7500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[0.2543, 0.2862, -0.3420]</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0.5000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 xml:space="preserve">[0.3697, 0.4069, -0.4785] </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0.4500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[0.3696, 0.4068, -0.4785]</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0.4000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[0.3696, 0.4068, -0.4785]</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0.3500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[0.3696, 0.4068, -0.4785]</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0.3000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3.1</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[0.3749, 0.4120, -0.4839]</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0.2500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5.0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[0.4461, 0.4809, -0.5533]</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0.2485</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5.0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[0.4461, 0.4809, -0.5533]</w:t>
            </w:r>
          </w:p>
        </w:tc>
      </w:tr>
      <w:tr>
        <w:trPr/>
        <w:tc>
          <w:tcPr>
            <w:tcW w:w="252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0.2000</w:t>
            </w:r>
          </w:p>
        </w:tc>
        <w:tc>
          <w:tcPr>
            <w:tcW w:w="3240" w:type="dxa"/>
            <w:tcBorders>
              <w:left w:val="single" w:sz="4" w:space="0" w:color="000000"/>
              <w:bottom w:val="single" w:sz="4" w:space="0" w:color="000000"/>
            </w:tcBorders>
            <w:tcMar>
              <w:top w:w="55" w:type="dxa"/>
              <w:left w:w="55" w:type="dxa"/>
              <w:bottom w:w="55" w:type="dxa"/>
              <w:right w:w="55" w:type="dxa"/>
            </w:tcMar>
          </w:tcPr>
          <w:p>
            <w:pPr>
              <w:pStyle w:val="TableContents"/>
              <w:spacing w:before="0" w:after="200"/>
              <w:jc w:val="right"/>
              <w:rPr/>
            </w:pPr>
            <w:r>
              <w:rPr/>
              <w:t>NULL</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spacing w:before="0" w:after="200"/>
              <w:jc w:val="right"/>
              <w:rPr/>
            </w:pPr>
            <w:r>
              <w:rPr/>
              <w:t>NULL</w:t>
            </w:r>
          </w:p>
        </w:tc>
      </w:tr>
    </w:tbl>
    <w:p>
      <w:pPr>
        <w:pStyle w:val="Normal"/>
        <w:spacing w:lineRule="auto" w:line="240" w:before="0" w:after="0"/>
        <w:rPr/>
      </w:pPr>
      <w:r>
        <w:rPr/>
      </w:r>
      <w:r>
        <w:br w:type="page"/>
      </w:r>
    </w:p>
    <w:p>
      <w:pPr>
        <w:pStyle w:val="Heading2"/>
        <w:rPr/>
      </w:pPr>
      <w:bookmarkStart w:id="9" w:name="_Toc116820209"/>
      <w:r>
        <w:rPr/>
        <w:t>Eksperyment 4</w:t>
      </w:r>
      <w:bookmarkEnd w:id="9"/>
    </w:p>
    <w:p>
      <w:pPr>
        <w:pStyle w:val="Normal"/>
        <w:spacing w:before="0" w:after="200"/>
        <w:rPr/>
      </w:pPr>
      <w:r>
        <w:rPr/>
        <w:t>Wsp. uczenia dla perceptronu może być giga duży bo i tak pobudzenie jest rzutowane funkcją aktywacji. Dla ADALINE jak się da za duży wsp. uczenia to wagi mogą uciekać do +- nieskończoności bo za duża delta będzie wychodzić.</w:t>
      </w:r>
    </w:p>
    <w:sectPr>
      <w:footerReference w:type="default" r:id="rId2"/>
      <w:type w:val="nextPage"/>
      <w:pgSz w:w="11906" w:h="16838"/>
      <w:pgMar w:left="1417" w:right="1417" w:gutter="0" w:header="0"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54827765"/>
    </w:sdtPr>
    <w:sdtContent>
      <w:p>
        <w:pPr>
          <w:pStyle w:val="Footer"/>
          <w:jc w:val="center"/>
          <w:rPr/>
        </w:pPr>
        <w:r>
          <w:rPr/>
          <w:t xml:space="preserve">Strona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t xml:space="preserve"> z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11</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pl-PL"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37ee"/>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pl-PL" w:eastAsia="zh-CN" w:bidi="ar-SA"/>
    </w:rPr>
  </w:style>
  <w:style w:type="paragraph" w:styleId="Heading1">
    <w:name w:val="Heading 1"/>
    <w:basedOn w:val="Normal"/>
    <w:next w:val="Normal"/>
    <w:link w:val="Nagwek1Znak"/>
    <w:uiPriority w:val="9"/>
    <w:qFormat/>
    <w:rsid w:val="00e8536b"/>
    <w:pPr>
      <w:keepNext w:val="true"/>
      <w:keepLines/>
      <w:spacing w:before="240" w:after="0"/>
      <w:outlineLvl w:val="0"/>
    </w:pPr>
    <w:rPr>
      <w:rFonts w:ascii="Cambria" w:hAnsi="Cambria" w:eastAsia="宋体"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Nagwek2Znak"/>
    <w:uiPriority w:val="9"/>
    <w:unhideWhenUsed/>
    <w:qFormat/>
    <w:rsid w:val="00b254c6"/>
    <w:pPr>
      <w:keepNext w:val="true"/>
      <w:keepLines/>
      <w:spacing w:before="40" w:after="0"/>
      <w:outlineLvl w:val="1"/>
    </w:pPr>
    <w:rPr>
      <w:rFonts w:ascii="Cambria" w:hAnsi="Cambria" w:eastAsia="宋体"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itle"/>
    <w:uiPriority w:val="10"/>
    <w:qFormat/>
    <w:rsid w:val="00e8536b"/>
    <w:rPr>
      <w:rFonts w:ascii="Cambria" w:hAnsi="Cambria" w:eastAsia="宋体"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e8536b"/>
    <w:rPr>
      <w:color w:val="5A5A5A" w:themeColor="text1" w:themeTint="a5"/>
      <w:spacing w:val="15"/>
    </w:rPr>
  </w:style>
  <w:style w:type="character" w:styleId="Nagwek1Znak" w:customStyle="1">
    <w:name w:val="Nagłówek 1 Znak"/>
    <w:basedOn w:val="DefaultParagraphFont"/>
    <w:link w:val="Heading1"/>
    <w:uiPriority w:val="9"/>
    <w:qFormat/>
    <w:rsid w:val="00e8536b"/>
    <w:rPr>
      <w:rFonts w:ascii="Cambria" w:hAnsi="Cambria" w:eastAsia="宋体" w:cs="" w:asciiTheme="majorHAnsi" w:cstheme="majorBidi" w:eastAsiaTheme="majorEastAsia" w:hAnsiTheme="majorHAnsi"/>
      <w:color w:val="365F91" w:themeColor="accent1" w:themeShade="bf"/>
      <w:sz w:val="32"/>
      <w:szCs w:val="32"/>
    </w:rPr>
  </w:style>
  <w:style w:type="character" w:styleId="NagwekZnak" w:customStyle="1">
    <w:name w:val="Nagłówek Znak"/>
    <w:basedOn w:val="DefaultParagraphFont"/>
    <w:link w:val="Header"/>
    <w:uiPriority w:val="99"/>
    <w:qFormat/>
    <w:rsid w:val="00e8536b"/>
    <w:rPr/>
  </w:style>
  <w:style w:type="character" w:styleId="StopkaZnak" w:customStyle="1">
    <w:name w:val="Stopka Znak"/>
    <w:basedOn w:val="DefaultParagraphFont"/>
    <w:link w:val="Footer"/>
    <w:uiPriority w:val="99"/>
    <w:qFormat/>
    <w:rsid w:val="00e8536b"/>
    <w:rPr/>
  </w:style>
  <w:style w:type="character" w:styleId="InternetLink">
    <w:name w:val="Hyperlink"/>
    <w:basedOn w:val="DefaultParagraphFont"/>
    <w:uiPriority w:val="99"/>
    <w:unhideWhenUsed/>
    <w:rsid w:val="00e8536b"/>
    <w:rPr>
      <w:color w:val="0000FF" w:themeColor="hyperlink"/>
      <w:u w:val="single"/>
    </w:rPr>
  </w:style>
  <w:style w:type="character" w:styleId="IndexLink" w:customStyle="1">
    <w:name w:val="Index Link"/>
    <w:qFormat/>
    <w:rPr/>
  </w:style>
  <w:style w:type="character" w:styleId="Nagwek2Znak" w:customStyle="1">
    <w:name w:val="Nagłówek 2 Znak"/>
    <w:basedOn w:val="DefaultParagraphFont"/>
    <w:link w:val="Heading2"/>
    <w:uiPriority w:val="9"/>
    <w:qFormat/>
    <w:rsid w:val="00b254c6"/>
    <w:rPr>
      <w:rFonts w:ascii="Cambria" w:hAnsi="Cambria" w:eastAsia="宋体" w:cs="" w:asciiTheme="majorHAnsi" w:cstheme="majorBidi" w:eastAsiaTheme="majorEastAsia" w:hAnsiTheme="majorHAnsi"/>
      <w:color w:val="365F91" w:themeColor="accent1" w:themeShade="bf"/>
      <w:sz w:val="26"/>
      <w:szCs w:val="2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ytuZnak"/>
    <w:uiPriority w:val="10"/>
    <w:qFormat/>
    <w:rsid w:val="00e8536b"/>
    <w:pPr>
      <w:spacing w:lineRule="auto" w:line="240" w:before="0" w:after="0"/>
      <w:contextualSpacing/>
    </w:pPr>
    <w:rPr>
      <w:rFonts w:ascii="Cambria" w:hAnsi="Cambria" w:eastAsia="宋体"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e8536b"/>
    <w:pPr>
      <w:spacing w:before="0" w:after="160"/>
    </w:pPr>
    <w:rPr>
      <w:color w:val="5A5A5A" w:themeColor="text1" w:themeTint="a5"/>
      <w:spacing w:val="15"/>
    </w:rPr>
  </w:style>
  <w:style w:type="paragraph" w:styleId="HeaderandFooter" w:customStyle="1">
    <w:name w:val="Header and Footer"/>
    <w:basedOn w:val="Normal"/>
    <w:qFormat/>
    <w:pPr/>
    <w:rPr/>
  </w:style>
  <w:style w:type="paragraph" w:styleId="Header">
    <w:name w:val="Header"/>
    <w:basedOn w:val="Normal"/>
    <w:link w:val="NagwekZnak"/>
    <w:uiPriority w:val="99"/>
    <w:unhideWhenUsed/>
    <w:rsid w:val="00e8536b"/>
    <w:pPr>
      <w:tabs>
        <w:tab w:val="clear" w:pos="708"/>
        <w:tab w:val="center" w:pos="4536" w:leader="none"/>
        <w:tab w:val="right" w:pos="9072" w:leader="none"/>
      </w:tabs>
      <w:spacing w:lineRule="auto" w:line="240" w:before="0" w:after="0"/>
    </w:pPr>
    <w:rPr/>
  </w:style>
  <w:style w:type="paragraph" w:styleId="Footer">
    <w:name w:val="Footer"/>
    <w:basedOn w:val="Normal"/>
    <w:link w:val="StopkaZnak"/>
    <w:uiPriority w:val="99"/>
    <w:unhideWhenUsed/>
    <w:rsid w:val="00e8536b"/>
    <w:pPr>
      <w:tabs>
        <w:tab w:val="clear" w:pos="708"/>
        <w:tab w:val="center" w:pos="4536" w:leader="none"/>
        <w:tab w:val="right" w:pos="9072" w:leader="none"/>
      </w:tabs>
      <w:spacing w:lineRule="auto" w:line="240" w:before="0" w:after="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e8536b"/>
    <w:pPr>
      <w:spacing w:lineRule="auto" w:line="259"/>
      <w:outlineLvl w:val="9"/>
    </w:pPr>
    <w:rPr/>
  </w:style>
  <w:style w:type="paragraph" w:styleId="Contents1">
    <w:name w:val="TOC 1"/>
    <w:basedOn w:val="Normal"/>
    <w:next w:val="Normal"/>
    <w:autoRedefine/>
    <w:uiPriority w:val="39"/>
    <w:unhideWhenUsed/>
    <w:rsid w:val="00e8536b"/>
    <w:pPr>
      <w:spacing w:before="0" w:after="10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ntents2">
    <w:name w:val="TOC 2"/>
    <w:basedOn w:val="Normal"/>
    <w:next w:val="Normal"/>
    <w:autoRedefine/>
    <w:uiPriority w:val="39"/>
    <w:unhideWhenUsed/>
    <w:rsid w:val="00347fd5"/>
    <w:pPr>
      <w:spacing w:before="0" w:after="100"/>
      <w:ind w:left="220"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2637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7F8AA-8CC3-438D-A180-912AE3C1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LibreOffice/7.3.6.2$Linux_X86_64 LibreOffice_project/30$Build-2</Application>
  <AppVersion>15.0000</AppVersion>
  <Pages>11</Pages>
  <Words>762</Words>
  <Characters>4408</Characters>
  <CharactersWithSpaces>4920</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2022-10-09T15:23:00Z</dcterms:created>
  <dc:creator>Kajetan Pynka</dc:creator>
  <dc:description/>
  <dc:language>en-US</dc:language>
  <cp:lastModifiedBy/>
  <dcterms:modified xsi:type="dcterms:W3CDTF">2022-10-17T12:02:45Z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