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eastAsia="Aptos Display"/>
          <w:b/>
          <w:color w:val="C09B30"/>
          <w:sz w:val="28"/>
        </w:rPr>
        <w:t>BRITIUM EXPRESS</w:t>
      </w:r>
    </w:p>
    <w:p>
      <w:pPr>
        <w:spacing w:after="240"/>
        <w:jc w:val="center"/>
      </w:pPr>
      <w:r>
        <w:rPr>
          <w:rFonts w:ascii="Aptos Display" w:hAnsi="Aptos Display" w:eastAsia="Aptos Display"/>
          <w:b/>
          <w:color w:val="0A1628"/>
          <w:sz w:val="50"/>
        </w:rPr>
        <w:t>Integrated Delivery, Financial Settlement,</w:t>
        <w:br/>
        <w:t>Network Fulfillment, and Production Remediation</w:t>
      </w:r>
    </w:p>
    <w:p>
      <w:pPr>
        <w:jc w:val="center"/>
      </w:pPr>
      <w:r>
        <w:rPr>
          <w:rFonts w:ascii="Aptos" w:hAnsi="Aptos" w:eastAsia="Aptos"/>
          <w:b w:val="0"/>
          <w:color w:val="17365D"/>
          <w:sz w:val="26"/>
        </w:rPr>
        <w:t>Consolidated Developer-Ready Master Specification</w:t>
      </w:r>
    </w:p>
    <w:p>
      <w:pPr>
        <w:spacing w:before="400"/>
        <w:jc w:val="center"/>
      </w:pPr>
    </w:p>
    <w:tbl>
      <w:tblPr>
        <w:tblW w:type="pct" w:w="3900"/>
        <w:jc w:val="center"/>
        <w:tblLook w:firstColumn="1" w:firstRow="1" w:lastColumn="0" w:lastRow="0" w:noHBand="0" w:noVBand="1" w:val="04A0"/>
        <w:tblBorders>
          <w:top w:val="single" w:sz="4" w:color="D8E0E8"/>
          <w:start w:val="single" w:sz="4" w:color="D8E0E8"/>
          <w:bottom w:val="single" w:sz="4" w:color="D8E0E8"/>
          <w:end w:val="single" w:sz="4" w:color="D8E0E8"/>
          <w:insideH w:val="single" w:sz="4" w:color="D8E0E8"/>
          <w:insideV w:val="single" w:sz="4" w:color="D8E0E8"/>
        </w:tblBorders>
      </w:tblPr>
      <w:tblGrid>
        <w:gridCol w:w="5184"/>
        <w:gridCol w:w="5184"/>
      </w:tblGrid>
      <w:tr>
        <w:tc>
          <w:tcPr>
            <w:tcW w:type="dxa" w:w="5184"/>
            <w:shd w:fill="EAF0F6"/>
            <w:tcMar>
              <w:top w:w="120" w:type="dxa"/>
              <w:start w:w="130" w:type="dxa"/>
              <w:bottom w:w="120" w:type="dxa"/>
              <w:end w:w="130" w:type="dxa"/>
            </w:tcMar>
          </w:tcPr>
          <w:p>
            <w:r>
              <w:rPr>
                <w:rFonts w:ascii="Aptos" w:hAnsi="Aptos" w:eastAsia="Aptos"/>
                <w:b/>
                <w:color w:val="17365D"/>
                <w:sz w:val="18"/>
              </w:rPr>
              <w:t>Version</w:t>
            </w:r>
          </w:p>
        </w:tc>
        <w:tc>
          <w:tcPr>
            <w:tcW w:type="dxa" w:w="5184"/>
            <w:shd w:fill="FFFFFF"/>
            <w:tcMar>
              <w:top w:w="120" w:type="dxa"/>
              <w:start w:w="130" w:type="dxa"/>
              <w:bottom w:w="120" w:type="dxa"/>
              <w:end w:w="130" w:type="dxa"/>
            </w:tcMar>
          </w:tcPr>
          <w:p>
            <w:r>
              <w:rPr>
                <w:rFonts w:ascii="Aptos" w:hAnsi="Aptos" w:eastAsia="Aptos"/>
                <w:color w:val="0A1628"/>
                <w:sz w:val="18"/>
              </w:rPr>
              <w:t>BRITIUM_INTEGRATED_MASTER_V4_2026_07_31</w:t>
            </w:r>
          </w:p>
        </w:tc>
      </w:tr>
      <w:tr>
        <w:tc>
          <w:tcPr>
            <w:tcW w:type="dxa" w:w="5184"/>
            <w:shd w:fill="EAF0F6"/>
            <w:tcMar>
              <w:top w:w="120" w:type="dxa"/>
              <w:start w:w="130" w:type="dxa"/>
              <w:bottom w:w="120" w:type="dxa"/>
              <w:end w:w="130" w:type="dxa"/>
            </w:tcMar>
          </w:tcPr>
          <w:p>
            <w:r>
              <w:rPr>
                <w:rFonts w:ascii="Aptos" w:hAnsi="Aptos" w:eastAsia="Aptos"/>
                <w:b/>
                <w:color w:val="17365D"/>
                <w:sz w:val="18"/>
              </w:rPr>
              <w:t>Status</w:t>
            </w:r>
          </w:p>
        </w:tc>
        <w:tc>
          <w:tcPr>
            <w:tcW w:type="dxa" w:w="5184"/>
            <w:shd w:fill="FFFFFF"/>
            <w:tcMar>
              <w:top w:w="120" w:type="dxa"/>
              <w:start w:w="130" w:type="dxa"/>
              <w:bottom w:w="120" w:type="dxa"/>
              <w:end w:w="130" w:type="dxa"/>
            </w:tcMar>
          </w:tcPr>
          <w:p>
            <w:r>
              <w:rPr>
                <w:rFonts w:ascii="Aptos" w:hAnsi="Aptos" w:eastAsia="Aptos"/>
                <w:color w:val="0A1628"/>
                <w:sz w:val="18"/>
              </w:rPr>
              <w:t>Implementation specification</w:t>
            </w:r>
          </w:p>
        </w:tc>
      </w:tr>
      <w:tr>
        <w:tc>
          <w:tcPr>
            <w:tcW w:type="dxa" w:w="5184"/>
            <w:shd w:fill="EAF0F6"/>
            <w:tcMar>
              <w:top w:w="120" w:type="dxa"/>
              <w:start w:w="130" w:type="dxa"/>
              <w:bottom w:w="120" w:type="dxa"/>
              <w:end w:w="130" w:type="dxa"/>
            </w:tcMar>
          </w:tcPr>
          <w:p>
            <w:r>
              <w:rPr>
                <w:rFonts w:ascii="Aptos" w:hAnsi="Aptos" w:eastAsia="Aptos"/>
                <w:b/>
                <w:color w:val="17365D"/>
                <w:sz w:val="18"/>
              </w:rPr>
              <w:t>Environment</w:t>
            </w:r>
          </w:p>
        </w:tc>
        <w:tc>
          <w:tcPr>
            <w:tcW w:type="dxa" w:w="5184"/>
            <w:shd w:fill="FFFFFF"/>
            <w:tcMar>
              <w:top w:w="120" w:type="dxa"/>
              <w:start w:w="130" w:type="dxa"/>
              <w:bottom w:w="120" w:type="dxa"/>
              <w:end w:w="130" w:type="dxa"/>
            </w:tcMar>
          </w:tcPr>
          <w:p>
            <w:r>
              <w:rPr>
                <w:rFonts w:ascii="Aptos" w:hAnsi="Aptos" w:eastAsia="Aptos"/>
                <w:color w:val="0A1628"/>
                <w:sz w:val="18"/>
              </w:rPr>
              <w:t>Production</w:t>
            </w:r>
          </w:p>
        </w:tc>
      </w:tr>
      <w:tr>
        <w:tc>
          <w:tcPr>
            <w:tcW w:type="dxa" w:w="5184"/>
            <w:shd w:fill="EAF0F6"/>
            <w:tcMar>
              <w:top w:w="120" w:type="dxa"/>
              <w:start w:w="130" w:type="dxa"/>
              <w:bottom w:w="120" w:type="dxa"/>
              <w:end w:w="130" w:type="dxa"/>
            </w:tcMar>
          </w:tcPr>
          <w:p>
            <w:r>
              <w:rPr>
                <w:rFonts w:ascii="Aptos" w:hAnsi="Aptos" w:eastAsia="Aptos"/>
                <w:b/>
                <w:color w:val="17365D"/>
                <w:sz w:val="18"/>
              </w:rPr>
              <w:t>Currency</w:t>
            </w:r>
          </w:p>
        </w:tc>
        <w:tc>
          <w:tcPr>
            <w:tcW w:type="dxa" w:w="5184"/>
            <w:shd w:fill="FFFFFF"/>
            <w:tcMar>
              <w:top w:w="120" w:type="dxa"/>
              <w:start w:w="130" w:type="dxa"/>
              <w:bottom w:w="120" w:type="dxa"/>
              <w:end w:w="130" w:type="dxa"/>
            </w:tcMar>
          </w:tcPr>
          <w:p>
            <w:r>
              <w:rPr>
                <w:rFonts w:ascii="Aptos" w:hAnsi="Aptos" w:eastAsia="Aptos"/>
                <w:color w:val="0A1628"/>
                <w:sz w:val="18"/>
              </w:rPr>
              <w:t>MMK</w:t>
            </w:r>
          </w:p>
        </w:tc>
      </w:tr>
      <w:tr>
        <w:tc>
          <w:tcPr>
            <w:tcW w:type="dxa" w:w="5184"/>
            <w:shd w:fill="EAF0F6"/>
            <w:tcMar>
              <w:top w:w="120" w:type="dxa"/>
              <w:start w:w="130" w:type="dxa"/>
              <w:bottom w:w="120" w:type="dxa"/>
              <w:end w:w="130" w:type="dxa"/>
            </w:tcMar>
          </w:tcPr>
          <w:p>
            <w:r>
              <w:rPr>
                <w:rFonts w:ascii="Aptos" w:hAnsi="Aptos" w:eastAsia="Aptos"/>
                <w:b/>
                <w:color w:val="17365D"/>
                <w:sz w:val="18"/>
              </w:rPr>
              <w:t>Prepared</w:t>
            </w:r>
          </w:p>
        </w:tc>
        <w:tc>
          <w:tcPr>
            <w:tcW w:type="dxa" w:w="5184"/>
            <w:shd w:fill="FFFFFF"/>
            <w:tcMar>
              <w:top w:w="120" w:type="dxa"/>
              <w:start w:w="130" w:type="dxa"/>
              <w:bottom w:w="120" w:type="dxa"/>
              <w:end w:w="130" w:type="dxa"/>
            </w:tcMar>
          </w:tcPr>
          <w:p>
            <w:r>
              <w:rPr>
                <w:rFonts w:ascii="Aptos" w:hAnsi="Aptos" w:eastAsia="Aptos"/>
                <w:color w:val="0A1628"/>
                <w:sz w:val="18"/>
              </w:rPr>
              <w:t>31 July 2026</w:t>
            </w:r>
          </w:p>
        </w:tc>
      </w:tr>
    </w:tbl>
    <w:p>
      <w:pPr>
        <w:spacing w:before="480"/>
        <w:jc w:val="center"/>
      </w:pPr>
      <w:r>
        <w:rPr>
          <w:rFonts w:ascii="Aptos" w:hAnsi="Aptos" w:eastAsia="Aptos"/>
          <w:b/>
          <w:color w:val="B42318"/>
          <w:sz w:val="18"/>
        </w:rPr>
        <w:t>CONFIDENTIAL - INTERNAL IMPLEMENTATION USE</w:t>
      </w:r>
    </w:p>
    <w:p>
      <w:pPr>
        <w:spacing w:before="140"/>
        <w:jc w:val="center"/>
      </w:pPr>
      <w:r>
        <w:rPr>
          <w:rFonts w:ascii="Aptos" w:hAnsi="Aptos" w:eastAsia="Aptos"/>
          <w:color w:val="5A6775"/>
          <w:sz w:val="18"/>
        </w:rPr>
        <w:t>Backend-authoritative financial rules | Effective-dated contracts | Audited settlement</w:t>
      </w:r>
    </w:p>
    <w:p>
      <w:r>
        <w:br w:type="page"/>
      </w:r>
    </w:p>
    <w:p>
      <w:r>
        <w:rPr>
          <w:rFonts w:ascii="Aptos" w:hAnsi="Aptos" w:eastAsia="Aptos"/>
          <w:b w:val="0"/>
          <w:i w:val="0"/>
          <w:color w:val="0A1628"/>
          <w:sz w:val="20"/>
        </w:rPr>
      </w:r>
      <w:r>
        <w:rPr>
          <w:rFonts w:ascii="Aptos" w:hAnsi="Aptos" w:eastAsia="Aptos"/>
          <w:b/>
          <w:i w:val="0"/>
          <w:color w:val="0A1628"/>
          <w:sz w:val="20"/>
        </w:rPr>
        <w:t>Document status:</w:t>
      </w:r>
      <w:r>
        <w:rPr>
          <w:rFonts w:ascii="Aptos" w:hAnsi="Aptos" w:eastAsia="Aptos"/>
          <w:b w:val="0"/>
          <w:i w:val="0"/>
          <w:color w:val="0A1628"/>
          <w:sz w:val="20"/>
        </w:rPr>
        <w:t xml:space="preserve"> Consolidated developer-ready master specification</w:t>
      </w:r>
      <w:r>
        <w:br/>
      </w:r>
      <w:r>
        <w:rPr>
          <w:rFonts w:ascii="Aptos" w:hAnsi="Aptos" w:eastAsia="Aptos"/>
          <w:b w:val="0"/>
          <w:i w:val="0"/>
          <w:color w:val="0A1628"/>
          <w:sz w:val="20"/>
        </w:rPr>
      </w:r>
      <w:r>
        <w:rPr>
          <w:rFonts w:ascii="Aptos" w:hAnsi="Aptos" w:eastAsia="Aptos"/>
          <w:b/>
          <w:i w:val="0"/>
          <w:color w:val="0A1628"/>
          <w:sz w:val="20"/>
        </w:rPr>
        <w:t>Specification version:</w:t>
      </w:r>
      <w:r>
        <w:rPr>
          <w:rFonts w:ascii="Aptos" w:hAnsi="Aptos" w:eastAsia="Aptos"/>
          <w:b w:val="0"/>
          <w:i w:val="0"/>
          <w:color w:val="0A1628"/>
          <w:sz w:val="20"/>
        </w:rPr>
        <w:t xml:space="preserve"> </w:t>
      </w:r>
      <w:r>
        <w:rPr>
          <w:rFonts w:ascii="Consolas" w:hAnsi="Consolas" w:eastAsia="Consolas"/>
          <w:b w:val="0"/>
          <w:i w:val="0"/>
          <w:color w:val="0A1628"/>
          <w:sz w:val="17"/>
          <w:shd w:fill="EEF2F6"/>
        </w:rPr>
        <w:t>BRITIUM_INTEGRATED_MASTER_V4_2026_07_31</w:t>
      </w:r>
      <w:r>
        <w:br/>
      </w:r>
      <w:r>
        <w:rPr>
          <w:rFonts w:ascii="Aptos" w:hAnsi="Aptos" w:eastAsia="Aptos"/>
          <w:b w:val="0"/>
          <w:i w:val="0"/>
          <w:color w:val="0A1628"/>
          <w:sz w:val="20"/>
        </w:rPr>
      </w:r>
      <w:r>
        <w:rPr>
          <w:rFonts w:ascii="Aptos" w:hAnsi="Aptos" w:eastAsia="Aptos"/>
          <w:b/>
          <w:i w:val="0"/>
          <w:color w:val="0A1628"/>
          <w:sz w:val="20"/>
        </w:rPr>
        <w:t>Prepared for:</w:t>
      </w:r>
      <w:r>
        <w:rPr>
          <w:rFonts w:ascii="Aptos" w:hAnsi="Aptos" w:eastAsia="Aptos"/>
          <w:b w:val="0"/>
          <w:i w:val="0"/>
          <w:color w:val="0A1628"/>
          <w:sz w:val="20"/>
        </w:rPr>
        <w:t xml:space="preserve"> Britium Express management, Finance, Operations, Branch Offices, Business Development, Marketing, HR, Security Administration, and Software Engineering</w:t>
      </w:r>
      <w:r>
        <w:br/>
      </w:r>
      <w:r>
        <w:rPr>
          <w:rFonts w:ascii="Aptos" w:hAnsi="Aptos" w:eastAsia="Aptos"/>
          <w:b w:val="0"/>
          <w:i w:val="0"/>
          <w:color w:val="0A1628"/>
          <w:sz w:val="20"/>
        </w:rPr>
      </w:r>
      <w:r>
        <w:rPr>
          <w:rFonts w:ascii="Aptos" w:hAnsi="Aptos" w:eastAsia="Aptos"/>
          <w:b/>
          <w:i w:val="0"/>
          <w:color w:val="0A1628"/>
          <w:sz w:val="20"/>
        </w:rPr>
        <w:t>Target environment:</w:t>
      </w:r>
      <w:r>
        <w:rPr>
          <w:rFonts w:ascii="Aptos" w:hAnsi="Aptos" w:eastAsia="Aptos"/>
          <w:b w:val="0"/>
          <w:i w:val="0"/>
          <w:color w:val="0A1628"/>
          <w:sz w:val="20"/>
        </w:rPr>
        <w:t xml:space="preserve"> Production</w:t>
      </w:r>
      <w:r>
        <w:br/>
      </w:r>
      <w:r>
        <w:rPr>
          <w:rFonts w:ascii="Aptos" w:hAnsi="Aptos" w:eastAsia="Aptos"/>
          <w:b w:val="0"/>
          <w:i w:val="0"/>
          <w:color w:val="0A1628"/>
          <w:sz w:val="20"/>
        </w:rPr>
      </w:r>
      <w:r>
        <w:rPr>
          <w:rFonts w:ascii="Aptos" w:hAnsi="Aptos" w:eastAsia="Aptos"/>
          <w:b/>
          <w:i w:val="0"/>
          <w:color w:val="0A1628"/>
          <w:sz w:val="20"/>
        </w:rPr>
        <w:t>Primary technology:</w:t>
      </w:r>
      <w:r>
        <w:rPr>
          <w:rFonts w:ascii="Aptos" w:hAnsi="Aptos" w:eastAsia="Aptos"/>
          <w:b w:val="0"/>
          <w:i w:val="0"/>
          <w:color w:val="0A1628"/>
          <w:sz w:val="20"/>
        </w:rPr>
        <w:t xml:space="preserve"> React, TypeScript, Vite, React Router, Tailwind, Supabase/PostgreSQL RPCs, RLS, and trusted server-side authentication administration</w:t>
      </w:r>
      <w:r>
        <w:br/>
      </w:r>
      <w:r>
        <w:rPr>
          <w:rFonts w:ascii="Aptos" w:hAnsi="Aptos" w:eastAsia="Aptos"/>
          <w:b w:val="0"/>
          <w:i w:val="0"/>
          <w:color w:val="0A1628"/>
          <w:sz w:val="20"/>
        </w:rPr>
      </w:r>
      <w:r>
        <w:rPr>
          <w:rFonts w:ascii="Aptos" w:hAnsi="Aptos" w:eastAsia="Aptos"/>
          <w:b/>
          <w:i w:val="0"/>
          <w:color w:val="0A1628"/>
          <w:sz w:val="20"/>
        </w:rPr>
        <w:t>Currency:</w:t>
      </w:r>
      <w:r>
        <w:rPr>
          <w:rFonts w:ascii="Aptos" w:hAnsi="Aptos" w:eastAsia="Aptos"/>
          <w:b w:val="0"/>
          <w:i w:val="0"/>
          <w:color w:val="0A1628"/>
          <w:sz w:val="20"/>
        </w:rPr>
        <w:t xml:space="preserve"> Myanmar Kyat (MMK)</w:t>
      </w:r>
    </w:p>
    <w:p>
      <w:pPr>
        <w:pBdr>
          <w:bottom w:val="single" w:sz="5" w:space="3" w:color="B8C4D1"/>
        </w:pBdr>
        <w:spacing w:after="100"/>
      </w:pPr>
    </w:p>
    <w:p>
      <w:pPr>
        <w:pStyle w:val="Heading2"/>
        <w:keepNext/>
      </w:pPr>
      <w:r>
        <w:rPr>
          <w:rFonts w:ascii="Aptos" w:hAnsi="Aptos" w:eastAsia="Aptos"/>
          <w:b w:val="0"/>
          <w:i w:val="0"/>
          <w:color w:val="0A1628"/>
          <w:sz w:val="20"/>
        </w:rPr>
        <w:t>Document Control</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5184"/>
        <w:gridCol w:w="5184"/>
      </w:tblGrid>
      <w:tr>
        <w:trPr>
          <w:tblHeader w:val="true"/>
          <w:cantSplit/>
        </w:trPr>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Item</w:t>
            </w:r>
          </w:p>
        </w:tc>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Value</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Owner</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Britium Express</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Business owners</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Finance, Operations, Branch Operations, Business Development</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Technical owners</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Product Engineering, Database Engineering, Security Administration</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Effective status</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Design and implementation specification</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Supersedes</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Separate collection, settlement, branch, outsourcing, commission, and remediation drafts in this workstream</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Calculation policy</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Backend-authoritative; historical snapshots are immutable after settlement</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Approval requirement</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Finance and Operations approval for rates; Security approval for privileged access; maker-checker for payments and sensitive changes</w:t>
            </w:r>
          </w:p>
        </w:tc>
      </w:tr>
    </w:tbl>
    <w:p>
      <w:pPr>
        <w:spacing w:after="0"/>
      </w:pPr>
    </w:p>
    <w:p>
      <w:pPr>
        <w:pStyle w:val="Heading2"/>
        <w:keepNext/>
      </w:pPr>
      <w:r>
        <w:rPr>
          <w:rFonts w:ascii="Aptos" w:hAnsi="Aptos" w:eastAsia="Aptos"/>
          <w:b w:val="0"/>
          <w:i w:val="0"/>
          <w:color w:val="0A1628"/>
          <w:sz w:val="20"/>
        </w:rPr>
        <w:t>Source Basis and Governing Notes</w:t>
      </w:r>
    </w:p>
    <w:p>
      <w:r>
        <w:rPr>
          <w:rFonts w:ascii="Aptos" w:hAnsi="Aptos" w:eastAsia="Aptos"/>
          <w:b w:val="0"/>
          <w:i w:val="0"/>
          <w:color w:val="0A1628"/>
          <w:sz w:val="20"/>
        </w:rPr>
        <w:t>This document consolidates the business rules, attached templates, existing React implementation, tariff master, DK Delivery rate sheet, Royal Express quotation, and all developer-ready specifications prepared in this workstream.</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5184"/>
        <w:gridCol w:w="5184"/>
      </w:tblGrid>
      <w:tr>
        <w:trPr>
          <w:tblHeader w:val="true"/>
          <w:cantSplit/>
        </w:trPr>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Source</w:t>
            </w:r>
          </w:p>
        </w:tc>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Key use in this specification</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Current Britium tariff master</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Customer tariff, customer tiers, included weight, extra-kilogram rate, Mandalay and Naypyitaw destinations</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Updated parcel Data Entry workbook</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Field contract, customer-facing delivery amount, backend-calculated COD, settlement columns</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Existing Branch Office React page</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Current branch operations, finance-lock behavior, COD and finance views requiring replacement</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DK Delivery partnership rate sheet</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Mandalay last-mile rate bands and size/weight surcharge note</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Royal Express quotation Q-019-05-2026</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Normal rates, 15% partner discount, COD fees, monthly rebate tiers, remittance terms, route matrix</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Production source archive and issue notes</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Current-state remediation, route consolidation, security and production cleanup</w:t>
            </w:r>
          </w:p>
        </w:tc>
      </w:tr>
    </w:tbl>
    <w:p>
      <w:pPr>
        <w:spacing w:after="0"/>
      </w:pPr>
    </w:p>
    <w:p>
      <w:r>
        <w:rPr>
          <w:rFonts w:ascii="Aptos" w:hAnsi="Aptos" w:eastAsia="Aptos"/>
          <w:b w:val="0"/>
          <w:i w:val="0"/>
          <w:color w:val="0A1628"/>
          <w:sz w:val="20"/>
        </w:rPr>
      </w:r>
      <w:r>
        <w:rPr>
          <w:rFonts w:ascii="Aptos" w:hAnsi="Aptos" w:eastAsia="Aptos"/>
          <w:b/>
          <w:i w:val="0"/>
          <w:color w:val="0A1628"/>
          <w:sz w:val="20"/>
        </w:rPr>
        <w:t>Important:</w:t>
      </w:r>
      <w:r>
        <w:rPr>
          <w:rFonts w:ascii="Aptos" w:hAnsi="Aptos" w:eastAsia="Aptos"/>
          <w:b w:val="0"/>
          <w:i w:val="0"/>
          <w:color w:val="0A1628"/>
          <w:sz w:val="20"/>
        </w:rPr>
        <w:t xml:space="preserve"> Where an attached document does not define a rule clearly, this specification labels it </w:t>
      </w:r>
      <w:r>
        <w:rPr>
          <w:rFonts w:ascii="Consolas" w:hAnsi="Consolas" w:eastAsia="Consolas"/>
          <w:b w:val="0"/>
          <w:i w:val="0"/>
          <w:color w:val="0A1628"/>
          <w:sz w:val="17"/>
          <w:shd w:fill="EEF2F6"/>
        </w:rPr>
        <w:t>PENDING_BUSINESS_CONFIRMATION</w:t>
      </w:r>
      <w:r>
        <w:rPr>
          <w:rFonts w:ascii="Aptos" w:hAnsi="Aptos" w:eastAsia="Aptos"/>
          <w:b w:val="0"/>
          <w:i w:val="0"/>
          <w:color w:val="0A1628"/>
          <w:sz w:val="20"/>
        </w:rPr>
        <w:t>. The system must not guess or activate a financial rule that is not confirmed.</w:t>
      </w:r>
    </w:p>
    <w:p>
      <w:pPr>
        <w:pStyle w:val="Heading2"/>
        <w:keepNext/>
      </w:pPr>
      <w:r>
        <w:rPr>
          <w:rFonts w:ascii="Aptos" w:hAnsi="Aptos" w:eastAsia="Aptos"/>
          <w:b w:val="0"/>
          <w:i w:val="0"/>
          <w:color w:val="0A1628"/>
          <w:sz w:val="20"/>
        </w:rPr>
        <w:t>Contents</w:t>
      </w:r>
    </w:p>
    <w:p>
      <w:pPr>
        <w:pStyle w:val="ListNumber"/>
        <w:ind w:left="0"/>
      </w:pPr>
      <w:r>
        <w:rPr>
          <w:rFonts w:ascii="Aptos" w:hAnsi="Aptos" w:eastAsia="Aptos"/>
          <w:b w:val="0"/>
          <w:i w:val="0"/>
          <w:color w:val="0A1628"/>
          <w:sz w:val="20"/>
        </w:rPr>
        <w:t>Executive Scope and Non-Negotiable Principles</w:t>
      </w:r>
    </w:p>
    <w:p>
      <w:pPr>
        <w:pStyle w:val="ListNumber"/>
        <w:ind w:left="0"/>
      </w:pPr>
      <w:r>
        <w:rPr>
          <w:rFonts w:ascii="Aptos" w:hAnsi="Aptos" w:eastAsia="Aptos"/>
          <w:b w:val="0"/>
          <w:i w:val="0"/>
          <w:color w:val="0A1628"/>
          <w:sz w:val="20"/>
        </w:rPr>
        <w:t>Terminology and Financial Separation</w:t>
      </w:r>
    </w:p>
    <w:p>
      <w:pPr>
        <w:pStyle w:val="ListNumber"/>
        <w:ind w:left="0"/>
      </w:pPr>
      <w:r>
        <w:rPr>
          <w:rFonts w:ascii="Aptos" w:hAnsi="Aptos" w:eastAsia="Aptos"/>
          <w:b w:val="0"/>
          <w:i w:val="0"/>
          <w:color w:val="0A1628"/>
          <w:sz w:val="20"/>
        </w:rPr>
        <w:t>Customer Collection and Delivery-Charge Methods</w:t>
      </w:r>
    </w:p>
    <w:p>
      <w:pPr>
        <w:pStyle w:val="ListNumber"/>
        <w:ind w:left="0"/>
      </w:pPr>
      <w:r>
        <w:rPr>
          <w:rFonts w:ascii="Aptos" w:hAnsi="Aptos" w:eastAsia="Aptos"/>
          <w:b w:val="0"/>
          <w:i w:val="0"/>
          <w:color w:val="0A1628"/>
          <w:sz w:val="20"/>
        </w:rPr>
        <w:t>Financial V2 Data Entry and Backend Calculation</w:t>
      </w:r>
    </w:p>
    <w:p>
      <w:pPr>
        <w:pStyle w:val="ListNumber"/>
        <w:ind w:left="0"/>
      </w:pPr>
      <w:r>
        <w:rPr>
          <w:rFonts w:ascii="Aptos" w:hAnsi="Aptos" w:eastAsia="Aptos"/>
          <w:b w:val="0"/>
          <w:i w:val="0"/>
          <w:color w:val="0A1628"/>
          <w:sz w:val="20"/>
        </w:rPr>
        <w:t>Merchant Settlement Rules</w:t>
      </w:r>
    </w:p>
    <w:p>
      <w:pPr>
        <w:pStyle w:val="ListNumber"/>
        <w:ind w:left="0"/>
      </w:pPr>
      <w:r>
        <w:rPr>
          <w:rFonts w:ascii="Aptos" w:hAnsi="Aptos" w:eastAsia="Aptos"/>
          <w:b w:val="0"/>
          <w:i w:val="0"/>
          <w:color w:val="0A1628"/>
          <w:sz w:val="20"/>
        </w:rPr>
        <w:t>Financial Settlement Screen</w:t>
      </w:r>
    </w:p>
    <w:p>
      <w:pPr>
        <w:pStyle w:val="ListNumber"/>
        <w:ind w:left="0"/>
      </w:pPr>
      <w:r>
        <w:rPr>
          <w:rFonts w:ascii="Aptos" w:hAnsi="Aptos" w:eastAsia="Aptos"/>
          <w:b w:val="0"/>
          <w:i w:val="0"/>
          <w:color w:val="0A1628"/>
          <w:sz w:val="20"/>
        </w:rPr>
        <w:t>Merchant Referral Commission</w:t>
      </w:r>
    </w:p>
    <w:p>
      <w:pPr>
        <w:pStyle w:val="ListNumber"/>
        <w:ind w:left="0"/>
      </w:pPr>
      <w:r>
        <w:rPr>
          <w:rFonts w:ascii="Aptos" w:hAnsi="Aptos" w:eastAsia="Aptos"/>
          <w:b w:val="0"/>
          <w:i w:val="0"/>
          <w:color w:val="0A1628"/>
          <w:sz w:val="20"/>
        </w:rPr>
        <w:t>Network Fulfillment and Third-Party Outsourcing</w:t>
      </w:r>
    </w:p>
    <w:p>
      <w:pPr>
        <w:pStyle w:val="ListNumber"/>
        <w:ind w:left="0"/>
      </w:pPr>
      <w:r>
        <w:rPr>
          <w:rFonts w:ascii="Aptos" w:hAnsi="Aptos" w:eastAsia="Aptos"/>
          <w:b w:val="0"/>
          <w:i w:val="0"/>
          <w:color w:val="0A1628"/>
          <w:sz w:val="20"/>
        </w:rPr>
        <w:t>Naypyitaw Branch &lt;-&gt; Head Office Settlement</w:t>
      </w:r>
    </w:p>
    <w:p>
      <w:pPr>
        <w:pStyle w:val="ListNumber"/>
        <w:ind w:left="0"/>
      </w:pPr>
      <w:r>
        <w:rPr>
          <w:rFonts w:ascii="Aptos" w:hAnsi="Aptos" w:eastAsia="Aptos"/>
          <w:b w:val="0"/>
          <w:i w:val="0"/>
          <w:color w:val="0A1628"/>
          <w:sz w:val="20"/>
        </w:rPr>
        <w:t>Mandalay DK Delivery and Royal Express Settlement</w:t>
      </w:r>
    </w:p>
    <w:p>
      <w:pPr>
        <w:pStyle w:val="ListNumber"/>
        <w:ind w:left="0"/>
      </w:pPr>
      <w:r>
        <w:rPr>
          <w:rFonts w:ascii="Aptos" w:hAnsi="Aptos" w:eastAsia="Aptos"/>
          <w:b w:val="0"/>
          <w:i w:val="0"/>
          <w:color w:val="0A1628"/>
          <w:sz w:val="20"/>
        </w:rPr>
        <w:t>Confirmed Current-State Technical Findings</w:t>
      </w:r>
    </w:p>
    <w:p>
      <w:pPr>
        <w:pStyle w:val="ListNumber"/>
        <w:ind w:left="0"/>
      </w:pPr>
      <w:r>
        <w:rPr>
          <w:rFonts w:ascii="Aptos" w:hAnsi="Aptos" w:eastAsia="Aptos"/>
          <w:b w:val="0"/>
          <w:i w:val="0"/>
          <w:color w:val="0A1628"/>
          <w:sz w:val="20"/>
        </w:rPr>
        <w:t>Cross-Cutting Engineering Requirements</w:t>
      </w:r>
    </w:p>
    <w:p>
      <w:pPr>
        <w:pStyle w:val="ListNumber"/>
        <w:ind w:left="0"/>
      </w:pPr>
      <w:r>
        <w:rPr>
          <w:rFonts w:ascii="Aptos" w:hAnsi="Aptos" w:eastAsia="Aptos"/>
          <w:b w:val="0"/>
          <w:i w:val="0"/>
          <w:color w:val="0A1628"/>
          <w:sz w:val="20"/>
        </w:rPr>
        <w:t>Canonical Way/Pickup/Merchant Lineage</w:t>
      </w:r>
    </w:p>
    <w:p>
      <w:pPr>
        <w:pStyle w:val="ListNumber"/>
        <w:ind w:left="0"/>
      </w:pPr>
      <w:r>
        <w:rPr>
          <w:rFonts w:ascii="Aptos" w:hAnsi="Aptos" w:eastAsia="Aptos"/>
          <w:b w:val="0"/>
          <w:i w:val="0"/>
          <w:color w:val="0A1628"/>
          <w:sz w:val="20"/>
        </w:rPr>
        <w:t>Business Development Command Centre</w:t>
      </w:r>
    </w:p>
    <w:p>
      <w:pPr>
        <w:pStyle w:val="ListNumber"/>
        <w:ind w:left="0"/>
      </w:pPr>
      <w:r>
        <w:rPr>
          <w:rFonts w:ascii="Aptos" w:hAnsi="Aptos" w:eastAsia="Aptos"/>
          <w:b w:val="0"/>
          <w:i w:val="0"/>
          <w:color w:val="0A1628"/>
          <w:sz w:val="20"/>
        </w:rPr>
        <w:t>Live Marketing and Marketing Portal</w:t>
      </w:r>
    </w:p>
    <w:p>
      <w:pPr>
        <w:pStyle w:val="ListNumber"/>
        <w:ind w:left="0"/>
      </w:pPr>
      <w:r>
        <w:rPr>
          <w:rFonts w:ascii="Aptos" w:hAnsi="Aptos" w:eastAsia="Aptos"/>
          <w:b w:val="0"/>
          <w:i w:val="0"/>
          <w:color w:val="0A1628"/>
          <w:sz w:val="20"/>
        </w:rPr>
        <w:t>Mobile Operations</w:t>
      </w:r>
    </w:p>
    <w:p>
      <w:pPr>
        <w:pStyle w:val="ListNumber"/>
        <w:ind w:left="0"/>
      </w:pPr>
      <w:r>
        <w:rPr>
          <w:rFonts w:ascii="Aptos" w:hAnsi="Aptos" w:eastAsia="Aptos"/>
          <w:b w:val="0"/>
          <w:i w:val="0"/>
          <w:color w:val="0A1628"/>
          <w:sz w:val="20"/>
        </w:rPr>
        <w:t>Secured Admin and HR</w:t>
      </w:r>
    </w:p>
    <w:p>
      <w:pPr>
        <w:pStyle w:val="ListNumber"/>
        <w:ind w:left="0"/>
      </w:pPr>
      <w:r>
        <w:rPr>
          <w:rFonts w:ascii="Aptos" w:hAnsi="Aptos" w:eastAsia="Aptos"/>
          <w:b w:val="0"/>
          <w:i w:val="0"/>
          <w:color w:val="0A1628"/>
          <w:sz w:val="20"/>
        </w:rPr>
        <w:t>Accounts and Permissions</w:t>
      </w:r>
    </w:p>
    <w:p>
      <w:pPr>
        <w:pStyle w:val="ListNumber"/>
        <w:ind w:left="0"/>
      </w:pPr>
      <w:r>
        <w:rPr>
          <w:rFonts w:ascii="Aptos" w:hAnsi="Aptos" w:eastAsia="Aptos"/>
          <w:b w:val="0"/>
          <w:i w:val="0"/>
          <w:color w:val="0A1628"/>
          <w:sz w:val="20"/>
        </w:rPr>
        <w:t>Production Environment and UAT Removal</w:t>
      </w:r>
    </w:p>
    <w:p>
      <w:pPr>
        <w:pStyle w:val="ListNumber"/>
        <w:ind w:left="0"/>
      </w:pPr>
      <w:r>
        <w:rPr>
          <w:rFonts w:ascii="Aptos" w:hAnsi="Aptos" w:eastAsia="Aptos"/>
          <w:b w:val="0"/>
          <w:i w:val="0"/>
          <w:color w:val="0A1628"/>
          <w:sz w:val="20"/>
        </w:rPr>
        <w:t>Migration Sequence</w:t>
      </w:r>
    </w:p>
    <w:p>
      <w:pPr>
        <w:pStyle w:val="ListNumber"/>
        <w:ind w:left="0"/>
      </w:pPr>
      <w:r>
        <w:rPr>
          <w:rFonts w:ascii="Aptos" w:hAnsi="Aptos" w:eastAsia="Aptos"/>
          <w:b w:val="0"/>
          <w:i w:val="0"/>
          <w:color w:val="0A1628"/>
          <w:sz w:val="20"/>
        </w:rPr>
        <w:t>Testing Strategy</w:t>
      </w:r>
    </w:p>
    <w:p>
      <w:pPr>
        <w:pStyle w:val="ListNumber"/>
        <w:ind w:left="0"/>
      </w:pPr>
      <w:r>
        <w:rPr>
          <w:rFonts w:ascii="Aptos" w:hAnsi="Aptos" w:eastAsia="Aptos"/>
          <w:b w:val="0"/>
          <w:i w:val="0"/>
          <w:color w:val="0A1628"/>
          <w:sz w:val="20"/>
        </w:rPr>
        <w:t>Deployment Gates</w:t>
      </w:r>
    </w:p>
    <w:p>
      <w:pPr>
        <w:pStyle w:val="ListNumber"/>
        <w:ind w:left="0"/>
      </w:pPr>
      <w:r>
        <w:rPr>
          <w:rFonts w:ascii="Aptos" w:hAnsi="Aptos" w:eastAsia="Aptos"/>
          <w:b w:val="0"/>
          <w:i w:val="0"/>
          <w:color w:val="0A1628"/>
          <w:sz w:val="20"/>
        </w:rPr>
        <w:t>Rollback</w:t>
      </w:r>
    </w:p>
    <w:p>
      <w:pPr>
        <w:pStyle w:val="ListNumber"/>
        <w:ind w:left="0"/>
      </w:pPr>
      <w:r>
        <w:rPr>
          <w:rFonts w:ascii="Aptos" w:hAnsi="Aptos" w:eastAsia="Aptos"/>
          <w:b w:val="0"/>
          <w:i w:val="0"/>
          <w:color w:val="0A1628"/>
          <w:sz w:val="20"/>
        </w:rPr>
        <w:t>Required Inputs and Open Business Decisions</w:t>
      </w:r>
    </w:p>
    <w:p>
      <w:pPr>
        <w:pStyle w:val="ListNumber"/>
        <w:ind w:left="0"/>
      </w:pPr>
      <w:r>
        <w:rPr>
          <w:rFonts w:ascii="Aptos" w:hAnsi="Aptos" w:eastAsia="Aptos"/>
          <w:b w:val="0"/>
          <w:i w:val="0"/>
          <w:color w:val="0A1628"/>
          <w:sz w:val="20"/>
        </w:rPr>
        <w:t>Definition of Done</w:t>
      </w:r>
      <w:r>
        <w:br/>
      </w:r>
      <w:r>
        <w:rPr>
          <w:rFonts w:ascii="Aptos" w:hAnsi="Aptos" w:eastAsia="Aptos"/>
          <w:b w:val="0"/>
          <w:i w:val="0"/>
          <w:color w:val="0A1628"/>
          <w:sz w:val="20"/>
        </w:rPr>
        <w:t>Appendices: Collection catalogue, enums, examples, source excerpts, and implementation artefacts</w:t>
      </w:r>
    </w:p>
    <w:p>
      <w:pPr>
        <w:pBdr>
          <w:bottom w:val="single" w:sz="5" w:space="3" w:color="B8C4D1"/>
        </w:pBdr>
        <w:spacing w:after="100"/>
      </w:pPr>
    </w:p>
    <w:p>
      <w:pPr>
        <w:pStyle w:val="Heading1"/>
        <w:pBdr>
          <w:bottom w:val="single" w:sz="12" w:space="3" w:color="C09B30"/>
        </w:pBdr>
        <w:keepNext/>
      </w:pPr>
      <w:r>
        <w:rPr>
          <w:rFonts w:ascii="Aptos" w:hAnsi="Aptos" w:eastAsia="Aptos"/>
          <w:b w:val="0"/>
          <w:i w:val="0"/>
          <w:color w:val="0A1628"/>
          <w:sz w:val="20"/>
        </w:rPr>
        <w:t>Part I - Business and Financial Operating Model</w:t>
      </w:r>
    </w:p>
    <w:p>
      <w:pPr>
        <w:pStyle w:val="Heading2"/>
        <w:keepNext/>
      </w:pPr>
      <w:r>
        <w:rPr>
          <w:rFonts w:ascii="Aptos" w:hAnsi="Aptos" w:eastAsia="Aptos"/>
          <w:b w:val="0"/>
          <w:i w:val="0"/>
          <w:color w:val="0A1628"/>
          <w:sz w:val="20"/>
        </w:rPr>
        <w:t>1. Executive Scope and Non-Negotiable Principles</w:t>
      </w:r>
    </w:p>
    <w:p>
      <w:r>
        <w:rPr>
          <w:rFonts w:ascii="Aptos" w:hAnsi="Aptos" w:eastAsia="Aptos"/>
          <w:b w:val="0"/>
          <w:i w:val="0"/>
          <w:color w:val="0A1628"/>
          <w:sz w:val="20"/>
        </w:rPr>
        <w:t>The platform must support Britium-operated delivery, branch-operated delivery, inter-office settlement, and approved third-party outsourcing while keeping customer collection, merchant settlement, branch revenue, partner cost, COD custody, commissions, and company margin separate.</w:t>
      </w:r>
    </w:p>
    <w:p>
      <w:r>
        <w:rPr>
          <w:rFonts w:ascii="Aptos" w:hAnsi="Aptos" w:eastAsia="Aptos"/>
          <w:b w:val="0"/>
          <w:i w:val="0"/>
          <w:color w:val="0A1628"/>
          <w:sz w:val="20"/>
        </w:rPr>
        <w:t>The following principles are mandatory:</w:t>
      </w:r>
    </w:p>
    <w:p>
      <w:pPr>
        <w:pStyle w:val="ListNumber"/>
        <w:ind w:left="0"/>
      </w:pPr>
      <w:r>
        <w:rPr>
          <w:rFonts w:ascii="Aptos" w:hAnsi="Aptos" w:eastAsia="Aptos"/>
          <w:b w:val="0"/>
          <w:i w:val="0"/>
          <w:color w:val="0A1628"/>
          <w:sz w:val="20"/>
        </w:rPr>
        <w:t>The backend is the only financial source of truth.</w:t>
      </w:r>
    </w:p>
    <w:p>
      <w:pPr>
        <w:pStyle w:val="ListNumber"/>
        <w:ind w:left="0"/>
      </w:pPr>
      <w:r>
        <w:rPr>
          <w:rFonts w:ascii="Aptos" w:hAnsi="Aptos" w:eastAsia="Aptos"/>
          <w:b w:val="0"/>
          <w:i w:val="0"/>
          <w:color w:val="0A1628"/>
          <w:sz w:val="20"/>
        </w:rPr>
        <w:t>The amount written or authorized by the merchant is the customer-facing delivery collection instruction.</w:t>
      </w:r>
    </w:p>
    <w:p>
      <w:pPr>
        <w:pStyle w:val="ListNumber"/>
        <w:ind w:left="0"/>
      </w:pPr>
      <w:r>
        <w:rPr>
          <w:rFonts w:ascii="Aptos" w:hAnsi="Aptos" w:eastAsia="Aptos"/>
          <w:b w:val="0"/>
          <w:i w:val="0"/>
          <w:color w:val="0A1628"/>
          <w:sz w:val="20"/>
        </w:rPr>
        <w:t>Britium's tariff is the company revenue basis and must not overwrite the merchant-declared amount.</w:t>
      </w:r>
    </w:p>
    <w:p>
      <w:pPr>
        <w:pStyle w:val="ListNumber"/>
        <w:ind w:left="0"/>
      </w:pPr>
      <w:r>
        <w:rPr>
          <w:rFonts w:ascii="Aptos" w:hAnsi="Aptos" w:eastAsia="Aptos"/>
          <w:b w:val="0"/>
          <w:i w:val="0"/>
          <w:color w:val="0A1628"/>
          <w:sz w:val="20"/>
        </w:rPr>
        <w:t>A merchant delivery shortage is recovered from merchant settlement, not from the receiver.</w:t>
      </w:r>
    </w:p>
    <w:p>
      <w:pPr>
        <w:pStyle w:val="ListNumber"/>
        <w:ind w:left="0"/>
      </w:pPr>
      <w:r>
        <w:rPr>
          <w:rFonts w:ascii="Aptos" w:hAnsi="Aptos" w:eastAsia="Aptos"/>
          <w:b w:val="0"/>
          <w:i w:val="0"/>
          <w:color w:val="0A1628"/>
          <w:sz w:val="20"/>
        </w:rPr>
        <w:t>A merchant delivery excess is credited to the merchant.</w:t>
      </w:r>
    </w:p>
    <w:p>
      <w:pPr>
        <w:pStyle w:val="ListNumber"/>
        <w:ind w:left="0"/>
      </w:pPr>
      <w:r>
        <w:rPr>
          <w:rFonts w:ascii="Aptos" w:hAnsi="Aptos" w:eastAsia="Aptos"/>
          <w:b w:val="0"/>
          <w:i w:val="0"/>
          <w:color w:val="0A1628"/>
          <w:sz w:val="20"/>
        </w:rPr>
        <w:t>COD custody is separate from delivery revenue and partner payable.</w:t>
      </w:r>
    </w:p>
    <w:p>
      <w:pPr>
        <w:pStyle w:val="ListNumber"/>
        <w:ind w:left="0"/>
      </w:pPr>
      <w:r>
        <w:rPr>
          <w:rFonts w:ascii="Aptos" w:hAnsi="Aptos" w:eastAsia="Aptos"/>
          <w:b w:val="0"/>
          <w:i w:val="0"/>
          <w:color w:val="0A1628"/>
          <w:sz w:val="20"/>
        </w:rPr>
        <w:t>Branch settlement, merchant settlement, employee commission, and third-party settlement are separate ledgers.</w:t>
      </w:r>
    </w:p>
    <w:p>
      <w:pPr>
        <w:pStyle w:val="ListNumber"/>
        <w:ind w:left="0"/>
      </w:pPr>
      <w:r>
        <w:rPr>
          <w:rFonts w:ascii="Aptos" w:hAnsi="Aptos" w:eastAsia="Aptos"/>
          <w:b w:val="0"/>
          <w:i w:val="0"/>
          <w:color w:val="0A1628"/>
          <w:sz w:val="20"/>
        </w:rPr>
        <w:t>Every tariff, contract, calculation, assignment, and settlement must use an effective-dated snapshot.</w:t>
      </w:r>
    </w:p>
    <w:p>
      <w:pPr>
        <w:pStyle w:val="ListNumber"/>
        <w:ind w:left="0"/>
      </w:pPr>
      <w:r>
        <w:rPr>
          <w:rFonts w:ascii="Aptos" w:hAnsi="Aptos" w:eastAsia="Aptos"/>
          <w:b w:val="0"/>
          <w:i w:val="0"/>
          <w:color w:val="0A1628"/>
          <w:sz w:val="20"/>
        </w:rPr>
        <w:t>A provider tracking number never replaces the Britium Way ID.</w:t>
      </w:r>
    </w:p>
    <w:p>
      <w:pPr>
        <w:pStyle w:val="ListNumber"/>
        <w:ind w:left="0"/>
      </w:pPr>
      <w:r>
        <w:rPr>
          <w:rFonts w:ascii="Aptos" w:hAnsi="Aptos" w:eastAsia="Aptos"/>
          <w:b w:val="0"/>
          <w:i w:val="0"/>
          <w:color w:val="0A1628"/>
          <w:sz w:val="20"/>
        </w:rPr>
        <w:t>Settled or paid records are corrected through adjustment entries, never destructive edits.</w:t>
      </w:r>
    </w:p>
    <w:p>
      <w:pPr>
        <w:pStyle w:val="ListNumber"/>
        <w:ind w:left="0"/>
      </w:pPr>
      <w:r>
        <w:rPr>
          <w:rFonts w:ascii="Aptos" w:hAnsi="Aptos" w:eastAsia="Aptos"/>
          <w:b w:val="0"/>
          <w:i w:val="0"/>
          <w:color w:val="0A1628"/>
          <w:sz w:val="20"/>
        </w:rPr>
        <w:t>Missing rates, ambiguous breakdowns, missing POD, and reconciliation differences block settlement.</w:t>
      </w:r>
    </w:p>
    <w:p>
      <w:pPr>
        <w:pStyle w:val="ListNumber"/>
        <w:ind w:left="0"/>
      </w:pPr>
      <w:r>
        <w:rPr>
          <w:rFonts w:ascii="Aptos" w:hAnsi="Aptos" w:eastAsia="Aptos"/>
          <w:b w:val="0"/>
          <w:i w:val="0"/>
          <w:color w:val="0A1628"/>
          <w:sz w:val="20"/>
        </w:rPr>
        <w:t>No UI mode, browser state, spreadsheet formula, or imported calculated value can grant authority or finalize finance.</w:t>
      </w:r>
    </w:p>
    <w:p>
      <w:pPr>
        <w:pStyle w:val="Heading2"/>
        <w:keepNext/>
      </w:pPr>
      <w:r>
        <w:rPr>
          <w:rFonts w:ascii="Aptos" w:hAnsi="Aptos" w:eastAsia="Aptos"/>
          <w:b w:val="0"/>
          <w:i w:val="0"/>
          <w:color w:val="0A1628"/>
          <w:sz w:val="20"/>
        </w:rPr>
        <w:t>2. Terminology and Financial Separation</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5184"/>
        <w:gridCol w:w="5184"/>
      </w:tblGrid>
      <w:tr>
        <w:trPr>
          <w:tblHeader w:val="true"/>
          <w:cantSplit/>
        </w:trPr>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Term</w:t>
            </w:r>
          </w:p>
        </w:tc>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Definition</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delivery_way_id</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Canonical Britium parcel/Way identifier</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Consolas" w:hAnsi="Consolas" w:eastAsia="Consolas"/>
                <w:b w:val="0"/>
                <w:i w:val="0"/>
                <w:color w:val="0A1628"/>
                <w:sz w:val="17"/>
                <w:shd w:fill="EEF2F6"/>
              </w:rPr>
              <w:t>pickup_id</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Canonical parent pickup identifier</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Merchant-declared delivery</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Delivery amount written or instructed by merchant/seller for collection from receiver</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Britium net system delivery charge</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Britium tariff after weight/CBM/other approved surcharges and applicable Commitment refund</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cod_amount</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Total backend-calculated amount to collect from receiver</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Delivery difference</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Merchant-declared delivery minus Britium net system delivery charge</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Merchant final settlement</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Item value plus delivery difference and approved credits less merchant charges</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Shareable branch revenue</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Delivery revenue eligible for branch 55/45 allocation</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Partner payable</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Approved third-party service cost owed by Britium</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COD custody</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Gross customer money physically or electronically held by a branch/provider</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Fulfillment margin</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Britium recognized delivery revenue less partner/transport costs and company-owned charges/credits</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Settlement batch</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Versioned group of eligible parcel financial snapshots approved and paid together</w:t>
            </w:r>
          </w:p>
        </w:tc>
      </w:tr>
    </w:tbl>
    <w:p>
      <w:pPr>
        <w:spacing w:after="0"/>
      </w:pPr>
    </w:p>
    <w:p>
      <w:pPr>
        <w:pStyle w:val="Heading3"/>
        <w:keepNext/>
      </w:pPr>
      <w:r>
        <w:rPr>
          <w:rFonts w:ascii="Aptos" w:hAnsi="Aptos" w:eastAsia="Aptos"/>
          <w:b w:val="0"/>
          <w:i w:val="0"/>
          <w:color w:val="0A1628"/>
          <w:sz w:val="20"/>
        </w:rPr>
        <w:t>2.1 Required independent value groups</w:t>
      </w:r>
    </w:p>
    <w:p>
      <w:r>
        <w:rPr>
          <w:rFonts w:ascii="Aptos" w:hAnsi="Aptos" w:eastAsia="Aptos"/>
          <w:b w:val="0"/>
          <w:i w:val="0"/>
          <w:color w:val="0A1628"/>
          <w:sz w:val="20"/>
        </w:rPr>
        <w:t>The data model must never collapse these into one field:</w:t>
      </w:r>
    </w:p>
    <w:p>
      <w:pPr>
        <w:pStyle w:val="ListBullet"/>
        <w:ind w:left="0"/>
      </w:pPr>
      <w:r>
        <w:rPr>
          <w:rFonts w:ascii="Aptos" w:hAnsi="Aptos" w:eastAsia="Aptos"/>
          <w:b w:val="0"/>
          <w:i w:val="0"/>
          <w:color w:val="0A1628"/>
          <w:sz w:val="20"/>
        </w:rPr>
        <w:t>Customer item price.</w:t>
      </w:r>
    </w:p>
    <w:p>
      <w:pPr>
        <w:pStyle w:val="ListBullet"/>
        <w:ind w:left="0"/>
      </w:pPr>
      <w:r>
        <w:rPr>
          <w:rFonts w:ascii="Aptos" w:hAnsi="Aptos" w:eastAsia="Aptos"/>
          <w:b w:val="0"/>
          <w:i w:val="0"/>
          <w:color w:val="0A1628"/>
          <w:sz w:val="20"/>
        </w:rPr>
        <w:t>Merchant-declared delivery charge.</w:t>
      </w:r>
    </w:p>
    <w:p>
      <w:pPr>
        <w:pStyle w:val="ListBullet"/>
        <w:ind w:left="0"/>
      </w:pPr>
      <w:r>
        <w:rPr>
          <w:rFonts w:ascii="Aptos" w:hAnsi="Aptos" w:eastAsia="Aptos"/>
          <w:b w:val="0"/>
          <w:i w:val="0"/>
          <w:color w:val="0A1628"/>
          <w:sz w:val="20"/>
        </w:rPr>
        <w:t>Customer total collection.</w:t>
      </w:r>
    </w:p>
    <w:p>
      <w:pPr>
        <w:pStyle w:val="ListBullet"/>
        <w:ind w:left="0"/>
      </w:pPr>
      <w:r>
        <w:rPr>
          <w:rFonts w:ascii="Aptos" w:hAnsi="Aptos" w:eastAsia="Aptos"/>
          <w:b w:val="0"/>
          <w:i w:val="0"/>
          <w:color w:val="0A1628"/>
          <w:sz w:val="20"/>
        </w:rPr>
        <w:t>Britium base tariff.</w:t>
      </w:r>
    </w:p>
    <w:p>
      <w:pPr>
        <w:pStyle w:val="ListBullet"/>
        <w:ind w:left="0"/>
      </w:pPr>
      <w:r>
        <w:rPr>
          <w:rFonts w:ascii="Aptos" w:hAnsi="Aptos" w:eastAsia="Aptos"/>
          <w:b w:val="0"/>
          <w:i w:val="0"/>
          <w:color w:val="0A1628"/>
          <w:sz w:val="20"/>
        </w:rPr>
        <w:t>Britium surcharges and refunds.</w:t>
      </w:r>
    </w:p>
    <w:p>
      <w:pPr>
        <w:pStyle w:val="ListBullet"/>
        <w:ind w:left="0"/>
      </w:pPr>
      <w:r>
        <w:rPr>
          <w:rFonts w:ascii="Aptos" w:hAnsi="Aptos" w:eastAsia="Aptos"/>
          <w:b w:val="0"/>
          <w:i w:val="0"/>
          <w:color w:val="0A1628"/>
          <w:sz w:val="20"/>
        </w:rPr>
        <w:t>Britium net delivery revenue.</w:t>
      </w:r>
    </w:p>
    <w:p>
      <w:pPr>
        <w:pStyle w:val="ListBullet"/>
        <w:ind w:left="0"/>
      </w:pPr>
      <w:r>
        <w:rPr>
          <w:rFonts w:ascii="Aptos" w:hAnsi="Aptos" w:eastAsia="Aptos"/>
          <w:b w:val="0"/>
          <w:i w:val="0"/>
          <w:color w:val="0A1628"/>
          <w:sz w:val="20"/>
        </w:rPr>
        <w:t>Merchant delivery difference.</w:t>
      </w:r>
    </w:p>
    <w:p>
      <w:pPr>
        <w:pStyle w:val="ListBullet"/>
        <w:ind w:left="0"/>
      </w:pPr>
      <w:r>
        <w:rPr>
          <w:rFonts w:ascii="Aptos" w:hAnsi="Aptos" w:eastAsia="Aptos"/>
          <w:b w:val="0"/>
          <w:i w:val="0"/>
          <w:color w:val="0A1628"/>
          <w:sz w:val="20"/>
        </w:rPr>
        <w:t>Merchant final settlement.</w:t>
      </w:r>
    </w:p>
    <w:p>
      <w:pPr>
        <w:pStyle w:val="ListBullet"/>
        <w:ind w:left="0"/>
      </w:pPr>
      <w:r>
        <w:rPr>
          <w:rFonts w:ascii="Aptos" w:hAnsi="Aptos" w:eastAsia="Aptos"/>
          <w:b w:val="0"/>
          <w:i w:val="0"/>
          <w:color w:val="0A1628"/>
          <w:sz w:val="20"/>
        </w:rPr>
        <w:t>Branch allocated revenue and management fee.</w:t>
      </w:r>
    </w:p>
    <w:p>
      <w:pPr>
        <w:pStyle w:val="ListBullet"/>
        <w:ind w:left="0"/>
      </w:pPr>
      <w:r>
        <w:rPr>
          <w:rFonts w:ascii="Aptos" w:hAnsi="Aptos" w:eastAsia="Aptos"/>
          <w:b w:val="0"/>
          <w:i w:val="0"/>
          <w:color w:val="0A1628"/>
          <w:sz w:val="20"/>
        </w:rPr>
        <w:t>Highway transport cost.</w:t>
      </w:r>
    </w:p>
    <w:p>
      <w:pPr>
        <w:pStyle w:val="ListBullet"/>
        <w:ind w:left="0"/>
      </w:pPr>
      <w:r>
        <w:rPr>
          <w:rFonts w:ascii="Aptos" w:hAnsi="Aptos" w:eastAsia="Aptos"/>
          <w:b w:val="0"/>
          <w:i w:val="0"/>
          <w:color w:val="0A1628"/>
          <w:sz w:val="20"/>
        </w:rPr>
        <w:t>Third-party last-mile cost.</w:t>
      </w:r>
    </w:p>
    <w:p>
      <w:pPr>
        <w:pStyle w:val="ListBullet"/>
        <w:ind w:left="0"/>
      </w:pPr>
      <w:r>
        <w:rPr>
          <w:rFonts w:ascii="Aptos" w:hAnsi="Aptos" w:eastAsia="Aptos"/>
          <w:b w:val="0"/>
          <w:i w:val="0"/>
          <w:color w:val="0A1628"/>
          <w:sz w:val="20"/>
        </w:rPr>
        <w:t>Third-party COD fee.</w:t>
      </w:r>
    </w:p>
    <w:p>
      <w:pPr>
        <w:pStyle w:val="ListBullet"/>
        <w:ind w:left="0"/>
      </w:pPr>
      <w:r>
        <w:rPr>
          <w:rFonts w:ascii="Aptos" w:hAnsi="Aptos" w:eastAsia="Aptos"/>
          <w:b w:val="0"/>
          <w:i w:val="0"/>
          <w:color w:val="0A1628"/>
          <w:sz w:val="20"/>
        </w:rPr>
        <w:t>Partner discount and rebate.</w:t>
      </w:r>
    </w:p>
    <w:p>
      <w:pPr>
        <w:pStyle w:val="ListBullet"/>
        <w:ind w:left="0"/>
      </w:pPr>
      <w:r>
        <w:rPr>
          <w:rFonts w:ascii="Aptos" w:hAnsi="Aptos" w:eastAsia="Aptos"/>
          <w:b w:val="0"/>
          <w:i w:val="0"/>
          <w:color w:val="0A1628"/>
          <w:sz w:val="20"/>
        </w:rPr>
        <w:t>Employee referral commission.</w:t>
      </w:r>
    </w:p>
    <w:p>
      <w:pPr>
        <w:pStyle w:val="ListBullet"/>
        <w:ind w:left="0"/>
      </w:pPr>
      <w:r>
        <w:rPr>
          <w:rFonts w:ascii="Aptos" w:hAnsi="Aptos" w:eastAsia="Aptos"/>
          <w:b w:val="0"/>
          <w:i w:val="0"/>
          <w:color w:val="0A1628"/>
          <w:sz w:val="20"/>
        </w:rPr>
        <w:t>COD amount held, remitted, refunded, short, or over.</w:t>
      </w:r>
    </w:p>
    <w:p>
      <w:pPr>
        <w:pStyle w:val="Heading2"/>
        <w:keepNext/>
      </w:pPr>
      <w:r>
        <w:rPr>
          <w:rFonts w:ascii="Aptos" w:hAnsi="Aptos" w:eastAsia="Aptos"/>
          <w:b w:val="0"/>
          <w:i w:val="0"/>
          <w:color w:val="0A1628"/>
          <w:sz w:val="20"/>
        </w:rPr>
        <w:t>3. Customer Collection and Delivery-Charge Methods</w:t>
      </w:r>
    </w:p>
    <w:p>
      <w:pPr>
        <w:pStyle w:val="Heading3"/>
        <w:keepNext/>
      </w:pPr>
      <w:r>
        <w:rPr>
          <w:rFonts w:ascii="Aptos" w:hAnsi="Aptos" w:eastAsia="Aptos"/>
          <w:b w:val="0"/>
          <w:i w:val="0"/>
          <w:color w:val="0A1628"/>
          <w:sz w:val="20"/>
        </w:rPr>
        <w:t>3.1 Customer tiers and tariff defaults</w:t>
      </w:r>
    </w:p>
    <w:p>
      <w:r>
        <w:rPr>
          <w:rFonts w:ascii="Aptos" w:hAnsi="Aptos" w:eastAsia="Aptos"/>
          <w:b w:val="0"/>
          <w:i w:val="0"/>
          <w:color w:val="0A1628"/>
          <w:sz w:val="20"/>
        </w:rPr>
        <w:t>The current tariff rules used in this workstream are:</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2592"/>
        <w:gridCol w:w="2592"/>
        <w:gridCol w:w="2592"/>
        <w:gridCol w:w="2592"/>
      </w:tblGrid>
      <w:tr>
        <w:trPr>
          <w:tblHeader w:val="true"/>
          <w:cantSplit/>
        </w:trPr>
        <w:tc>
          <w:tcPr>
            <w:tcW w:type="dxa" w:w="2592"/>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Customer tier</w:t>
            </w:r>
          </w:p>
        </w:tc>
        <w:tc>
          <w:tcPr>
            <w:tcW w:type="dxa" w:w="2592"/>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Included weight</w:t>
            </w:r>
          </w:p>
        </w:tc>
        <w:tc>
          <w:tcPr>
            <w:tcW w:type="dxa" w:w="2592"/>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Commitment threshold</w:t>
            </w:r>
          </w:p>
        </w:tc>
        <w:tc>
          <w:tcPr>
            <w:tcW w:type="dxa" w:w="2592"/>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Per-Way refund</w:t>
            </w:r>
          </w:p>
        </w:tc>
      </w:tr>
      <w:tr>
        <w:trPr>
          <w:cantSplit/>
        </w:trPr>
        <w:tc>
          <w:tcPr>
            <w:tcW w:type="dxa" w:w="2592"/>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Standard</w:t>
            </w:r>
          </w:p>
        </w:tc>
        <w:tc>
          <w:tcPr>
            <w:tcW w:type="dxa" w:w="2592"/>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3 kg</w:t>
            </w:r>
          </w:p>
        </w:tc>
        <w:tc>
          <w:tcPr>
            <w:tcW w:type="dxa" w:w="2592"/>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Not applicable</w:t>
            </w:r>
          </w:p>
        </w:tc>
        <w:tc>
          <w:tcPr>
            <w:tcW w:type="dxa" w:w="2592"/>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0 MMK</w:t>
            </w:r>
          </w:p>
        </w:tc>
      </w:tr>
      <w:tr>
        <w:trPr>
          <w:cantSplit/>
        </w:trPr>
        <w:tc>
          <w:tcPr>
            <w:tcW w:type="dxa" w:w="2592"/>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Royal</w:t>
            </w:r>
          </w:p>
        </w:tc>
        <w:tc>
          <w:tcPr>
            <w:tcW w:type="dxa" w:w="2592"/>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5 kg</w:t>
            </w:r>
          </w:p>
        </w:tc>
        <w:tc>
          <w:tcPr>
            <w:tcW w:type="dxa" w:w="2592"/>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Not applicable</w:t>
            </w:r>
          </w:p>
        </w:tc>
        <w:tc>
          <w:tcPr>
            <w:tcW w:type="dxa" w:w="2592"/>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0 MMK</w:t>
            </w:r>
          </w:p>
        </w:tc>
      </w:tr>
      <w:tr>
        <w:trPr>
          <w:cantSplit/>
        </w:trPr>
        <w:tc>
          <w:tcPr>
            <w:tcW w:type="dxa" w:w="2592"/>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Commitment</w:t>
            </w:r>
          </w:p>
        </w:tc>
        <w:tc>
          <w:tcPr>
            <w:tcW w:type="dxa" w:w="2592"/>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5 kg</w:t>
            </w:r>
          </w:p>
        </w:tc>
        <w:tc>
          <w:tcPr>
            <w:tcW w:type="dxa" w:w="2592"/>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1,500 monthly Ways</w:t>
            </w:r>
          </w:p>
        </w:tc>
        <w:tc>
          <w:tcPr>
            <w:tcW w:type="dxa" w:w="2592"/>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500 MMK</w:t>
            </w:r>
          </w:p>
        </w:tc>
      </w:tr>
    </w:tbl>
    <w:p>
      <w:pPr>
        <w:spacing w:after="0"/>
      </w:pPr>
    </w:p>
    <w:p>
      <w:r>
        <w:rPr>
          <w:rFonts w:ascii="Aptos" w:hAnsi="Aptos" w:eastAsia="Aptos"/>
          <w:b w:val="0"/>
          <w:i w:val="0"/>
          <w:color w:val="0A1628"/>
          <w:sz w:val="20"/>
        </w:rPr>
        <w:t>The default Britium extra-weight charge is 500 MMK per chargeable kilogram unless an effective tariff row specifies otherwise.</w:t>
      </w:r>
    </w:p>
    <w:p>
      <w:pPr>
        <w:pStyle w:val="Heading3"/>
        <w:keepNext/>
      </w:pPr>
      <w:r>
        <w:rPr>
          <w:rFonts w:ascii="Aptos" w:hAnsi="Aptos" w:eastAsia="Aptos"/>
          <w:b w:val="0"/>
          <w:i w:val="0"/>
          <w:color w:val="0A1628"/>
          <w:sz w:val="20"/>
        </w:rPr>
        <w:t>3.2 Chargeable-weight formula</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chargeable_weight_kg = CEILING(actual_weight_kg)</w:t>
              <w:br/>
              <w:t>extra_kg = MAX(0, chargeable_weight_kg - included_kg)</w:t>
              <w:br/>
              <w:t>weight_surcharge = extra_kg x extra_per_kg_mmk</w:t>
            </w:r>
          </w:p>
        </w:tc>
      </w:tr>
    </w:tbl>
    <w:p>
      <w:pPr>
        <w:spacing w:after="0"/>
      </w:pPr>
    </w:p>
    <w:p>
      <w:r>
        <w:rPr>
          <w:rFonts w:ascii="Aptos" w:hAnsi="Aptos" w:eastAsia="Aptos"/>
          <w:b w:val="0"/>
          <w:i w:val="0"/>
          <w:color w:val="0A1628"/>
          <w:sz w:val="20"/>
        </w:rPr>
        <w:t>Examples:</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5184"/>
        <w:gridCol w:w="5184"/>
      </w:tblGrid>
      <w:tr>
        <w:trPr>
          <w:tblHeader w:val="true"/>
          <w:cantSplit/>
        </w:trPr>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Actual weight</w:t>
            </w:r>
          </w:p>
        </w:tc>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Chargeable weight</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1.0 kg</w:t>
            </w:r>
          </w:p>
        </w:tc>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1 kg</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1.2 kg</w:t>
            </w:r>
          </w:p>
        </w:tc>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2 kg</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3.1 kg</w:t>
            </w:r>
          </w:p>
        </w:tc>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4 kg</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4.2 kg</w:t>
            </w:r>
          </w:p>
        </w:tc>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5 kg</w:t>
            </w:r>
          </w:p>
        </w:tc>
      </w:tr>
    </w:tbl>
    <w:p>
      <w:pPr>
        <w:spacing w:after="0"/>
      </w:pPr>
    </w:p>
    <w:p>
      <w:pPr>
        <w:pStyle w:val="Heading3"/>
        <w:keepNext/>
      </w:pPr>
      <w:r>
        <w:rPr>
          <w:rFonts w:ascii="Aptos" w:hAnsi="Aptos" w:eastAsia="Aptos"/>
          <w:b w:val="0"/>
          <w:i w:val="0"/>
          <w:color w:val="0A1628"/>
          <w:sz w:val="20"/>
        </w:rPr>
        <w:t>3.3 Supported amount-entry types</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3456"/>
        <w:gridCol w:w="3456"/>
        <w:gridCol w:w="3456"/>
      </w:tblGrid>
      <w:tr>
        <w:trPr>
          <w:tblHeader w:val="true"/>
          <w:cantSplit/>
        </w:trPr>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Code</w:t>
            </w:r>
          </w:p>
        </w:tc>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Business use</w:t>
            </w:r>
          </w:p>
        </w:tc>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Customer collection formula</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ITEM_PRICE_PLUS_DECLARED_DELIVERY</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Item and delivery stated separately</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Item price + declared delivery + customer-payable additions</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Consolas" w:hAnsi="Consolas" w:eastAsia="Consolas"/>
                <w:b w:val="0"/>
                <w:i w:val="0"/>
                <w:color w:val="0A1628"/>
                <w:sz w:val="17"/>
                <w:shd w:fill="EEF2F6"/>
              </w:rPr>
              <w:t>TOTAL_AMOUNT_INCLUDING_DELIVERY</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One total stated including delivery</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Merchant-stated total</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DELIVERY_CHARGE_ONLY</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No item COD; collect delivery only</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Declared delivery + customer-payable additions</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Consolas" w:hAnsi="Consolas" w:eastAsia="Consolas"/>
                <w:b w:val="0"/>
                <w:i w:val="0"/>
                <w:color w:val="0A1628"/>
                <w:sz w:val="17"/>
                <w:shd w:fill="EEF2F6"/>
              </w:rPr>
              <w:t>EXACT_COLLECTION_AMOUNT</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Exact total with no reliable breakdown</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Merchant-stated total; settlement blocked until breakdown</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ITEM_PRICE_ONLY_DELIVERY_PAID_BY_MERCHANT</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Receiver pays item only; merchant pays delivery</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Item price + customer-payable additions</w:t>
            </w:r>
          </w:p>
        </w:tc>
      </w:tr>
    </w:tbl>
    <w:p>
      <w:pPr>
        <w:spacing w:after="0"/>
      </w:pPr>
    </w:p>
    <w:p>
      <w:pPr>
        <w:pStyle w:val="Heading3"/>
        <w:keepNext/>
      </w:pPr>
      <w:r>
        <w:rPr>
          <w:rFonts w:ascii="Aptos" w:hAnsi="Aptos" w:eastAsia="Aptos"/>
          <w:b w:val="0"/>
          <w:i w:val="0"/>
          <w:color w:val="0A1628"/>
          <w:sz w:val="20"/>
        </w:rPr>
        <w:t>3.4 Existing-field meaning</w:t>
      </w:r>
    </w:p>
    <w:p>
      <w:pPr>
        <w:pStyle w:val="ListBullet"/>
        <w:ind w:left="0"/>
      </w:pPr>
      <w:r>
        <w:rPr>
          <w:rFonts w:ascii="Consolas" w:hAnsi="Consolas" w:eastAsia="Consolas"/>
          <w:b w:val="0"/>
          <w:i w:val="0"/>
          <w:color w:val="0A1628"/>
          <w:sz w:val="17"/>
          <w:shd w:fill="EEF2F6"/>
        </w:rPr>
        <w:t>delivery_charges</w:t>
      </w:r>
      <w:r>
        <w:rPr>
          <w:rFonts w:ascii="Aptos" w:hAnsi="Aptos" w:eastAsia="Aptos"/>
          <w:b w:val="0"/>
          <w:i w:val="0"/>
          <w:color w:val="0A1628"/>
          <w:sz w:val="20"/>
        </w:rPr>
        <w:t xml:space="preserve"> must store the </w:t>
      </w:r>
      <w:r>
        <w:rPr>
          <w:rFonts w:ascii="Aptos" w:hAnsi="Aptos" w:eastAsia="Aptos"/>
          <w:b/>
          <w:i w:val="0"/>
          <w:color w:val="0A1628"/>
          <w:sz w:val="20"/>
        </w:rPr>
        <w:t>merchant-declared customer-facing delivery charge</w:t>
      </w:r>
      <w:r>
        <w:rPr>
          <w:rFonts w:ascii="Aptos" w:hAnsi="Aptos" w:eastAsia="Aptos"/>
          <w:b w:val="0"/>
          <w:i w:val="0"/>
          <w:color w:val="0A1628"/>
          <w:sz w:val="20"/>
        </w:rPr>
        <w:t>.</w:t>
      </w:r>
    </w:p>
    <w:p>
      <w:pPr>
        <w:pStyle w:val="ListBullet"/>
        <w:ind w:left="0"/>
      </w:pPr>
      <w:r>
        <w:rPr>
          <w:rFonts w:ascii="Consolas" w:hAnsi="Consolas" w:eastAsia="Consolas"/>
          <w:b w:val="0"/>
          <w:i w:val="0"/>
          <w:color w:val="0A1628"/>
          <w:sz w:val="17"/>
          <w:shd w:fill="EEF2F6"/>
        </w:rPr>
        <w:t>cod_amount</w:t>
      </w:r>
      <w:r>
        <w:rPr>
          <w:rFonts w:ascii="Aptos" w:hAnsi="Aptos" w:eastAsia="Aptos"/>
          <w:b w:val="0"/>
          <w:i w:val="0"/>
          <w:color w:val="0A1628"/>
          <w:sz w:val="20"/>
        </w:rPr>
        <w:t xml:space="preserve"> must store the </w:t>
      </w:r>
      <w:r>
        <w:rPr>
          <w:rFonts w:ascii="Aptos" w:hAnsi="Aptos" w:eastAsia="Aptos"/>
          <w:b/>
          <w:i w:val="0"/>
          <w:color w:val="0A1628"/>
          <w:sz w:val="20"/>
        </w:rPr>
        <w:t>backend-calculated total amount to collect from the receiver</w:t>
      </w:r>
      <w:r>
        <w:rPr>
          <w:rFonts w:ascii="Aptos" w:hAnsi="Aptos" w:eastAsia="Aptos"/>
          <w:b w:val="0"/>
          <w:i w:val="0"/>
          <w:color w:val="0A1628"/>
          <w:sz w:val="20"/>
        </w:rPr>
        <w:t>.</w:t>
      </w:r>
    </w:p>
    <w:p>
      <w:pPr>
        <w:pStyle w:val="ListBullet"/>
        <w:ind w:left="0"/>
      </w:pPr>
      <w:r>
        <w:rPr>
          <w:rFonts w:ascii="Consolas" w:hAnsi="Consolas" w:eastAsia="Consolas"/>
          <w:b w:val="0"/>
          <w:i w:val="0"/>
          <w:color w:val="0A1628"/>
          <w:sz w:val="17"/>
          <w:shd w:fill="EEF2F6"/>
        </w:rPr>
        <w:t>net_system_delivery_charge</w:t>
      </w:r>
      <w:r>
        <w:rPr>
          <w:rFonts w:ascii="Aptos" w:hAnsi="Aptos" w:eastAsia="Aptos"/>
          <w:b w:val="0"/>
          <w:i w:val="0"/>
          <w:color w:val="0A1628"/>
          <w:sz w:val="20"/>
        </w:rPr>
        <w:t xml:space="preserve"> must store Britium's internal delivery entitlement.</w:t>
      </w:r>
    </w:p>
    <w:p>
      <w:pPr>
        <w:pStyle w:val="ListBullet"/>
        <w:ind w:left="0"/>
      </w:pPr>
      <w:r>
        <w:rPr>
          <w:rFonts w:ascii="Aptos" w:hAnsi="Aptos" w:eastAsia="Aptos"/>
          <w:b w:val="0"/>
          <w:i w:val="0"/>
          <w:color w:val="0A1628"/>
          <w:sz w:val="20"/>
        </w:rPr>
        <w:t>These values must not overwrite one another.</w:t>
      </w:r>
    </w:p>
    <w:p>
      <w:pPr>
        <w:pStyle w:val="Heading3"/>
        <w:keepNext/>
      </w:pPr>
      <w:r>
        <w:rPr>
          <w:rFonts w:ascii="Aptos" w:hAnsi="Aptos" w:eastAsia="Aptos"/>
          <w:b w:val="0"/>
          <w:i w:val="0"/>
          <w:color w:val="0A1628"/>
          <w:sz w:val="20"/>
        </w:rPr>
        <w:t>3.5 Collection formulas</w:t>
      </w:r>
    </w:p>
    <w:p>
      <w:pPr>
        <w:pStyle w:val="Heading4"/>
        <w:keepNext/>
      </w:pPr>
      <w:r>
        <w:rPr>
          <w:rFonts w:ascii="Aptos" w:hAnsi="Aptos" w:eastAsia="Aptos"/>
          <w:b w:val="0"/>
          <w:i w:val="0"/>
          <w:color w:val="0A1628"/>
          <w:sz w:val="20"/>
        </w:rPr>
        <w:t>Item price plus declared delivery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customer_total_collection</w:t>
              <w:br/>
              <w:t>= item_price</w:t>
              <w:br/>
              <w:t>+ merchant_declared_delivery_charge</w:t>
              <w:br/>
              <w:t>+ additional_customer_charge</w:t>
            </w:r>
          </w:p>
        </w:tc>
      </w:tr>
    </w:tbl>
    <w:p>
      <w:pPr>
        <w:spacing w:after="0"/>
      </w:pPr>
    </w:p>
    <w:p>
      <w:pPr>
        <w:pStyle w:val="Heading4"/>
        <w:keepNext/>
      </w:pPr>
      <w:r>
        <w:rPr>
          <w:rFonts w:ascii="Aptos" w:hAnsi="Aptos" w:eastAsia="Aptos"/>
          <w:b w:val="0"/>
          <w:i w:val="0"/>
          <w:color w:val="0A1628"/>
          <w:sz w:val="20"/>
        </w:rPr>
        <w:t>Total amount including delivery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customer_total_collection = merchant_stated_total_amount</w:t>
              <w:br/>
              <w:br/>
              <w:t>effective_declared_delivery_charge</w:t>
              <w:br/>
              <w:t>= merchant_stated_total_amount</w:t>
              <w:br/>
              <w:t>- item_price</w:t>
              <w:br/>
              <w:t>- additional_customer_charge</w:t>
            </w:r>
          </w:p>
        </w:tc>
      </w:tr>
    </w:tbl>
    <w:p>
      <w:pPr>
        <w:spacing w:after="0"/>
      </w:pPr>
    </w:p>
    <w:p>
      <w:r>
        <w:rPr>
          <w:rFonts w:ascii="Aptos" w:hAnsi="Aptos" w:eastAsia="Aptos"/>
          <w:b w:val="0"/>
          <w:i w:val="0"/>
          <w:color w:val="0A1628"/>
          <w:sz w:val="20"/>
        </w:rPr>
        <w:t>The derived delivery component must not be negative.</w:t>
      </w:r>
    </w:p>
    <w:p>
      <w:pPr>
        <w:pStyle w:val="Heading4"/>
        <w:keepNext/>
      </w:pPr>
      <w:r>
        <w:rPr>
          <w:rFonts w:ascii="Aptos" w:hAnsi="Aptos" w:eastAsia="Aptos"/>
          <w:b w:val="0"/>
          <w:i w:val="0"/>
          <w:color w:val="0A1628"/>
          <w:sz w:val="20"/>
        </w:rPr>
        <w:t>Delivery charge only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customer_total_collection</w:t>
              <w:br/>
              <w:t>= merchant_declared_delivery_charge</w:t>
              <w:br/>
              <w:t>+ additional_customer_charge</w:t>
            </w:r>
          </w:p>
        </w:tc>
      </w:tr>
    </w:tbl>
    <w:p>
      <w:pPr>
        <w:spacing w:after="0"/>
      </w:pPr>
    </w:p>
    <w:p>
      <w:pPr>
        <w:pStyle w:val="Heading4"/>
        <w:keepNext/>
      </w:pPr>
      <w:r>
        <w:rPr>
          <w:rFonts w:ascii="Aptos" w:hAnsi="Aptos" w:eastAsia="Aptos"/>
          <w:b w:val="0"/>
          <w:i w:val="0"/>
          <w:color w:val="0A1628"/>
          <w:sz w:val="20"/>
        </w:rPr>
        <w:t>Exact collection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customer_total_collection = merchant_stated_total_amount</w:t>
              <w:br/>
              <w:t>settlement_direction = BREAKDOWN_REQUIRED</w:t>
            </w:r>
          </w:p>
        </w:tc>
      </w:tr>
    </w:tbl>
    <w:p>
      <w:pPr>
        <w:spacing w:after="0"/>
      </w:pPr>
    </w:p>
    <w:p>
      <w:pPr>
        <w:pStyle w:val="Heading4"/>
        <w:keepNext/>
      </w:pPr>
      <w:r>
        <w:rPr>
          <w:rFonts w:ascii="Aptos" w:hAnsi="Aptos" w:eastAsia="Aptos"/>
          <w:b w:val="0"/>
          <w:i w:val="0"/>
          <w:color w:val="0A1628"/>
          <w:sz w:val="20"/>
        </w:rPr>
        <w:t>Item price only; merchant pays delivery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customer_total_collection = item_price + additional_customer_charge</w:t>
              <w:br/>
              <w:t>effective_declared_delivery_charge = 0</w:t>
            </w:r>
          </w:p>
        </w:tc>
      </w:tr>
    </w:tbl>
    <w:p>
      <w:pPr>
        <w:spacing w:after="0"/>
      </w:pPr>
    </w:p>
    <w:p>
      <w:pPr>
        <w:pStyle w:val="Heading3"/>
        <w:keepNext/>
      </w:pPr>
      <w:r>
        <w:rPr>
          <w:rFonts w:ascii="Aptos" w:hAnsi="Aptos" w:eastAsia="Aptos"/>
          <w:b w:val="0"/>
          <w:i w:val="0"/>
          <w:color w:val="0A1628"/>
          <w:sz w:val="20"/>
        </w:rPr>
        <w:t>3.6 Waybill presentation</w:t>
      </w:r>
    </w:p>
    <w:p>
      <w:r>
        <w:rPr>
          <w:rFonts w:ascii="Aptos" w:hAnsi="Aptos" w:eastAsia="Aptos"/>
          <w:b w:val="0"/>
          <w:i w:val="0"/>
          <w:color w:val="0A1628"/>
          <w:sz w:val="20"/>
        </w:rPr>
        <w:t>The most prominent waybill value must be: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TOTAL TO COLLECT FROM RECEIVER: {cod_amount} MMK</w:t>
            </w:r>
          </w:p>
        </w:tc>
      </w:tr>
    </w:tbl>
    <w:p>
      <w:pPr>
        <w:spacing w:after="0"/>
      </w:pPr>
    </w:p>
    <w:p>
      <w:r>
        <w:rPr>
          <w:rFonts w:ascii="Aptos" w:hAnsi="Aptos" w:eastAsia="Aptos"/>
          <w:b w:val="0"/>
          <w:i w:val="0"/>
          <w:color w:val="0A1628"/>
          <w:sz w:val="20"/>
        </w:rPr>
        <w:t>The customer-facing waybill may show item price, declared delivery, additional customer charge, total collection, payment method, and whether delivery is included. It must not show internal tariff difference, merchant deduction/credit, branch share, partner cost, company margin, Commitment refund, or employee commission.</w:t>
      </w:r>
    </w:p>
    <w:p>
      <w:pPr>
        <w:pStyle w:val="Heading2"/>
        <w:keepNext/>
      </w:pPr>
      <w:r>
        <w:rPr>
          <w:rFonts w:ascii="Aptos" w:hAnsi="Aptos" w:eastAsia="Aptos"/>
          <w:b w:val="0"/>
          <w:i w:val="0"/>
          <w:color w:val="0A1628"/>
          <w:sz w:val="20"/>
        </w:rPr>
        <w:t>4. Financial V2 Data Entry and Backend Calculation</w:t>
      </w:r>
    </w:p>
    <w:p>
      <w:pPr>
        <w:pStyle w:val="Heading3"/>
        <w:keepNext/>
      </w:pPr>
      <w:r>
        <w:rPr>
          <w:rFonts w:ascii="Aptos" w:hAnsi="Aptos" w:eastAsia="Aptos"/>
          <w:b w:val="0"/>
          <w:i w:val="0"/>
          <w:color w:val="0A1628"/>
          <w:sz w:val="20"/>
        </w:rPr>
        <w:t>4.1 Target design</w:t>
      </w:r>
    </w:p>
    <w:p>
      <w:r>
        <w:rPr>
          <w:rFonts w:ascii="Aptos" w:hAnsi="Aptos" w:eastAsia="Aptos"/>
          <w:b w:val="0"/>
          <w:i w:val="0"/>
          <w:color w:val="0A1628"/>
          <w:sz w:val="20"/>
        </w:rPr>
        <w:t>Rebuild the production Data Entry screen around the authoritative Financial V2 contract. The frontend must not maintain a separate legacy field definition.</w:t>
      </w:r>
    </w:p>
    <w:p>
      <w:r>
        <w:rPr>
          <w:rFonts w:ascii="Aptos" w:hAnsi="Aptos" w:eastAsia="Aptos"/>
          <w:b w:val="0"/>
          <w:i w:val="0"/>
          <w:color w:val="0A1628"/>
          <w:sz w:val="20"/>
        </w:rPr>
        <w:t>Recommended page sections:</w:t>
      </w:r>
    </w:p>
    <w:p>
      <w:pPr>
        <w:pStyle w:val="ListNumber"/>
        <w:ind w:left="0"/>
      </w:pPr>
      <w:r>
        <w:rPr>
          <w:rFonts w:ascii="Aptos" w:hAnsi="Aptos" w:eastAsia="Aptos"/>
          <w:b w:val="0"/>
          <w:i w:val="0"/>
          <w:color w:val="0A1628"/>
          <w:sz w:val="20"/>
        </w:rPr>
        <w:t>Parcel Identity</w:t>
      </w:r>
    </w:p>
    <w:p>
      <w:pPr>
        <w:pStyle w:val="ListNumber"/>
        <w:ind w:left="0"/>
      </w:pPr>
      <w:r>
        <w:rPr>
          <w:rFonts w:ascii="Aptos" w:hAnsi="Aptos" w:eastAsia="Aptos"/>
          <w:b w:val="0"/>
          <w:i w:val="0"/>
          <w:color w:val="0A1628"/>
          <w:sz w:val="20"/>
        </w:rPr>
        <w:t>Recipient &amp; Address</w:t>
      </w:r>
    </w:p>
    <w:p>
      <w:pPr>
        <w:pStyle w:val="ListNumber"/>
        <w:ind w:left="0"/>
      </w:pPr>
      <w:r>
        <w:rPr>
          <w:rFonts w:ascii="Aptos" w:hAnsi="Aptos" w:eastAsia="Aptos"/>
          <w:b w:val="0"/>
          <w:i w:val="0"/>
          <w:color w:val="0A1628"/>
          <w:sz w:val="20"/>
        </w:rPr>
        <w:t>Collection Instructions</w:t>
      </w:r>
    </w:p>
    <w:p>
      <w:pPr>
        <w:pStyle w:val="ListNumber"/>
        <w:ind w:left="0"/>
      </w:pPr>
      <w:r>
        <w:rPr>
          <w:rFonts w:ascii="Aptos" w:hAnsi="Aptos" w:eastAsia="Aptos"/>
          <w:b w:val="0"/>
          <w:i w:val="0"/>
          <w:color w:val="0A1628"/>
          <w:sz w:val="20"/>
        </w:rPr>
        <w:t>Weight &amp; Tariff</w:t>
      </w:r>
    </w:p>
    <w:p>
      <w:pPr>
        <w:pStyle w:val="ListNumber"/>
        <w:ind w:left="0"/>
      </w:pPr>
      <w:r>
        <w:rPr>
          <w:rFonts w:ascii="Aptos" w:hAnsi="Aptos" w:eastAsia="Aptos"/>
          <w:b w:val="0"/>
          <w:i w:val="0"/>
          <w:color w:val="0A1628"/>
          <w:sz w:val="20"/>
        </w:rPr>
        <w:t>Merchant Settlement</w:t>
      </w:r>
    </w:p>
    <w:p>
      <w:pPr>
        <w:pStyle w:val="ListNumber"/>
        <w:ind w:left="0"/>
      </w:pPr>
      <w:r>
        <w:rPr>
          <w:rFonts w:ascii="Aptos" w:hAnsi="Aptos" w:eastAsia="Aptos"/>
          <w:b w:val="0"/>
          <w:i w:val="0"/>
          <w:color w:val="0A1628"/>
          <w:sz w:val="20"/>
        </w:rPr>
        <w:t>Validation</w:t>
      </w:r>
    </w:p>
    <w:p>
      <w:pPr>
        <w:pStyle w:val="ListNumber"/>
        <w:ind w:left="0"/>
      </w:pPr>
      <w:r>
        <w:rPr>
          <w:rFonts w:ascii="Aptos" w:hAnsi="Aptos" w:eastAsia="Aptos"/>
          <w:b w:val="0"/>
          <w:i w:val="0"/>
          <w:color w:val="0A1628"/>
          <w:sz w:val="20"/>
        </w:rPr>
        <w:t>Photo Evidence</w:t>
      </w:r>
    </w:p>
    <w:p>
      <w:pPr>
        <w:pStyle w:val="ListNumber"/>
        <w:ind w:left="0"/>
      </w:pPr>
      <w:r>
        <w:rPr>
          <w:rFonts w:ascii="Aptos" w:hAnsi="Aptos" w:eastAsia="Aptos"/>
          <w:b w:val="0"/>
          <w:i w:val="0"/>
          <w:color w:val="0A1628"/>
          <w:sz w:val="20"/>
        </w:rPr>
        <w:t>Audit Information</w:t>
      </w:r>
    </w:p>
    <w:p>
      <w:pPr>
        <w:pStyle w:val="Heading3"/>
        <w:keepNext/>
      </w:pPr>
      <w:r>
        <w:rPr>
          <w:rFonts w:ascii="Aptos" w:hAnsi="Aptos" w:eastAsia="Aptos"/>
          <w:b w:val="0"/>
          <w:i w:val="0"/>
          <w:color w:val="0A1628"/>
          <w:sz w:val="20"/>
        </w:rPr>
        <w:t>4.2 Field ownership</w:t>
      </w:r>
    </w:p>
    <w:p>
      <w:pPr>
        <w:pStyle w:val="Heading4"/>
        <w:keepNext/>
      </w:pPr>
      <w:r>
        <w:rPr>
          <w:rFonts w:ascii="Aptos" w:hAnsi="Aptos" w:eastAsia="Aptos"/>
          <w:b w:val="0"/>
          <w:i w:val="0"/>
          <w:color w:val="0A1628"/>
          <w:sz w:val="20"/>
        </w:rPr>
        <w:t>Editable operational inputs</w:t>
      </w:r>
    </w:p>
    <w:p>
      <w:pPr>
        <w:pStyle w:val="ListBullet"/>
        <w:ind w:left="0"/>
      </w:pPr>
      <w:r>
        <w:rPr>
          <w:rFonts w:ascii="Aptos" w:hAnsi="Aptos" w:eastAsia="Aptos"/>
          <w:b w:val="0"/>
          <w:i w:val="0"/>
          <w:color w:val="0A1628"/>
          <w:sz w:val="20"/>
        </w:rPr>
        <w:t>Customer and merchant identity selection.</w:t>
      </w:r>
    </w:p>
    <w:p>
      <w:pPr>
        <w:pStyle w:val="ListBullet"/>
        <w:ind w:left="0"/>
      </w:pPr>
      <w:r>
        <w:rPr>
          <w:rFonts w:ascii="Aptos" w:hAnsi="Aptos" w:eastAsia="Aptos"/>
          <w:b w:val="0"/>
          <w:i w:val="0"/>
          <w:color w:val="0A1628"/>
          <w:sz w:val="20"/>
        </w:rPr>
        <w:t>Status and environment, when permitted.</w:t>
      </w:r>
    </w:p>
    <w:p>
      <w:pPr>
        <w:pStyle w:val="ListBullet"/>
        <w:ind w:left="0"/>
      </w:pPr>
      <w:r>
        <w:rPr>
          <w:rFonts w:ascii="Aptos" w:hAnsi="Aptos" w:eastAsia="Aptos"/>
          <w:b w:val="0"/>
          <w:i w:val="0"/>
          <w:color w:val="0A1628"/>
          <w:sz w:val="20"/>
        </w:rPr>
        <w:t>Recipient name and phone.</w:t>
      </w:r>
    </w:p>
    <w:p>
      <w:pPr>
        <w:pStyle w:val="ListBullet"/>
        <w:ind w:left="0"/>
      </w:pPr>
      <w:r>
        <w:rPr>
          <w:rFonts w:ascii="Aptos" w:hAnsi="Aptos" w:eastAsia="Aptos"/>
          <w:b w:val="0"/>
          <w:i w:val="0"/>
          <w:color w:val="0A1628"/>
          <w:sz w:val="20"/>
        </w:rPr>
        <w:t>Township and complete delivery address.</w:t>
      </w:r>
    </w:p>
    <w:p>
      <w:pPr>
        <w:pStyle w:val="ListBullet"/>
        <w:ind w:left="0"/>
      </w:pPr>
      <w:r>
        <w:rPr>
          <w:rFonts w:ascii="Aptos" w:hAnsi="Aptos" w:eastAsia="Aptos"/>
          <w:b w:val="0"/>
          <w:i w:val="0"/>
          <w:color w:val="0A1628"/>
          <w:sz w:val="20"/>
        </w:rPr>
        <w:t>Item price.</w:t>
      </w:r>
    </w:p>
    <w:p>
      <w:pPr>
        <w:pStyle w:val="ListBullet"/>
        <w:ind w:left="0"/>
      </w:pPr>
      <w:r>
        <w:rPr>
          <w:rFonts w:ascii="Aptos" w:hAnsi="Aptos" w:eastAsia="Aptos"/>
          <w:b w:val="0"/>
          <w:i w:val="0"/>
          <w:color w:val="0A1628"/>
          <w:sz w:val="20"/>
        </w:rPr>
        <w:t>Merchant-declared delivery charge.</w:t>
      </w:r>
    </w:p>
    <w:p>
      <w:pPr>
        <w:pStyle w:val="ListBullet"/>
        <w:ind w:left="0"/>
      </w:pPr>
      <w:r>
        <w:rPr>
          <w:rFonts w:ascii="Aptos" w:hAnsi="Aptos" w:eastAsia="Aptos"/>
          <w:b w:val="0"/>
          <w:i w:val="0"/>
          <w:color w:val="0A1628"/>
          <w:sz w:val="20"/>
        </w:rPr>
        <w:t>Weight.</w:t>
      </w:r>
    </w:p>
    <w:p>
      <w:pPr>
        <w:pStyle w:val="ListBullet"/>
        <w:ind w:left="0"/>
      </w:pPr>
      <w:r>
        <w:rPr>
          <w:rFonts w:ascii="Aptos" w:hAnsi="Aptos" w:eastAsia="Aptos"/>
          <w:b w:val="0"/>
          <w:i w:val="0"/>
          <w:color w:val="0A1628"/>
          <w:sz w:val="20"/>
        </w:rPr>
        <w:t>Amount-entry type.</w:t>
      </w:r>
    </w:p>
    <w:p>
      <w:pPr>
        <w:pStyle w:val="ListBullet"/>
        <w:ind w:left="0"/>
      </w:pPr>
      <w:r>
        <w:rPr>
          <w:rFonts w:ascii="Aptos" w:hAnsi="Aptos" w:eastAsia="Aptos"/>
          <w:b w:val="0"/>
          <w:i w:val="0"/>
          <w:color w:val="0A1628"/>
          <w:sz w:val="20"/>
        </w:rPr>
        <w:t>Merchant-stated total amount.</w:t>
      </w:r>
    </w:p>
    <w:p>
      <w:pPr>
        <w:pStyle w:val="ListBullet"/>
        <w:ind w:left="0"/>
      </w:pPr>
      <w:r>
        <w:rPr>
          <w:rFonts w:ascii="Aptos" w:hAnsi="Aptos" w:eastAsia="Aptos"/>
          <w:b w:val="0"/>
          <w:i w:val="0"/>
          <w:color w:val="0A1628"/>
          <w:sz w:val="20"/>
        </w:rPr>
        <w:t>Additional customer charge.</w:t>
      </w:r>
    </w:p>
    <w:p>
      <w:pPr>
        <w:pStyle w:val="ListBullet"/>
        <w:ind w:left="0"/>
      </w:pPr>
      <w:r>
        <w:rPr>
          <w:rFonts w:ascii="Aptos" w:hAnsi="Aptos" w:eastAsia="Aptos"/>
          <w:b w:val="0"/>
          <w:i w:val="0"/>
          <w:color w:val="0A1628"/>
          <w:sz w:val="20"/>
        </w:rPr>
        <w:t>CBM surcharge.</w:t>
      </w:r>
    </w:p>
    <w:p>
      <w:pPr>
        <w:pStyle w:val="ListBullet"/>
        <w:ind w:left="0"/>
      </w:pPr>
      <w:r>
        <w:rPr>
          <w:rFonts w:ascii="Aptos" w:hAnsi="Aptos" w:eastAsia="Aptos"/>
          <w:b w:val="0"/>
          <w:i w:val="0"/>
          <w:color w:val="0A1628"/>
          <w:sz w:val="20"/>
        </w:rPr>
        <w:t>Other approved surcharge.</w:t>
      </w:r>
    </w:p>
    <w:p>
      <w:pPr>
        <w:pStyle w:val="ListBullet"/>
        <w:ind w:left="0"/>
      </w:pPr>
      <w:r>
        <w:rPr>
          <w:rFonts w:ascii="Aptos" w:hAnsi="Aptos" w:eastAsia="Aptos"/>
          <w:b w:val="0"/>
          <w:i w:val="0"/>
          <w:color w:val="0A1628"/>
          <w:sz w:val="20"/>
        </w:rPr>
        <w:t>Merchant-payable charges.</w:t>
      </w:r>
    </w:p>
    <w:p>
      <w:pPr>
        <w:pStyle w:val="ListBullet"/>
        <w:ind w:left="0"/>
      </w:pPr>
      <w:r>
        <w:rPr>
          <w:rFonts w:ascii="Aptos" w:hAnsi="Aptos" w:eastAsia="Aptos"/>
          <w:b w:val="0"/>
          <w:i w:val="0"/>
          <w:color w:val="0A1628"/>
          <w:sz w:val="20"/>
        </w:rPr>
        <w:t>Other merchant credits.</w:t>
      </w:r>
    </w:p>
    <w:p>
      <w:pPr>
        <w:pStyle w:val="ListBullet"/>
        <w:ind w:left="0"/>
      </w:pPr>
      <w:r>
        <w:rPr>
          <w:rFonts w:ascii="Aptos" w:hAnsi="Aptos" w:eastAsia="Aptos"/>
          <w:b w:val="0"/>
          <w:i w:val="0"/>
          <w:color w:val="0A1628"/>
          <w:sz w:val="20"/>
        </w:rPr>
        <w:t>Remarks.</w:t>
      </w:r>
    </w:p>
    <w:p>
      <w:pPr>
        <w:pStyle w:val="Heading4"/>
        <w:keepNext/>
      </w:pPr>
      <w:r>
        <w:rPr>
          <w:rFonts w:ascii="Aptos" w:hAnsi="Aptos" w:eastAsia="Aptos"/>
          <w:b w:val="0"/>
          <w:i w:val="0"/>
          <w:color w:val="0A1628"/>
          <w:sz w:val="20"/>
        </w:rPr>
        <w:t>Server-controlled values</w:t>
      </w:r>
    </w:p>
    <w:p>
      <w:pPr>
        <w:pStyle w:val="ListBullet"/>
        <w:ind w:left="0"/>
      </w:pPr>
      <w:r>
        <w:rPr>
          <w:rFonts w:ascii="Aptos" w:hAnsi="Aptos" w:eastAsia="Aptos"/>
          <w:b w:val="0"/>
          <w:i w:val="0"/>
          <w:color w:val="0A1628"/>
          <w:sz w:val="20"/>
        </w:rPr>
        <w:t>Way ID.</w:t>
      </w:r>
    </w:p>
    <w:p>
      <w:pPr>
        <w:pStyle w:val="ListBullet"/>
        <w:ind w:left="0"/>
      </w:pPr>
      <w:r>
        <w:rPr>
          <w:rFonts w:ascii="Aptos" w:hAnsi="Aptos" w:eastAsia="Aptos"/>
          <w:b w:val="0"/>
          <w:i w:val="0"/>
          <w:color w:val="0A1628"/>
          <w:sz w:val="20"/>
        </w:rPr>
        <w:t>Pickup ID.</w:t>
      </w:r>
    </w:p>
    <w:p>
      <w:pPr>
        <w:pStyle w:val="ListBullet"/>
        <w:ind w:left="0"/>
      </w:pPr>
      <w:r>
        <w:rPr>
          <w:rFonts w:ascii="Aptos" w:hAnsi="Aptos" w:eastAsia="Aptos"/>
          <w:b w:val="0"/>
          <w:i w:val="0"/>
          <w:color w:val="0A1628"/>
          <w:sz w:val="20"/>
        </w:rPr>
        <w:t>Customer tier.</w:t>
      </w:r>
    </w:p>
    <w:p>
      <w:pPr>
        <w:pStyle w:val="ListBullet"/>
        <w:ind w:left="0"/>
      </w:pPr>
      <w:r>
        <w:rPr>
          <w:rFonts w:ascii="Aptos" w:hAnsi="Aptos" w:eastAsia="Aptos"/>
          <w:b w:val="0"/>
          <w:i w:val="0"/>
          <w:color w:val="0A1628"/>
          <w:sz w:val="20"/>
        </w:rPr>
        <w:t>Monthly ways.</w:t>
      </w:r>
    </w:p>
    <w:p>
      <w:pPr>
        <w:pStyle w:val="ListBullet"/>
        <w:ind w:left="0"/>
      </w:pPr>
      <w:r>
        <w:rPr>
          <w:rFonts w:ascii="Aptos" w:hAnsi="Aptos" w:eastAsia="Aptos"/>
          <w:b w:val="0"/>
          <w:i w:val="0"/>
          <w:color w:val="0A1628"/>
          <w:sz w:val="20"/>
        </w:rPr>
        <w:t>COD/customer collection amount.</w:t>
      </w:r>
    </w:p>
    <w:p>
      <w:pPr>
        <w:pStyle w:val="ListBullet"/>
        <w:ind w:left="0"/>
      </w:pPr>
      <w:r>
        <w:rPr>
          <w:rFonts w:ascii="Aptos" w:hAnsi="Aptos" w:eastAsia="Aptos"/>
          <w:b w:val="0"/>
          <w:i w:val="0"/>
          <w:color w:val="0A1628"/>
          <w:sz w:val="20"/>
        </w:rPr>
        <w:t>Tariff zone and zone code.</w:t>
      </w:r>
    </w:p>
    <w:p>
      <w:pPr>
        <w:pStyle w:val="ListBullet"/>
        <w:ind w:left="0"/>
      </w:pPr>
      <w:r>
        <w:rPr>
          <w:rFonts w:ascii="Aptos" w:hAnsi="Aptos" w:eastAsia="Aptos"/>
          <w:b w:val="0"/>
          <w:i w:val="0"/>
          <w:color w:val="0A1628"/>
          <w:sz w:val="20"/>
        </w:rPr>
        <w:t>Base tariff and included kilograms.</w:t>
      </w:r>
    </w:p>
    <w:p>
      <w:pPr>
        <w:pStyle w:val="ListBullet"/>
        <w:ind w:left="0"/>
      </w:pPr>
      <w:r>
        <w:rPr>
          <w:rFonts w:ascii="Aptos" w:hAnsi="Aptos" w:eastAsia="Aptos"/>
          <w:b w:val="0"/>
          <w:i w:val="0"/>
          <w:color w:val="0A1628"/>
          <w:sz w:val="20"/>
        </w:rPr>
        <w:t>Extra weight and weight surcharge.</w:t>
      </w:r>
    </w:p>
    <w:p>
      <w:pPr>
        <w:pStyle w:val="ListBullet"/>
        <w:ind w:left="0"/>
      </w:pPr>
      <w:r>
        <w:rPr>
          <w:rFonts w:ascii="Aptos" w:hAnsi="Aptos" w:eastAsia="Aptos"/>
          <w:b w:val="0"/>
          <w:i w:val="0"/>
          <w:color w:val="0A1628"/>
          <w:sz w:val="20"/>
        </w:rPr>
        <w:t>Gross and net system delivery charge.</w:t>
      </w:r>
    </w:p>
    <w:p>
      <w:pPr>
        <w:pStyle w:val="ListBullet"/>
        <w:ind w:left="0"/>
      </w:pPr>
      <w:r>
        <w:rPr>
          <w:rFonts w:ascii="Aptos" w:hAnsi="Aptos" w:eastAsia="Aptos"/>
          <w:b w:val="0"/>
          <w:i w:val="0"/>
          <w:color w:val="0A1628"/>
          <w:sz w:val="20"/>
        </w:rPr>
        <w:t>Commitment refund.</w:t>
      </w:r>
    </w:p>
    <w:p>
      <w:pPr>
        <w:pStyle w:val="ListBullet"/>
        <w:ind w:left="0"/>
      </w:pPr>
      <w:r>
        <w:rPr>
          <w:rFonts w:ascii="Aptos" w:hAnsi="Aptos" w:eastAsia="Aptos"/>
          <w:b w:val="0"/>
          <w:i w:val="0"/>
          <w:color w:val="0A1628"/>
          <w:sz w:val="20"/>
        </w:rPr>
        <w:t>Effective declared delivery charge.</w:t>
      </w:r>
    </w:p>
    <w:p>
      <w:pPr>
        <w:pStyle w:val="ListBullet"/>
        <w:ind w:left="0"/>
      </w:pPr>
      <w:r>
        <w:rPr>
          <w:rFonts w:ascii="Aptos" w:hAnsi="Aptos" w:eastAsia="Aptos"/>
          <w:b w:val="0"/>
          <w:i w:val="0"/>
          <w:color w:val="0A1628"/>
          <w:sz w:val="20"/>
        </w:rPr>
        <w:t>Delivery difference.</w:t>
      </w:r>
    </w:p>
    <w:p>
      <w:pPr>
        <w:pStyle w:val="ListBullet"/>
        <w:ind w:left="0"/>
      </w:pPr>
      <w:r>
        <w:rPr>
          <w:rFonts w:ascii="Aptos" w:hAnsi="Aptos" w:eastAsia="Aptos"/>
          <w:b w:val="0"/>
          <w:i w:val="0"/>
          <w:color w:val="0A1628"/>
          <w:sz w:val="20"/>
        </w:rPr>
        <w:t>Settlement direction.</w:t>
      </w:r>
    </w:p>
    <w:p>
      <w:pPr>
        <w:pStyle w:val="ListBullet"/>
        <w:ind w:left="0"/>
      </w:pPr>
      <w:r>
        <w:rPr>
          <w:rFonts w:ascii="Aptos" w:hAnsi="Aptos" w:eastAsia="Aptos"/>
          <w:b w:val="0"/>
          <w:i w:val="0"/>
          <w:color w:val="0A1628"/>
          <w:sz w:val="20"/>
        </w:rPr>
        <w:t>Merchant settlement adjustment.</w:t>
      </w:r>
    </w:p>
    <w:p>
      <w:pPr>
        <w:pStyle w:val="ListBullet"/>
        <w:ind w:left="0"/>
      </w:pPr>
      <w:r>
        <w:rPr>
          <w:rFonts w:ascii="Aptos" w:hAnsi="Aptos" w:eastAsia="Aptos"/>
          <w:b w:val="0"/>
          <w:i w:val="0"/>
          <w:color w:val="0A1628"/>
          <w:sz w:val="20"/>
        </w:rPr>
        <w:t>Final merchant settlement amount.</w:t>
      </w:r>
    </w:p>
    <w:p>
      <w:pPr>
        <w:pStyle w:val="ListBullet"/>
        <w:ind w:left="0"/>
      </w:pPr>
      <w:r>
        <w:rPr>
          <w:rFonts w:ascii="Aptos" w:hAnsi="Aptos" w:eastAsia="Aptos"/>
          <w:b w:val="0"/>
          <w:i w:val="0"/>
          <w:color w:val="0A1628"/>
          <w:sz w:val="20"/>
        </w:rPr>
        <w:t>Validation status and message.</w:t>
      </w:r>
    </w:p>
    <w:p>
      <w:pPr>
        <w:pStyle w:val="ListBullet"/>
        <w:ind w:left="0"/>
      </w:pPr>
      <w:r>
        <w:rPr>
          <w:rFonts w:ascii="Aptos" w:hAnsi="Aptos" w:eastAsia="Aptos"/>
          <w:b w:val="0"/>
          <w:i w:val="0"/>
          <w:color w:val="0A1628"/>
          <w:sz w:val="20"/>
        </w:rPr>
        <w:t>Calculation version and timestamp.</w:t>
      </w:r>
    </w:p>
    <w:p>
      <w:pPr>
        <w:pStyle w:val="ListBullet"/>
        <w:ind w:left="0"/>
      </w:pPr>
      <w:r>
        <w:rPr>
          <w:rFonts w:ascii="Aptos" w:hAnsi="Aptos" w:eastAsia="Aptos"/>
          <w:b w:val="0"/>
          <w:i w:val="0"/>
          <w:color w:val="0A1628"/>
          <w:sz w:val="20"/>
        </w:rPr>
        <w:t>Entered by and authorized by.</w:t>
      </w:r>
    </w:p>
    <w:p>
      <w:pPr>
        <w:pStyle w:val="Heading3"/>
        <w:keepNext/>
      </w:pPr>
      <w:r>
        <w:rPr>
          <w:rFonts w:ascii="Aptos" w:hAnsi="Aptos" w:eastAsia="Aptos"/>
          <w:b w:val="0"/>
          <w:i w:val="0"/>
          <w:color w:val="0A1628"/>
          <w:sz w:val="20"/>
        </w:rPr>
        <w:t>4.3 Canonical financial fields</w:t>
      </w:r>
    </w:p>
    <w:p>
      <w:r>
        <w:rPr>
          <w:rFonts w:ascii="Aptos" w:hAnsi="Aptos" w:eastAsia="Aptos"/>
          <w:b w:val="0"/>
          <w:i w:val="0"/>
          <w:color w:val="0A1628"/>
          <w:sz w:val="20"/>
        </w:rPr>
        <w:t>Use explicit fields rather than overloading legacy names: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item_price</w:t>
              <w:br/>
              <w:t>merchant_declared_delivery_charge</w:t>
              <w:br/>
              <w:t>customer_total_collect_amount</w:t>
              <w:br/>
              <w:t>amount_entry_type</w:t>
              <w:br/>
              <w:t>merchant_stated_total_amount</w:t>
              <w:br/>
              <w:t>additional_customer_charge</w:t>
              <w:br/>
              <w:t>cbm_surcharge</w:t>
              <w:br/>
              <w:t>other_surcharge</w:t>
              <w:br/>
              <w:t>merchant_payable_charges</w:t>
              <w:br/>
              <w:t>other_merchant_credits</w:t>
              <w:br/>
              <w:t>base_tariff</w:t>
              <w:br/>
              <w:t>included_kg</w:t>
              <w:br/>
              <w:t>extra_per_kg</w:t>
              <w:br/>
              <w:t>chargeable_weight_kg</w:t>
              <w:br/>
              <w:t>extra_kg</w:t>
              <w:br/>
              <w:t>weight_surcharge</w:t>
              <w:br/>
              <w:t>gross_system_delivery_charge</w:t>
              <w:br/>
              <w:t>commitment_refund</w:t>
              <w:br/>
              <w:t>net_system_delivery_charge</w:t>
              <w:br/>
              <w:t>effective_declared_delivery_charge</w:t>
              <w:br/>
              <w:t>delivery_difference</w:t>
              <w:br/>
              <w:t>settlement_direction</w:t>
              <w:br/>
              <w:t>merchant_final_settlement_amount</w:t>
              <w:br/>
              <w:t>validation_status</w:t>
              <w:br/>
              <w:t>validation_message</w:t>
              <w:br/>
              <w:t>calculation_version</w:t>
              <w:br/>
              <w:t>calculated_at</w:t>
            </w:r>
          </w:p>
        </w:tc>
      </w:tr>
    </w:tbl>
    <w:p>
      <w:pPr>
        <w:spacing w:after="0"/>
      </w:pPr>
    </w:p>
    <w:p>
      <w:r>
        <w:rPr>
          <w:rFonts w:ascii="Aptos" w:hAnsi="Aptos" w:eastAsia="Aptos"/>
          <w:b w:val="0"/>
          <w:i w:val="0"/>
          <w:color w:val="0A1628"/>
          <w:sz w:val="20"/>
        </w:rPr>
        <w:t xml:space="preserve">Maintain compatibility views for legacy columns such as </w:t>
      </w:r>
      <w:r>
        <w:rPr>
          <w:rFonts w:ascii="Consolas" w:hAnsi="Consolas" w:eastAsia="Consolas"/>
          <w:b w:val="0"/>
          <w:i w:val="0"/>
          <w:color w:val="0A1628"/>
          <w:sz w:val="17"/>
          <w:shd w:fill="EEF2F6"/>
        </w:rPr>
        <w:t>delivery_fee_os</w:t>
      </w:r>
      <w:r>
        <w:rPr>
          <w:rFonts w:ascii="Aptos" w:hAnsi="Aptos" w:eastAsia="Aptos"/>
          <w:b w:val="0"/>
          <w:i w:val="0"/>
          <w:color w:val="0A1628"/>
          <w:sz w:val="20"/>
        </w:rPr>
        <w:t xml:space="preserve">, </w:t>
      </w:r>
      <w:r>
        <w:rPr>
          <w:rFonts w:ascii="Consolas" w:hAnsi="Consolas" w:eastAsia="Consolas"/>
          <w:b w:val="0"/>
          <w:i w:val="0"/>
          <w:color w:val="0A1628"/>
          <w:sz w:val="17"/>
          <w:shd w:fill="EEF2F6"/>
        </w:rPr>
        <w:t>deli_fee_os</w:t>
      </w:r>
      <w:r>
        <w:rPr>
          <w:rFonts w:ascii="Aptos" w:hAnsi="Aptos" w:eastAsia="Aptos"/>
          <w:b w:val="0"/>
          <w:i w:val="0"/>
          <w:color w:val="0A1628"/>
          <w:sz w:val="20"/>
        </w:rPr>
        <w:t xml:space="preserve">, </w:t>
      </w:r>
      <w:r>
        <w:rPr>
          <w:rFonts w:ascii="Consolas" w:hAnsi="Consolas" w:eastAsia="Consolas"/>
          <w:b w:val="0"/>
          <w:i w:val="0"/>
          <w:color w:val="0A1628"/>
          <w:sz w:val="17"/>
          <w:shd w:fill="EEF2F6"/>
        </w:rPr>
        <w:t>final_cod</w:t>
      </w:r>
      <w:r>
        <w:rPr>
          <w:rFonts w:ascii="Aptos" w:hAnsi="Aptos" w:eastAsia="Aptos"/>
          <w:b w:val="0"/>
          <w:i w:val="0"/>
          <w:color w:val="0A1628"/>
          <w:sz w:val="20"/>
        </w:rPr>
        <w:t xml:space="preserve">, </w:t>
      </w:r>
      <w:r>
        <w:rPr>
          <w:rFonts w:ascii="Consolas" w:hAnsi="Consolas" w:eastAsia="Consolas"/>
          <w:b w:val="0"/>
          <w:i w:val="0"/>
          <w:color w:val="0A1628"/>
          <w:sz w:val="17"/>
          <w:shd w:fill="EEF2F6"/>
        </w:rPr>
        <w:t>finance_deli</w:t>
      </w:r>
      <w:r>
        <w:rPr>
          <w:rFonts w:ascii="Aptos" w:hAnsi="Aptos" w:eastAsia="Aptos"/>
          <w:b w:val="0"/>
          <w:i w:val="0"/>
          <w:color w:val="0A1628"/>
          <w:sz w:val="20"/>
        </w:rPr>
        <w:t xml:space="preserve">, and </w:t>
      </w:r>
      <w:r>
        <w:rPr>
          <w:rFonts w:ascii="Consolas" w:hAnsi="Consolas" w:eastAsia="Consolas"/>
          <w:b w:val="0"/>
          <w:i w:val="0"/>
          <w:color w:val="0A1628"/>
          <w:sz w:val="17"/>
          <w:shd w:fill="EEF2F6"/>
        </w:rPr>
        <w:t>finance_cod</w:t>
      </w:r>
      <w:r>
        <w:rPr>
          <w:rFonts w:ascii="Aptos" w:hAnsi="Aptos" w:eastAsia="Aptos"/>
          <w:b w:val="0"/>
          <w:i w:val="0"/>
          <w:color w:val="0A1628"/>
          <w:sz w:val="20"/>
        </w:rPr>
        <w:t xml:space="preserve"> until all downstream modules are migrated.</w:t>
      </w:r>
    </w:p>
    <w:p>
      <w:pPr>
        <w:pStyle w:val="Heading3"/>
        <w:keepNext/>
      </w:pPr>
      <w:r>
        <w:rPr>
          <w:rFonts w:ascii="Aptos" w:hAnsi="Aptos" w:eastAsia="Aptos"/>
          <w:b w:val="0"/>
          <w:i w:val="0"/>
          <w:color w:val="0A1628"/>
          <w:sz w:val="20"/>
        </w:rPr>
        <w:t>4.4 Amount-entry types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ITEM_PRICE_PLUS_DECLARED_DELIVERY</w:t>
              <w:br/>
              <w:t>TOTAL_AMOUNT_INCLUDING_DELIVERY</w:t>
              <w:br/>
              <w:t>DELIVERY_CHARGE_ONLY</w:t>
              <w:br/>
              <w:t>EXACT_COLLECTION_AMOUNT</w:t>
              <w:br/>
              <w:t>ITEM_PRICE_ONLY_DELIVERY_PAID_BY_MERCHANT</w:t>
            </w:r>
          </w:p>
        </w:tc>
      </w:tr>
    </w:tbl>
    <w:p>
      <w:pPr>
        <w:spacing w:after="0"/>
      </w:pPr>
    </w:p>
    <w:p>
      <w:pPr>
        <w:pStyle w:val="Heading3"/>
        <w:keepNext/>
      </w:pPr>
      <w:r>
        <w:rPr>
          <w:rFonts w:ascii="Aptos" w:hAnsi="Aptos" w:eastAsia="Aptos"/>
          <w:b w:val="0"/>
          <w:i w:val="0"/>
          <w:color w:val="0A1628"/>
          <w:sz w:val="20"/>
        </w:rPr>
        <w:t>4.5 Backend calculation rules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chargeable_weight = ceil(max(actual_weight, 0))</w:t>
              <w:br/>
              <w:t>extra_kg = max(0, chargeable_weight - included_kg)</w:t>
              <w:br/>
              <w:t>weight_surcharge = extra_kg * extra_per_kg</w:t>
              <w:br/>
              <w:t>gross_system_delivery_charge = base_tariff + weight_surcharge + cbm_surcharge + other_surcharge</w:t>
              <w:br/>
              <w:t>net_system_delivery_charge = max(0, gross_system_delivery_charge - commitment_refund)</w:t>
              <w:br/>
              <w:t>delivery_difference = effective_declared_delivery_charge - net_system_delivery_charge</w:t>
              <w:br/>
              <w:t>merchant_final_settlement_amount = item_price + delivery_difference + other_merchant_credits - merchant_payable_charges</w:t>
            </w:r>
          </w:p>
        </w:tc>
      </w:tr>
    </w:tbl>
    <w:p>
      <w:pPr>
        <w:spacing w:after="0"/>
      </w:pPr>
    </w:p>
    <w:p>
      <w:r>
        <w:rPr>
          <w:rFonts w:ascii="Aptos" w:hAnsi="Aptos" w:eastAsia="Aptos"/>
          <w:b w:val="0"/>
          <w:i w:val="0"/>
          <w:color w:val="0A1628"/>
          <w:sz w:val="20"/>
        </w:rPr>
        <w:t>Customer collection must follow the selected amount-entry type. A merchant-declared delivery shortage must never be added to the receiver's collection. It is recovered from merchant settlement.</w:t>
      </w:r>
    </w:p>
    <w:p>
      <w:pPr>
        <w:pStyle w:val="Heading3"/>
        <w:keepNext/>
      </w:pPr>
      <w:r>
        <w:rPr>
          <w:rFonts w:ascii="Aptos" w:hAnsi="Aptos" w:eastAsia="Aptos"/>
          <w:b w:val="0"/>
          <w:i w:val="0"/>
          <w:color w:val="0A1628"/>
          <w:sz w:val="20"/>
        </w:rPr>
        <w:t>4.6 Required RPCs</w:t>
      </w:r>
    </w:p>
    <w:p>
      <w:pPr>
        <w:pStyle w:val="Heading4"/>
        <w:keepNext/>
      </w:pPr>
      <w:r>
        <w:rPr>
          <w:rFonts w:ascii="Consolas" w:hAnsi="Consolas" w:eastAsia="Consolas"/>
          <w:b w:val="0"/>
          <w:i w:val="0"/>
          <w:color w:val="0A1628"/>
          <w:sz w:val="17"/>
          <w:shd w:fill="EEF2F6"/>
        </w:rPr>
        <w:t>be_data_entry_financial_v2_schema()</w:t>
      </w:r>
    </w:p>
    <w:p>
      <w:r>
        <w:rPr>
          <w:rFonts w:ascii="Aptos" w:hAnsi="Aptos" w:eastAsia="Aptos"/>
          <w:b w:val="0"/>
          <w:i w:val="0"/>
          <w:color w:val="0A1628"/>
          <w:sz w:val="20"/>
        </w:rPr>
        <w:t>Returns the authoritative field list, section, label, data type, editability, required rule, dropdown source, and ordinal position. The UI and spreadsheet import must use this metadata.</w:t>
      </w:r>
    </w:p>
    <w:p>
      <w:pPr>
        <w:pStyle w:val="Heading4"/>
        <w:keepNext/>
      </w:pPr>
      <w:r>
        <w:rPr>
          <w:rFonts w:ascii="Consolas" w:hAnsi="Consolas" w:eastAsia="Consolas"/>
          <w:b w:val="0"/>
          <w:i w:val="0"/>
          <w:color w:val="0A1628"/>
          <w:sz w:val="17"/>
          <w:shd w:fill="EEF2F6"/>
        </w:rPr>
        <w:t>be_data_entry_financial_v2_snapshot(p_pickup_id text)</w:t>
      </w:r>
    </w:p>
    <w:p>
      <w:r>
        <w:rPr>
          <w:rFonts w:ascii="Aptos" w:hAnsi="Aptos" w:eastAsia="Aptos"/>
          <w:b w:val="0"/>
          <w:i w:val="0"/>
          <w:color w:val="0A1628"/>
          <w:sz w:val="20"/>
        </w:rPr>
        <w:t>Returns pickup identity, parcel rows, proof evidence, tariff options, amount-entry options, and permissions.</w:t>
      </w:r>
    </w:p>
    <w:p>
      <w:pPr>
        <w:pStyle w:val="Heading4"/>
        <w:keepNext/>
      </w:pPr>
      <w:r>
        <w:rPr>
          <w:rFonts w:ascii="Consolas" w:hAnsi="Consolas" w:eastAsia="Consolas"/>
          <w:b w:val="0"/>
          <w:i w:val="0"/>
          <w:color w:val="0A1628"/>
          <w:sz w:val="17"/>
          <w:shd w:fill="EEF2F6"/>
        </w:rPr>
        <w:t>be_data_entry_financial_v2_calculate(p_payload jsonb)</w:t>
      </w:r>
    </w:p>
    <w:p>
      <w:r>
        <w:rPr>
          <w:rFonts w:ascii="Aptos" w:hAnsi="Aptos" w:eastAsia="Aptos"/>
          <w:b w:val="0"/>
          <w:i w:val="0"/>
          <w:color w:val="0A1628"/>
          <w:sz w:val="20"/>
        </w:rPr>
        <w:t>Accepts raw operational inputs only and returns all server calculations and validation messages.</w:t>
      </w:r>
    </w:p>
    <w:p>
      <w:pPr>
        <w:pStyle w:val="Heading4"/>
        <w:keepNext/>
      </w:pPr>
      <w:r>
        <w:rPr>
          <w:rFonts w:ascii="Consolas" w:hAnsi="Consolas" w:eastAsia="Consolas"/>
          <w:b w:val="0"/>
          <w:i w:val="0"/>
          <w:color w:val="0A1628"/>
          <w:sz w:val="17"/>
          <w:shd w:fill="EEF2F6"/>
        </w:rPr>
        <w:t>be_data_entry_financial_v2_save(p_payload jsonb, p_request_id text)</w:t>
      </w:r>
    </w:p>
    <w:p>
      <w:r>
        <w:rPr>
          <w:rFonts w:ascii="Aptos" w:hAnsi="Aptos" w:eastAsia="Aptos"/>
          <w:b w:val="0"/>
          <w:i w:val="0"/>
          <w:color w:val="0A1628"/>
          <w:sz w:val="20"/>
        </w:rPr>
        <w:t>Must:</w:t>
      </w:r>
    </w:p>
    <w:p>
      <w:pPr>
        <w:pStyle w:val="ListNumber"/>
        <w:ind w:left="0"/>
      </w:pPr>
      <w:r>
        <w:rPr>
          <w:rFonts w:ascii="Aptos" w:hAnsi="Aptos" w:eastAsia="Aptos"/>
          <w:b w:val="0"/>
          <w:i w:val="0"/>
          <w:color w:val="0A1628"/>
          <w:sz w:val="20"/>
        </w:rPr>
        <w:t>Lock or resolve the pickup context.</w:t>
      </w:r>
    </w:p>
    <w:p>
      <w:pPr>
        <w:pStyle w:val="ListNumber"/>
        <w:ind w:left="0"/>
      </w:pPr>
      <w:r>
        <w:rPr>
          <w:rFonts w:ascii="Aptos" w:hAnsi="Aptos" w:eastAsia="Aptos"/>
          <w:b w:val="0"/>
          <w:i w:val="0"/>
          <w:color w:val="0A1628"/>
          <w:sz w:val="20"/>
        </w:rPr>
        <w:t>Generate or preserve canonical Way ID server-side.</w:t>
      </w:r>
    </w:p>
    <w:p>
      <w:pPr>
        <w:pStyle w:val="ListNumber"/>
        <w:ind w:left="0"/>
      </w:pPr>
      <w:r>
        <w:rPr>
          <w:rFonts w:ascii="Aptos" w:hAnsi="Aptos" w:eastAsia="Aptos"/>
          <w:b w:val="0"/>
          <w:i w:val="0"/>
          <w:color w:val="0A1628"/>
          <w:sz w:val="20"/>
        </w:rPr>
        <w:t>Resolve merchant and customer tier.</w:t>
      </w:r>
    </w:p>
    <w:p>
      <w:pPr>
        <w:pStyle w:val="ListNumber"/>
        <w:ind w:left="0"/>
      </w:pPr>
      <w:r>
        <w:rPr>
          <w:rFonts w:ascii="Aptos" w:hAnsi="Aptos" w:eastAsia="Aptos"/>
          <w:b w:val="0"/>
          <w:i w:val="0"/>
          <w:color w:val="0A1628"/>
          <w:sz w:val="20"/>
        </w:rPr>
        <w:t>Load the active tariff.</w:t>
      </w:r>
    </w:p>
    <w:p>
      <w:pPr>
        <w:pStyle w:val="ListNumber"/>
        <w:ind w:left="0"/>
      </w:pPr>
      <w:r>
        <w:rPr>
          <w:rFonts w:ascii="Aptos" w:hAnsi="Aptos" w:eastAsia="Aptos"/>
          <w:b w:val="0"/>
          <w:i w:val="0"/>
          <w:color w:val="0A1628"/>
          <w:sz w:val="20"/>
        </w:rPr>
        <w:t>Calculate financial values.</w:t>
      </w:r>
    </w:p>
    <w:p>
      <w:pPr>
        <w:pStyle w:val="ListNumber"/>
        <w:ind w:left="0"/>
      </w:pPr>
      <w:r>
        <w:rPr>
          <w:rFonts w:ascii="Aptos" w:hAnsi="Aptos" w:eastAsia="Aptos"/>
          <w:b w:val="0"/>
          <w:i w:val="0"/>
          <w:color w:val="0A1628"/>
          <w:sz w:val="20"/>
        </w:rPr>
        <w:t>Store a tariff/calculation snapshot.</w:t>
      </w:r>
    </w:p>
    <w:p>
      <w:pPr>
        <w:pStyle w:val="ListNumber"/>
        <w:ind w:left="0"/>
      </w:pPr>
      <w:r>
        <w:rPr>
          <w:rFonts w:ascii="Aptos" w:hAnsi="Aptos" w:eastAsia="Aptos"/>
          <w:b w:val="0"/>
          <w:i w:val="0"/>
          <w:color w:val="0A1628"/>
          <w:sz w:val="20"/>
        </w:rPr>
        <w:t>Save proof/audit references.</w:t>
      </w:r>
    </w:p>
    <w:p>
      <w:pPr>
        <w:pStyle w:val="ListNumber"/>
        <w:ind w:left="0"/>
      </w:pPr>
      <w:r>
        <w:rPr>
          <w:rFonts w:ascii="Aptos" w:hAnsi="Aptos" w:eastAsia="Aptos"/>
          <w:b w:val="0"/>
          <w:i w:val="0"/>
          <w:color w:val="0A1628"/>
          <w:sz w:val="20"/>
        </w:rPr>
        <w:t>Return the stored row.</w:t>
      </w:r>
    </w:p>
    <w:p>
      <w:pPr>
        <w:pStyle w:val="Heading4"/>
        <w:keepNext/>
      </w:pPr>
      <w:r>
        <w:rPr>
          <w:rFonts w:ascii="Consolas" w:hAnsi="Consolas" w:eastAsia="Consolas"/>
          <w:b w:val="0"/>
          <w:i w:val="0"/>
          <w:color w:val="0A1628"/>
          <w:sz w:val="17"/>
          <w:shd w:fill="EEF2F6"/>
        </w:rPr>
        <w:t>be_data_entry_financial_v2_import(p_batch jsonb)</w:t>
      </w:r>
    </w:p>
    <w:p>
      <w:r>
        <w:rPr>
          <w:rFonts w:ascii="Aptos" w:hAnsi="Aptos" w:eastAsia="Aptos"/>
          <w:b w:val="0"/>
          <w:i w:val="0"/>
          <w:color w:val="0A1628"/>
          <w:sz w:val="20"/>
        </w:rPr>
        <w:t>Must ignore all imported calculated values and recalculate them. Imported calculated columns may be compared for warnings only.</w:t>
      </w:r>
    </w:p>
    <w:p>
      <w:pPr>
        <w:pStyle w:val="Heading4"/>
        <w:keepNext/>
      </w:pPr>
      <w:r>
        <w:rPr>
          <w:rFonts w:ascii="Consolas" w:hAnsi="Consolas" w:eastAsia="Consolas"/>
          <w:b w:val="0"/>
          <w:i w:val="0"/>
          <w:color w:val="0A1628"/>
          <w:sz w:val="17"/>
          <w:shd w:fill="EEF2F6"/>
        </w:rPr>
        <w:t>be_data_entry_financial_v2_create_waybill(p_pickup_id text, p_way_ids text[], p_request_id text)</w:t>
      </w:r>
    </w:p>
    <w:p>
      <w:r>
        <w:rPr>
          <w:rFonts w:ascii="Aptos" w:hAnsi="Aptos" w:eastAsia="Aptos"/>
          <w:b w:val="0"/>
          <w:i w:val="0"/>
          <w:color w:val="0A1628"/>
          <w:sz w:val="20"/>
        </w:rPr>
        <w:t>Must print the backend-stored customer collection amount and must not expose internal merchant settlement differences.</w:t>
      </w:r>
    </w:p>
    <w:p>
      <w:pPr>
        <w:pStyle w:val="Heading3"/>
        <w:keepNext/>
      </w:pPr>
      <w:r>
        <w:rPr>
          <w:rFonts w:ascii="Aptos" w:hAnsi="Aptos" w:eastAsia="Aptos"/>
          <w:b w:val="0"/>
          <w:i w:val="0"/>
          <w:color w:val="0A1628"/>
          <w:sz w:val="20"/>
        </w:rPr>
        <w:t>4.7 Frontend changes</w:t>
      </w:r>
    </w:p>
    <w:p>
      <w:pPr>
        <w:pStyle w:val="ListBullet"/>
        <w:ind w:left="0"/>
      </w:pPr>
      <w:r>
        <w:rPr>
          <w:rFonts w:ascii="Aptos" w:hAnsi="Aptos" w:eastAsia="Aptos"/>
          <w:b w:val="0"/>
          <w:i w:val="0"/>
          <w:color w:val="0A1628"/>
          <w:sz w:val="20"/>
        </w:rPr>
        <w:t>Replace editable Way ID with a read-only server value.</w:t>
      </w:r>
    </w:p>
    <w:p>
      <w:pPr>
        <w:pStyle w:val="ListBullet"/>
        <w:ind w:left="0"/>
      </w:pPr>
      <w:r>
        <w:rPr>
          <w:rFonts w:ascii="Aptos" w:hAnsi="Aptos" w:eastAsia="Aptos"/>
          <w:b w:val="0"/>
          <w:i w:val="0"/>
          <w:color w:val="0A1628"/>
          <w:sz w:val="20"/>
        </w:rPr>
        <w:t>Replace legacy 15-column labels with the Financial V2 sectioned form and full-width sheet view.</w:t>
      </w:r>
    </w:p>
    <w:p>
      <w:pPr>
        <w:pStyle w:val="ListBullet"/>
        <w:ind w:left="0"/>
      </w:pPr>
      <w:r>
        <w:rPr>
          <w:rFonts w:ascii="Aptos" w:hAnsi="Aptos" w:eastAsia="Aptos"/>
          <w:b w:val="0"/>
          <w:i w:val="0"/>
          <w:color w:val="0A1628"/>
          <w:sz w:val="20"/>
        </w:rPr>
        <w:t>Make merchant-declared delivery editable where the selected amount type requires it.</w:t>
      </w:r>
    </w:p>
    <w:p>
      <w:pPr>
        <w:pStyle w:val="ListBullet"/>
        <w:ind w:left="0"/>
      </w:pPr>
      <w:r>
        <w:rPr>
          <w:rFonts w:ascii="Aptos" w:hAnsi="Aptos" w:eastAsia="Aptos"/>
          <w:b w:val="0"/>
          <w:i w:val="0"/>
          <w:color w:val="0A1628"/>
          <w:sz w:val="20"/>
        </w:rPr>
        <w:t>Display company tariff and settlement fields as read-only.</w:t>
      </w:r>
    </w:p>
    <w:p>
      <w:pPr>
        <w:pStyle w:val="ListBullet"/>
        <w:ind w:left="0"/>
      </w:pPr>
      <w:r>
        <w:rPr>
          <w:rFonts w:ascii="Aptos" w:hAnsi="Aptos" w:eastAsia="Aptos"/>
          <w:b w:val="0"/>
          <w:i w:val="0"/>
          <w:color w:val="0A1628"/>
          <w:sz w:val="20"/>
        </w:rPr>
        <w:t>Remove local hardcoded tariff authority.</w:t>
      </w:r>
    </w:p>
    <w:p>
      <w:pPr>
        <w:pStyle w:val="ListBullet"/>
        <w:ind w:left="0"/>
      </w:pPr>
      <w:r>
        <w:rPr>
          <w:rFonts w:ascii="Aptos" w:hAnsi="Aptos" w:eastAsia="Aptos"/>
          <w:b w:val="0"/>
          <w:i w:val="0"/>
          <w:color w:val="0A1628"/>
          <w:sz w:val="20"/>
        </w:rPr>
        <w:t>Remove direct table upsert fallbacks for financial records.</w:t>
      </w:r>
    </w:p>
    <w:p>
      <w:pPr>
        <w:pStyle w:val="ListBullet"/>
        <w:ind w:left="0"/>
      </w:pPr>
      <w:r>
        <w:rPr>
          <w:rFonts w:ascii="Aptos" w:hAnsi="Aptos" w:eastAsia="Aptos"/>
          <w:b w:val="0"/>
          <w:i w:val="0"/>
          <w:color w:val="0A1628"/>
          <w:sz w:val="20"/>
        </w:rPr>
        <w:t xml:space="preserve">Show server validation inline and block waybill creation for </w:t>
      </w:r>
      <w:r>
        <w:rPr>
          <w:rFonts w:ascii="Consolas" w:hAnsi="Consolas" w:eastAsia="Consolas"/>
          <w:b w:val="0"/>
          <w:i w:val="0"/>
          <w:color w:val="0A1628"/>
          <w:sz w:val="17"/>
          <w:shd w:fill="EEF2F6"/>
        </w:rPr>
        <w:t>ERROR</w:t>
      </w:r>
      <w:r>
        <w:rPr>
          <w:rFonts w:ascii="Aptos" w:hAnsi="Aptos" w:eastAsia="Aptos"/>
          <w:b w:val="0"/>
          <w:i w:val="0"/>
          <w:color w:val="0A1628"/>
          <w:sz w:val="20"/>
        </w:rPr>
        <w:t xml:space="preserve"> or unresolved </w:t>
      </w:r>
      <w:r>
        <w:rPr>
          <w:rFonts w:ascii="Consolas" w:hAnsi="Consolas" w:eastAsia="Consolas"/>
          <w:b w:val="0"/>
          <w:i w:val="0"/>
          <w:color w:val="0A1628"/>
          <w:sz w:val="17"/>
          <w:shd w:fill="EEF2F6"/>
        </w:rPr>
        <w:t>BREAKDOWN_REQUIRED</w:t>
      </w:r>
      <w:r>
        <w:rPr>
          <w:rFonts w:ascii="Aptos" w:hAnsi="Aptos" w:eastAsia="Aptos"/>
          <w:b w:val="0"/>
          <w:i w:val="0"/>
          <w:color w:val="0A1628"/>
          <w:sz w:val="20"/>
        </w:rPr>
        <w:t xml:space="preserve"> records.</w:t>
      </w:r>
    </w:p>
    <w:p>
      <w:pPr>
        <w:pStyle w:val="ListBullet"/>
        <w:ind w:left="0"/>
      </w:pPr>
      <w:r>
        <w:rPr>
          <w:rFonts w:ascii="Aptos" w:hAnsi="Aptos" w:eastAsia="Aptos"/>
          <w:b w:val="0"/>
          <w:i w:val="0"/>
          <w:color w:val="0A1628"/>
          <w:sz w:val="20"/>
        </w:rPr>
        <w:t>Preserve photo review and unavailable-image acknowledgement with audit metadata.</w:t>
      </w:r>
    </w:p>
    <w:p>
      <w:pPr>
        <w:pStyle w:val="Heading3"/>
        <w:keepNext/>
      </w:pPr>
      <w:r>
        <w:rPr>
          <w:rFonts w:ascii="Aptos" w:hAnsi="Aptos" w:eastAsia="Aptos"/>
          <w:b w:val="0"/>
          <w:i w:val="0"/>
          <w:color w:val="0A1628"/>
          <w:sz w:val="20"/>
        </w:rPr>
        <w:t>4.8 Schema-version discrepancy</w:t>
      </w:r>
    </w:p>
    <w:p>
      <w:r>
        <w:rPr>
          <w:rFonts w:ascii="Aptos" w:hAnsi="Aptos" w:eastAsia="Aptos"/>
          <w:b w:val="0"/>
          <w:i w:val="0"/>
          <w:color w:val="0A1628"/>
          <w:sz w:val="20"/>
        </w:rPr>
        <w:t>The issue note references a 50-column workbook, while the currently available updated workbook contains 47 headers. Before migration, set one authoritative version identifier, for example: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FINANCIAL_V2_SCHEMA_2026_07_31</w:t>
            </w:r>
          </w:p>
        </w:tc>
      </w:tr>
    </w:tbl>
    <w:p>
      <w:pPr>
        <w:spacing w:after="0"/>
      </w:pPr>
    </w:p>
    <w:p>
      <w:r>
        <w:rPr>
          <w:rFonts w:ascii="Aptos" w:hAnsi="Aptos" w:eastAsia="Aptos"/>
          <w:b w:val="0"/>
          <w:i w:val="0"/>
          <w:color w:val="0A1628"/>
          <w:sz w:val="20"/>
        </w:rPr>
        <w:t>The backend schema RPC and downloadable workbook must return the same version and field count. Deployment must fail validation when they differ.</w:t>
      </w:r>
    </w:p>
    <w:p>
      <w:pPr>
        <w:pStyle w:val="Heading3"/>
        <w:keepNext/>
      </w:pPr>
      <w:r>
        <w:rPr>
          <w:rFonts w:ascii="Aptos" w:hAnsi="Aptos" w:eastAsia="Aptos"/>
          <w:b w:val="0"/>
          <w:i w:val="0"/>
          <w:color w:val="0A1628"/>
          <w:sz w:val="20"/>
        </w:rPr>
        <w:t>4.9 Acceptance criteria</w:t>
      </w:r>
    </w:p>
    <w:p>
      <w:pPr>
        <w:pStyle w:val="ListBullet"/>
        <w:ind w:left="0"/>
      </w:pPr>
      <w:r>
        <w:rPr>
          <w:rFonts w:ascii="Aptos" w:hAnsi="Aptos" w:eastAsia="Aptos"/>
          <w:b w:val="0"/>
          <w:i w:val="0"/>
          <w:color w:val="0A1628"/>
          <w:sz w:val="20"/>
        </w:rPr>
        <w:t>Backend and workbook schema versions match.</w:t>
      </w:r>
    </w:p>
    <w:p>
      <w:pPr>
        <w:pStyle w:val="ListBullet"/>
        <w:ind w:left="0"/>
      </w:pPr>
      <w:r>
        <w:rPr>
          <w:rFonts w:ascii="Aptos" w:hAnsi="Aptos" w:eastAsia="Aptos"/>
          <w:b w:val="0"/>
          <w:i w:val="0"/>
          <w:color w:val="0A1628"/>
          <w:sz w:val="20"/>
        </w:rPr>
        <w:t>The browser cannot override calculated fields.</w:t>
      </w:r>
    </w:p>
    <w:p>
      <w:pPr>
        <w:pStyle w:val="ListBullet"/>
        <w:ind w:left="0"/>
      </w:pPr>
      <w:r>
        <w:rPr>
          <w:rFonts w:ascii="Aptos" w:hAnsi="Aptos" w:eastAsia="Aptos"/>
          <w:b w:val="0"/>
          <w:i w:val="0"/>
          <w:color w:val="0A1628"/>
          <w:sz w:val="20"/>
        </w:rPr>
        <w:t>Saving the same request twice does not duplicate a parcel.</w:t>
      </w:r>
    </w:p>
    <w:p>
      <w:pPr>
        <w:pStyle w:val="ListBullet"/>
        <w:ind w:left="0"/>
      </w:pPr>
      <w:r>
        <w:rPr>
          <w:rFonts w:ascii="Aptos" w:hAnsi="Aptos" w:eastAsia="Aptos"/>
          <w:b w:val="0"/>
          <w:i w:val="0"/>
          <w:color w:val="0A1628"/>
          <w:sz w:val="20"/>
        </w:rPr>
        <w:t>Way ID and Pickup ID merchant lineage is valid before save.</w:t>
      </w:r>
    </w:p>
    <w:p>
      <w:pPr>
        <w:pStyle w:val="ListBullet"/>
        <w:ind w:left="0"/>
      </w:pPr>
      <w:r>
        <w:rPr>
          <w:rFonts w:ascii="Aptos" w:hAnsi="Aptos" w:eastAsia="Aptos"/>
          <w:b w:val="0"/>
          <w:i w:val="0"/>
          <w:color w:val="0A1628"/>
          <w:sz w:val="20"/>
        </w:rPr>
        <w:t>Imported calculated values are ignored and recalculated.</w:t>
      </w:r>
    </w:p>
    <w:p>
      <w:pPr>
        <w:pStyle w:val="ListBullet"/>
        <w:ind w:left="0"/>
      </w:pPr>
      <w:r>
        <w:rPr>
          <w:rFonts w:ascii="Aptos" w:hAnsi="Aptos" w:eastAsia="Aptos"/>
          <w:b w:val="0"/>
          <w:i w:val="0"/>
          <w:color w:val="0A1628"/>
          <w:sz w:val="20"/>
        </w:rPr>
        <w:t>Exact collection without a breakdown is deliverable only according to policy but not settlement-eligible.</w:t>
      </w:r>
    </w:p>
    <w:p>
      <w:pPr>
        <w:pStyle w:val="ListBullet"/>
        <w:ind w:left="0"/>
      </w:pPr>
      <w:r>
        <w:rPr>
          <w:rFonts w:ascii="Aptos" w:hAnsi="Aptos" w:eastAsia="Aptos"/>
          <w:b w:val="0"/>
          <w:i w:val="0"/>
          <w:color w:val="0A1628"/>
          <w:sz w:val="20"/>
        </w:rPr>
        <w:t>Historical tariff values remain stable after tariff-master changes.</w:t>
      </w:r>
    </w:p>
    <w:p>
      <w:pPr>
        <w:pStyle w:val="Heading2"/>
        <w:keepNext/>
      </w:pPr>
      <w:r>
        <w:rPr>
          <w:rFonts w:ascii="Aptos" w:hAnsi="Aptos" w:eastAsia="Aptos"/>
          <w:b w:val="0"/>
          <w:i w:val="0"/>
          <w:color w:val="0A1628"/>
          <w:sz w:val="20"/>
        </w:rPr>
        <w:t>5. Merchant Settlement Rules</w:t>
      </w:r>
    </w:p>
    <w:p>
      <w:pPr>
        <w:pStyle w:val="Heading3"/>
        <w:keepNext/>
      </w:pPr>
      <w:r>
        <w:rPr>
          <w:rFonts w:ascii="Aptos" w:hAnsi="Aptos" w:eastAsia="Aptos"/>
          <w:b w:val="0"/>
          <w:i w:val="0"/>
          <w:color w:val="0A1628"/>
          <w:sz w:val="20"/>
        </w:rPr>
        <w:t>5.1 Delivery difference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delivery_difference</w:t>
              <w:br/>
              <w:t>= effective_declared_delivery_charge</w:t>
              <w:br/>
              <w:t>- net_system_delivery_charge</w:t>
            </w:r>
          </w:p>
        </w:tc>
      </w:tr>
    </w:tbl>
    <w:p>
      <w:pPr>
        <w:spacing w:after="0"/>
      </w:pP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3456"/>
        <w:gridCol w:w="3456"/>
        <w:gridCol w:w="3456"/>
      </w:tblGrid>
      <w:tr>
        <w:trPr>
          <w:tblHeader w:val="true"/>
          <w:cantSplit/>
        </w:trPr>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Result</w:t>
            </w:r>
          </w:p>
        </w:tc>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Direction</w:t>
            </w:r>
          </w:p>
        </w:tc>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Treatment</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Positive</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CREDIT_TO_MERCHANT</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Excess delivery collection is payable to merchant</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Negative</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Consolas" w:hAnsi="Consolas" w:eastAsia="Consolas"/>
                <w:b w:val="0"/>
                <w:i w:val="0"/>
                <w:color w:val="0A1628"/>
                <w:sz w:val="17"/>
                <w:shd w:fill="EEF2F6"/>
              </w:rPr>
              <w:t>DEDUCT_FROM_MERCHANT</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Delivery shortfall is deducted from merchant settlement</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Zero</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NO_ADJUSTMENT</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No delivery settlement adjustment</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Unknown breakdown</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Consolas" w:hAnsi="Consolas" w:eastAsia="Consolas"/>
                <w:b w:val="0"/>
                <w:i w:val="0"/>
                <w:color w:val="0A1628"/>
                <w:sz w:val="17"/>
                <w:shd w:fill="EEF2F6"/>
              </w:rPr>
              <w:t>BREAKDOWN_REQUIRED</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Settlement is blocked</w:t>
            </w:r>
          </w:p>
        </w:tc>
      </w:tr>
    </w:tbl>
    <w:p>
      <w:pPr>
        <w:spacing w:after="0"/>
      </w:pPr>
    </w:p>
    <w:p>
      <w:pPr>
        <w:pStyle w:val="Heading3"/>
        <w:keepNext/>
      </w:pPr>
      <w:r>
        <w:rPr>
          <w:rFonts w:ascii="Aptos" w:hAnsi="Aptos" w:eastAsia="Aptos"/>
          <w:b w:val="0"/>
          <w:i w:val="0"/>
          <w:color w:val="0A1628"/>
          <w:sz w:val="20"/>
        </w:rPr>
        <w:t>5.2 Merchant final settlement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merchant_final_settlement_amount</w:t>
              <w:br/>
              <w:t>= item_price</w:t>
              <w:br/>
              <w:t>+ delivery_difference</w:t>
              <w:br/>
              <w:t>+ other_merchant_credits</w:t>
              <w:br/>
              <w:t>- merchant_payable_charges</w:t>
            </w:r>
          </w:p>
        </w:tc>
      </w:tr>
    </w:tbl>
    <w:p>
      <w:pPr>
        <w:spacing w:after="0"/>
      </w:pPr>
    </w:p>
    <w:p>
      <w:r>
        <w:rPr>
          <w:rFonts w:ascii="Aptos" w:hAnsi="Aptos" w:eastAsia="Aptos"/>
          <w:b w:val="0"/>
          <w:i w:val="0"/>
          <w:color w:val="0A1628"/>
          <w:sz w:val="20"/>
        </w:rPr>
        <w:t>A negative merchant settlement must remain negative and become a merchant receivable or carry-forward balance. It must not be silently changed to zero.</w:t>
      </w:r>
    </w:p>
    <w:p>
      <w:pPr>
        <w:pStyle w:val="Heading3"/>
        <w:keepNext/>
      </w:pPr>
      <w:r>
        <w:rPr>
          <w:rFonts w:ascii="Aptos" w:hAnsi="Aptos" w:eastAsia="Aptos"/>
          <w:b w:val="0"/>
          <w:i w:val="0"/>
          <w:color w:val="0A1628"/>
          <w:sz w:val="20"/>
        </w:rPr>
        <w:t>5.3 Examples</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1728"/>
        <w:gridCol w:w="1728"/>
        <w:gridCol w:w="1728"/>
        <w:gridCol w:w="1728"/>
        <w:gridCol w:w="1728"/>
        <w:gridCol w:w="1728"/>
      </w:tblGrid>
      <w:tr>
        <w:trPr>
          <w:tblHeader w:val="true"/>
          <w:cantSplit/>
        </w:trPr>
        <w:tc>
          <w:tcPr>
            <w:tcW w:type="dxa" w:w="1728"/>
            <w:vAlign w:val="center"/>
            <w:tcMar>
              <w:top w:w="75" w:type="dxa"/>
              <w:start w:w="80" w:type="dxa"/>
              <w:bottom w:w="75" w:type="dxa"/>
              <w:end w:w="80" w:type="dxa"/>
            </w:tcMar>
            <w:shd w:fill="17365D"/>
          </w:tcPr>
          <w:p>
            <w:pPr>
              <w:spacing w:after="0" w:line="240" w:lineRule="auto"/>
            </w:pPr>
            <w:r>
              <w:rPr>
                <w:b/>
                <w:color w:val="FFFFFF"/>
                <w:sz w:val="16"/>
              </w:rPr>
            </w:r>
            <w:r>
              <w:rPr>
                <w:rFonts w:ascii="Aptos" w:hAnsi="Aptos" w:eastAsia="Aptos"/>
                <w:b/>
                <w:i w:val="0"/>
                <w:color w:val="FFFFFF"/>
                <w:sz w:val="16"/>
              </w:rPr>
              <w:t>Scenario</w:t>
            </w:r>
          </w:p>
        </w:tc>
        <w:tc>
          <w:tcPr>
            <w:tcW w:type="dxa" w:w="1728"/>
            <w:vAlign w:val="center"/>
            <w:tcMar>
              <w:top w:w="75" w:type="dxa"/>
              <w:start w:w="80" w:type="dxa"/>
              <w:bottom w:w="75" w:type="dxa"/>
              <w:end w:w="80" w:type="dxa"/>
            </w:tcMar>
            <w:shd w:fill="17365D"/>
          </w:tcPr>
          <w:p>
            <w:pPr>
              <w:spacing w:after="0" w:line="240" w:lineRule="auto"/>
            </w:pPr>
            <w:r>
              <w:rPr>
                <w:b/>
                <w:color w:val="FFFFFF"/>
                <w:sz w:val="16"/>
              </w:rPr>
            </w:r>
            <w:r>
              <w:rPr>
                <w:rFonts w:ascii="Aptos" w:hAnsi="Aptos" w:eastAsia="Aptos"/>
                <w:b/>
                <w:i w:val="0"/>
                <w:color w:val="FFFFFF"/>
                <w:sz w:val="16"/>
              </w:rPr>
              <w:t>Item</w:t>
            </w:r>
          </w:p>
        </w:tc>
        <w:tc>
          <w:tcPr>
            <w:tcW w:type="dxa" w:w="1728"/>
            <w:vAlign w:val="center"/>
            <w:tcMar>
              <w:top w:w="75" w:type="dxa"/>
              <w:start w:w="80" w:type="dxa"/>
              <w:bottom w:w="75" w:type="dxa"/>
              <w:end w:w="80" w:type="dxa"/>
            </w:tcMar>
            <w:shd w:fill="17365D"/>
          </w:tcPr>
          <w:p>
            <w:pPr>
              <w:spacing w:after="0" w:line="240" w:lineRule="auto"/>
            </w:pPr>
            <w:r>
              <w:rPr>
                <w:b/>
                <w:color w:val="FFFFFF"/>
                <w:sz w:val="16"/>
              </w:rPr>
            </w:r>
            <w:r>
              <w:rPr>
                <w:rFonts w:ascii="Aptos" w:hAnsi="Aptos" w:eastAsia="Aptos"/>
                <w:b/>
                <w:i w:val="0"/>
                <w:color w:val="FFFFFF"/>
                <w:sz w:val="16"/>
              </w:rPr>
              <w:t>Declared delivery</w:t>
            </w:r>
          </w:p>
        </w:tc>
        <w:tc>
          <w:tcPr>
            <w:tcW w:type="dxa" w:w="1728"/>
            <w:vAlign w:val="center"/>
            <w:tcMar>
              <w:top w:w="75" w:type="dxa"/>
              <w:start w:w="80" w:type="dxa"/>
              <w:bottom w:w="75" w:type="dxa"/>
              <w:end w:w="80" w:type="dxa"/>
            </w:tcMar>
            <w:shd w:fill="17365D"/>
          </w:tcPr>
          <w:p>
            <w:pPr>
              <w:spacing w:after="0" w:line="240" w:lineRule="auto"/>
            </w:pPr>
            <w:r>
              <w:rPr>
                <w:b/>
                <w:color w:val="FFFFFF"/>
                <w:sz w:val="16"/>
              </w:rPr>
            </w:r>
            <w:r>
              <w:rPr>
                <w:rFonts w:ascii="Aptos" w:hAnsi="Aptos" w:eastAsia="Aptos"/>
                <w:b/>
                <w:i w:val="0"/>
                <w:color w:val="FFFFFF"/>
                <w:sz w:val="16"/>
              </w:rPr>
              <w:t>Britium charge</w:t>
            </w:r>
          </w:p>
        </w:tc>
        <w:tc>
          <w:tcPr>
            <w:tcW w:type="dxa" w:w="1728"/>
            <w:vAlign w:val="center"/>
            <w:tcMar>
              <w:top w:w="75" w:type="dxa"/>
              <w:start w:w="80" w:type="dxa"/>
              <w:bottom w:w="75" w:type="dxa"/>
              <w:end w:w="80" w:type="dxa"/>
            </w:tcMar>
            <w:shd w:fill="17365D"/>
          </w:tcPr>
          <w:p>
            <w:pPr>
              <w:spacing w:after="0" w:line="240" w:lineRule="auto"/>
            </w:pPr>
            <w:r>
              <w:rPr>
                <w:b/>
                <w:color w:val="FFFFFF"/>
                <w:sz w:val="16"/>
              </w:rPr>
            </w:r>
            <w:r>
              <w:rPr>
                <w:rFonts w:ascii="Aptos" w:hAnsi="Aptos" w:eastAsia="Aptos"/>
                <w:b/>
                <w:i w:val="0"/>
                <w:color w:val="FFFFFF"/>
                <w:sz w:val="16"/>
              </w:rPr>
              <w:t>Customer collects</w:t>
            </w:r>
          </w:p>
        </w:tc>
        <w:tc>
          <w:tcPr>
            <w:tcW w:type="dxa" w:w="1728"/>
            <w:vAlign w:val="center"/>
            <w:tcMar>
              <w:top w:w="75" w:type="dxa"/>
              <w:start w:w="80" w:type="dxa"/>
              <w:bottom w:w="75" w:type="dxa"/>
              <w:end w:w="80" w:type="dxa"/>
            </w:tcMar>
            <w:shd w:fill="17365D"/>
          </w:tcPr>
          <w:p>
            <w:pPr>
              <w:spacing w:after="0" w:line="240" w:lineRule="auto"/>
            </w:pPr>
            <w:r>
              <w:rPr>
                <w:b/>
                <w:color w:val="FFFFFF"/>
                <w:sz w:val="16"/>
              </w:rPr>
            </w:r>
            <w:r>
              <w:rPr>
                <w:rFonts w:ascii="Aptos" w:hAnsi="Aptos" w:eastAsia="Aptos"/>
                <w:b/>
                <w:i w:val="0"/>
                <w:color w:val="FFFFFF"/>
                <w:sz w:val="16"/>
              </w:rPr>
              <w:t>Merchant settlement</w:t>
            </w:r>
          </w:p>
        </w:tc>
      </w:tr>
      <w:tr>
        <w:trPr>
          <w:cantSplit/>
        </w:trPr>
        <w:tc>
          <w:tcPr>
            <w:tcW w:type="dxa" w:w="1728"/>
            <w:vAlign w:val="center"/>
            <w:tcMar>
              <w:top w:w="75" w:type="dxa"/>
              <w:start w:w="80" w:type="dxa"/>
              <w:bottom w:w="75" w:type="dxa"/>
              <w:end w:w="80" w:type="dxa"/>
            </w:tcMar>
          </w:tcPr>
          <w:p>
            <w:pPr>
              <w:spacing w:after="0" w:line="240" w:lineRule="auto"/>
            </w:pPr>
            <w:r>
              <w:rPr>
                <w:color w:val="0A1628"/>
                <w:sz w:val="16"/>
              </w:rPr>
            </w:r>
            <w:r>
              <w:rPr>
                <w:rFonts w:ascii="Aptos" w:hAnsi="Aptos" w:eastAsia="Aptos"/>
                <w:b w:val="0"/>
                <w:i w:val="0"/>
                <w:color w:val="0A1628"/>
                <w:sz w:val="16"/>
              </w:rPr>
              <w:t>Merchant charged more</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25,000</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6,000</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4,500</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31,000</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26,500</w:t>
            </w:r>
          </w:p>
        </w:tc>
      </w:tr>
      <w:tr>
        <w:trPr>
          <w:cantSplit/>
        </w:trPr>
        <w:tc>
          <w:tcPr>
            <w:tcW w:type="dxa" w:w="1728"/>
            <w:vAlign w:val="center"/>
            <w:tcMar>
              <w:top w:w="75" w:type="dxa"/>
              <w:start w:w="80" w:type="dxa"/>
              <w:bottom w:w="75" w:type="dxa"/>
              <w:end w:w="80" w:type="dxa"/>
            </w:tcMar>
            <w:shd w:fill="F7F9FC"/>
          </w:tcPr>
          <w:p>
            <w:pPr>
              <w:spacing w:after="0" w:line="240" w:lineRule="auto"/>
            </w:pPr>
            <w:r>
              <w:rPr>
                <w:color w:val="0A1628"/>
                <w:sz w:val="16"/>
              </w:rPr>
            </w:r>
            <w:r>
              <w:rPr>
                <w:rFonts w:ascii="Aptos" w:hAnsi="Aptos" w:eastAsia="Aptos"/>
                <w:b w:val="0"/>
                <w:i w:val="0"/>
                <w:color w:val="0A1628"/>
                <w:sz w:val="16"/>
              </w:rPr>
              <w:t>Merchant charged less</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25,000</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3,000</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4,500</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28,000</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23,500</w:t>
            </w:r>
          </w:p>
        </w:tc>
      </w:tr>
      <w:tr>
        <w:trPr>
          <w:cantSplit/>
        </w:trPr>
        <w:tc>
          <w:tcPr>
            <w:tcW w:type="dxa" w:w="1728"/>
            <w:vAlign w:val="center"/>
            <w:tcMar>
              <w:top w:w="75" w:type="dxa"/>
              <w:start w:w="80" w:type="dxa"/>
              <w:bottom w:w="75" w:type="dxa"/>
              <w:end w:w="80" w:type="dxa"/>
            </w:tcMar>
          </w:tcPr>
          <w:p>
            <w:pPr>
              <w:spacing w:after="0" w:line="240" w:lineRule="auto"/>
            </w:pPr>
            <w:r>
              <w:rPr>
                <w:color w:val="0A1628"/>
                <w:sz w:val="16"/>
              </w:rPr>
            </w:r>
            <w:r>
              <w:rPr>
                <w:rFonts w:ascii="Aptos" w:hAnsi="Aptos" w:eastAsia="Aptos"/>
                <w:b w:val="0"/>
                <w:i w:val="0"/>
                <w:color w:val="0A1628"/>
                <w:sz w:val="16"/>
              </w:rPr>
              <w:t>Equal delivery</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25,000</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4,500</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4,500</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29,500</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25,000</w:t>
            </w:r>
          </w:p>
        </w:tc>
      </w:tr>
      <w:tr>
        <w:trPr>
          <w:cantSplit/>
        </w:trPr>
        <w:tc>
          <w:tcPr>
            <w:tcW w:type="dxa" w:w="1728"/>
            <w:vAlign w:val="center"/>
            <w:tcMar>
              <w:top w:w="75" w:type="dxa"/>
              <w:start w:w="80" w:type="dxa"/>
              <w:bottom w:w="75" w:type="dxa"/>
              <w:end w:w="80" w:type="dxa"/>
            </w:tcMar>
            <w:shd w:fill="F7F9FC"/>
          </w:tcPr>
          <w:p>
            <w:pPr>
              <w:spacing w:after="0" w:line="240" w:lineRule="auto"/>
            </w:pPr>
            <w:r>
              <w:rPr>
                <w:color w:val="0A1628"/>
                <w:sz w:val="16"/>
              </w:rPr>
            </w:r>
            <w:r>
              <w:rPr>
                <w:rFonts w:ascii="Aptos" w:hAnsi="Aptos" w:eastAsia="Aptos"/>
                <w:b w:val="0"/>
                <w:i w:val="0"/>
                <w:color w:val="0A1628"/>
                <w:sz w:val="16"/>
              </w:rPr>
              <w:t>Merchant pays delivery</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25,000</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0</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4,500</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25,000</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20,500</w:t>
            </w:r>
          </w:p>
        </w:tc>
      </w:tr>
    </w:tbl>
    <w:p>
      <w:pPr>
        <w:spacing w:after="0"/>
      </w:pPr>
    </w:p>
    <w:p>
      <w:pPr>
        <w:pStyle w:val="Heading3"/>
        <w:keepNext/>
      </w:pPr>
      <w:r>
        <w:rPr>
          <w:rFonts w:ascii="Aptos" w:hAnsi="Aptos" w:eastAsia="Aptos"/>
          <w:b w:val="0"/>
          <w:i w:val="0"/>
          <w:color w:val="0A1628"/>
          <w:sz w:val="20"/>
        </w:rPr>
        <w:t>5.4 Reconciliation</w:t>
      </w:r>
    </w:p>
    <w:p>
      <w:r>
        <w:rPr>
          <w:rFonts w:ascii="Aptos" w:hAnsi="Aptos" w:eastAsia="Aptos"/>
          <w:b w:val="0"/>
          <w:i w:val="0"/>
          <w:color w:val="0A1628"/>
          <w:sz w:val="20"/>
        </w:rPr>
        <w:t>For the normal merchant-owned item and delivery-difference model:</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customer_total_collection</w:t>
              <w:br/>
              <w:t>= merchant_final_settlement_amount</w:t>
              <w:br/>
              <w:t>+ Britium_net_system_delivery_charge</w:t>
              <w:br/>
              <w:t>+ company_owned_additional_customer_charges</w:t>
              <w:br/>
              <w:t>- merchant_credits_not_collected_from_customer</w:t>
              <w:br/>
              <w:t>+ merchant_charges_not_collected_from_customer</w:t>
            </w:r>
          </w:p>
        </w:tc>
      </w:tr>
    </w:tbl>
    <w:p>
      <w:pPr>
        <w:spacing w:after="0"/>
      </w:pPr>
    </w:p>
    <w:p>
      <w:r>
        <w:rPr>
          <w:rFonts w:ascii="Aptos" w:hAnsi="Aptos" w:eastAsia="Aptos"/>
          <w:b w:val="0"/>
          <w:i w:val="0"/>
          <w:color w:val="0A1628"/>
          <w:sz w:val="20"/>
        </w:rPr>
        <w:t>The backend must produce an explicit reconciliation result and block settlement for any unexplained difference.</w:t>
      </w:r>
    </w:p>
    <w:p>
      <w:pPr>
        <w:pStyle w:val="Heading2"/>
        <w:keepNext/>
      </w:pPr>
      <w:r>
        <w:rPr>
          <w:rFonts w:ascii="Aptos" w:hAnsi="Aptos" w:eastAsia="Aptos"/>
          <w:b w:val="0"/>
          <w:i w:val="0"/>
          <w:color w:val="0A1628"/>
          <w:sz w:val="20"/>
        </w:rPr>
        <w:t>6. Financial Settlement Screen</w:t>
      </w:r>
    </w:p>
    <w:p>
      <w:pPr>
        <w:pStyle w:val="Heading3"/>
        <w:keepNext/>
      </w:pPr>
      <w:r>
        <w:rPr>
          <w:rFonts w:ascii="Aptos" w:hAnsi="Aptos" w:eastAsia="Aptos"/>
          <w:b w:val="0"/>
          <w:i w:val="0"/>
          <w:color w:val="0A1628"/>
          <w:sz w:val="20"/>
        </w:rPr>
        <w:t>6.1 User groups</w:t>
      </w:r>
    </w:p>
    <w:p>
      <w:r>
        <w:rPr>
          <w:rFonts w:ascii="Aptos" w:hAnsi="Aptos" w:eastAsia="Aptos"/>
          <w:b w:val="0"/>
          <w:i w:val="0"/>
          <w:color w:val="0A1628"/>
          <w:sz w:val="20"/>
        </w:rPr>
        <w:t>The screen supports:</w:t>
      </w:r>
    </w:p>
    <w:p>
      <w:pPr>
        <w:pStyle w:val="ListBullet"/>
        <w:ind w:left="0"/>
      </w:pPr>
      <w:r>
        <w:rPr>
          <w:rFonts w:ascii="Aptos" w:hAnsi="Aptos" w:eastAsia="Aptos"/>
          <w:b w:val="0"/>
          <w:i w:val="0"/>
          <w:color w:val="0A1628"/>
          <w:sz w:val="20"/>
        </w:rPr>
        <w:t>Internal Finance Team.</w:t>
      </w:r>
    </w:p>
    <w:p>
      <w:pPr>
        <w:pStyle w:val="ListBullet"/>
        <w:ind w:left="0"/>
      </w:pPr>
      <w:r>
        <w:rPr>
          <w:rFonts w:ascii="Aptos" w:hAnsi="Aptos" w:eastAsia="Aptos"/>
          <w:b w:val="0"/>
          <w:i w:val="0"/>
          <w:color w:val="0A1628"/>
          <w:sz w:val="20"/>
        </w:rPr>
        <w:t>Merchant/Online Seller portal users.</w:t>
      </w:r>
    </w:p>
    <w:p>
      <w:r>
        <w:rPr>
          <w:rFonts w:ascii="Aptos" w:hAnsi="Aptos" w:eastAsia="Aptos"/>
          <w:b w:val="0"/>
          <w:i w:val="0"/>
          <w:color w:val="0A1628"/>
          <w:sz w:val="20"/>
        </w:rPr>
        <w:t>Both use the same stored parcel financial snapshots. Merchants can access only their own records and cannot see partner costs, internal notes, branch cash positions, company margin, risk flags, or other merchants.</w:t>
      </w:r>
    </w:p>
    <w:p>
      <w:pPr>
        <w:pStyle w:val="Heading3"/>
        <w:keepNext/>
      </w:pPr>
      <w:r>
        <w:rPr>
          <w:rFonts w:ascii="Aptos" w:hAnsi="Aptos" w:eastAsia="Aptos"/>
          <w:b w:val="0"/>
          <w:i w:val="0"/>
          <w:color w:val="0A1628"/>
          <w:sz w:val="20"/>
        </w:rPr>
        <w:t>6.2 Finance navigation</w:t>
      </w:r>
    </w:p>
    <w:p>
      <w:pPr>
        <w:pStyle w:val="ListBullet"/>
        <w:ind w:left="0"/>
      </w:pPr>
      <w:r>
        <w:rPr>
          <w:rFonts w:ascii="Aptos" w:hAnsi="Aptos" w:eastAsia="Aptos"/>
          <w:b w:val="0"/>
          <w:i w:val="0"/>
          <w:color w:val="0A1628"/>
          <w:sz w:val="20"/>
        </w:rPr>
        <w:t>Overview.</w:t>
      </w:r>
    </w:p>
    <w:p>
      <w:pPr>
        <w:pStyle w:val="ListBullet"/>
        <w:ind w:left="0"/>
      </w:pPr>
      <w:r>
        <w:rPr>
          <w:rFonts w:ascii="Aptos" w:hAnsi="Aptos" w:eastAsia="Aptos"/>
          <w:b w:val="0"/>
          <w:i w:val="0"/>
          <w:color w:val="0A1628"/>
          <w:sz w:val="20"/>
        </w:rPr>
        <w:t>Pending Settlement.</w:t>
      </w:r>
    </w:p>
    <w:p>
      <w:pPr>
        <w:pStyle w:val="ListBullet"/>
        <w:ind w:left="0"/>
      </w:pPr>
      <w:r>
        <w:rPr>
          <w:rFonts w:ascii="Aptos" w:hAnsi="Aptos" w:eastAsia="Aptos"/>
          <w:b w:val="0"/>
          <w:i w:val="0"/>
          <w:color w:val="0A1628"/>
          <w:sz w:val="20"/>
        </w:rPr>
        <w:t>Settlement Batches.</w:t>
      </w:r>
    </w:p>
    <w:p>
      <w:pPr>
        <w:pStyle w:val="ListBullet"/>
        <w:ind w:left="0"/>
      </w:pPr>
      <w:r>
        <w:rPr>
          <w:rFonts w:ascii="Aptos" w:hAnsi="Aptos" w:eastAsia="Aptos"/>
          <w:b w:val="0"/>
          <w:i w:val="0"/>
          <w:color w:val="0A1628"/>
          <w:sz w:val="20"/>
        </w:rPr>
        <w:t>Payments.</w:t>
      </w:r>
    </w:p>
    <w:p>
      <w:pPr>
        <w:pStyle w:val="ListBullet"/>
        <w:ind w:left="0"/>
      </w:pPr>
      <w:r>
        <w:rPr>
          <w:rFonts w:ascii="Aptos" w:hAnsi="Aptos" w:eastAsia="Aptos"/>
          <w:b w:val="0"/>
          <w:i w:val="0"/>
          <w:color w:val="0A1628"/>
          <w:sz w:val="20"/>
        </w:rPr>
        <w:t>Exceptions.</w:t>
      </w:r>
    </w:p>
    <w:p>
      <w:pPr>
        <w:pStyle w:val="ListBullet"/>
        <w:ind w:left="0"/>
      </w:pPr>
      <w:r>
        <w:rPr>
          <w:rFonts w:ascii="Aptos" w:hAnsi="Aptos" w:eastAsia="Aptos"/>
          <w:b w:val="0"/>
          <w:i w:val="0"/>
          <w:color w:val="0A1628"/>
          <w:sz w:val="20"/>
        </w:rPr>
        <w:t>Disputes.</w:t>
      </w:r>
    </w:p>
    <w:p>
      <w:pPr>
        <w:pStyle w:val="ListBullet"/>
        <w:ind w:left="0"/>
      </w:pPr>
      <w:r>
        <w:rPr>
          <w:rFonts w:ascii="Aptos" w:hAnsi="Aptos" w:eastAsia="Aptos"/>
          <w:b w:val="0"/>
          <w:i w:val="0"/>
          <w:color w:val="0A1628"/>
          <w:sz w:val="20"/>
        </w:rPr>
        <w:t>Partner Settlements.</w:t>
      </w:r>
    </w:p>
    <w:p>
      <w:pPr>
        <w:pStyle w:val="ListBullet"/>
        <w:ind w:left="0"/>
      </w:pPr>
      <w:r>
        <w:rPr>
          <w:rFonts w:ascii="Aptos" w:hAnsi="Aptos" w:eastAsia="Aptos"/>
          <w:b w:val="0"/>
          <w:i w:val="0"/>
          <w:color w:val="0A1628"/>
          <w:sz w:val="20"/>
        </w:rPr>
        <w:t>Branch Reconciliation.</w:t>
      </w:r>
    </w:p>
    <w:p>
      <w:pPr>
        <w:pStyle w:val="ListBullet"/>
        <w:ind w:left="0"/>
      </w:pPr>
      <w:r>
        <w:rPr>
          <w:rFonts w:ascii="Aptos" w:hAnsi="Aptos" w:eastAsia="Aptos"/>
          <w:b w:val="0"/>
          <w:i w:val="0"/>
          <w:color w:val="0A1628"/>
          <w:sz w:val="20"/>
        </w:rPr>
        <w:t>COD Custody.</w:t>
      </w:r>
    </w:p>
    <w:p>
      <w:pPr>
        <w:pStyle w:val="ListBullet"/>
        <w:ind w:left="0"/>
      </w:pPr>
      <w:r>
        <w:rPr>
          <w:rFonts w:ascii="Aptos" w:hAnsi="Aptos" w:eastAsia="Aptos"/>
          <w:b w:val="0"/>
          <w:i w:val="0"/>
          <w:color w:val="0A1628"/>
          <w:sz w:val="20"/>
        </w:rPr>
        <w:t>Audit Log.</w:t>
      </w:r>
    </w:p>
    <w:p>
      <w:r>
        <w:rPr>
          <w:rFonts w:ascii="Aptos" w:hAnsi="Aptos" w:eastAsia="Aptos"/>
          <w:b w:val="0"/>
          <w:i w:val="0"/>
          <w:color w:val="0A1628"/>
          <w:sz w:val="20"/>
        </w:rPr>
        <w:t>Merchant navigation:</w:t>
      </w:r>
    </w:p>
    <w:p>
      <w:pPr>
        <w:pStyle w:val="ListBullet"/>
        <w:ind w:left="0"/>
      </w:pPr>
      <w:r>
        <w:rPr>
          <w:rFonts w:ascii="Aptos" w:hAnsi="Aptos" w:eastAsia="Aptos"/>
          <w:b w:val="0"/>
          <w:i w:val="0"/>
          <w:color w:val="0A1628"/>
          <w:sz w:val="20"/>
        </w:rPr>
        <w:t>Settlement Summary.</w:t>
      </w:r>
    </w:p>
    <w:p>
      <w:pPr>
        <w:pStyle w:val="ListBullet"/>
        <w:ind w:left="0"/>
      </w:pPr>
      <w:r>
        <w:rPr>
          <w:rFonts w:ascii="Aptos" w:hAnsi="Aptos" w:eastAsia="Aptos"/>
          <w:b w:val="0"/>
          <w:i w:val="0"/>
          <w:color w:val="0A1628"/>
          <w:sz w:val="20"/>
        </w:rPr>
        <w:t>Statements.</w:t>
      </w:r>
    </w:p>
    <w:p>
      <w:pPr>
        <w:pStyle w:val="ListBullet"/>
        <w:ind w:left="0"/>
      </w:pPr>
      <w:r>
        <w:rPr>
          <w:rFonts w:ascii="Aptos" w:hAnsi="Aptos" w:eastAsia="Aptos"/>
          <w:b w:val="0"/>
          <w:i w:val="0"/>
          <w:color w:val="0A1628"/>
          <w:sz w:val="20"/>
        </w:rPr>
        <w:t>Payments.</w:t>
      </w:r>
    </w:p>
    <w:p>
      <w:pPr>
        <w:pStyle w:val="ListBullet"/>
        <w:ind w:left="0"/>
      </w:pPr>
      <w:r>
        <w:rPr>
          <w:rFonts w:ascii="Aptos" w:hAnsi="Aptos" w:eastAsia="Aptos"/>
          <w:b w:val="0"/>
          <w:i w:val="0"/>
          <w:color w:val="0A1628"/>
          <w:sz w:val="20"/>
        </w:rPr>
        <w:t>Parcel Details.</w:t>
      </w:r>
    </w:p>
    <w:p>
      <w:pPr>
        <w:pStyle w:val="ListBullet"/>
        <w:ind w:left="0"/>
      </w:pPr>
      <w:r>
        <w:rPr>
          <w:rFonts w:ascii="Aptos" w:hAnsi="Aptos" w:eastAsia="Aptos"/>
          <w:b w:val="0"/>
          <w:i w:val="0"/>
          <w:color w:val="0A1628"/>
          <w:sz w:val="20"/>
        </w:rPr>
        <w:t>Disputes.</w:t>
      </w:r>
    </w:p>
    <w:p>
      <w:pPr>
        <w:pStyle w:val="Heading3"/>
        <w:keepNext/>
      </w:pPr>
      <w:r>
        <w:rPr>
          <w:rFonts w:ascii="Aptos" w:hAnsi="Aptos" w:eastAsia="Aptos"/>
          <w:b w:val="0"/>
          <w:i w:val="0"/>
          <w:color w:val="0A1628"/>
          <w:sz w:val="20"/>
        </w:rPr>
        <w:t>6.3 Finance KPI cards</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5184"/>
        <w:gridCol w:w="5184"/>
      </w:tblGrid>
      <w:tr>
        <w:trPr>
          <w:tblHeader w:val="true"/>
          <w:cantSplit/>
        </w:trPr>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KPI</w:t>
            </w:r>
          </w:p>
        </w:tc>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Calculation</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Customer Collection</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 xml:space="preserve">Sum of </w:t>
            </w:r>
            <w:r>
              <w:rPr>
                <w:rFonts w:ascii="Consolas" w:hAnsi="Consolas" w:eastAsia="Consolas"/>
                <w:b w:val="0"/>
                <w:i w:val="0"/>
                <w:color w:val="0A1628"/>
                <w:sz w:val="17"/>
                <w:shd w:fill="EEF2F6"/>
              </w:rPr>
              <w:t>cod_amount</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Company Delivery Revenue</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 xml:space="preserve">Sum of </w:t>
            </w:r>
            <w:r>
              <w:rPr>
                <w:rFonts w:ascii="Consolas" w:hAnsi="Consolas" w:eastAsia="Consolas"/>
                <w:b w:val="0"/>
                <w:i w:val="0"/>
                <w:color w:val="0A1628"/>
                <w:sz w:val="17"/>
                <w:shd w:fill="EEF2F6"/>
              </w:rPr>
              <w:t>net_system_delivery_charge</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Merchant Payable</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 xml:space="preserve">Sum of eligible </w:t>
            </w:r>
            <w:r>
              <w:rPr>
                <w:rFonts w:ascii="Consolas" w:hAnsi="Consolas" w:eastAsia="Consolas"/>
                <w:b w:val="0"/>
                <w:i w:val="0"/>
                <w:color w:val="0A1628"/>
                <w:sz w:val="17"/>
                <w:shd w:fill="EEF2F6"/>
              </w:rPr>
              <w:t>merchant_final_settlement_amount</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Delivery Excess Credit</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Sum of positive delivery differences</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Delivery Shortfall</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Absolute sum of negative delivery differences</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Requires Review</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Count of review/error/breakdown-required parcels</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Approved but Unpaid</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Approved batch net payable with unpaid status</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Paid Settlements</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Paid batch totals</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Partner Payable</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Approved third-party settlement payable</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Branch COD Outstanding</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Confirmed branch custody less remitted/approved adjustments</w:t>
            </w:r>
          </w:p>
        </w:tc>
      </w:tr>
    </w:tbl>
    <w:p>
      <w:pPr>
        <w:spacing w:after="0"/>
      </w:pPr>
    </w:p>
    <w:p>
      <w:pPr>
        <w:pStyle w:val="Heading3"/>
        <w:keepNext/>
      </w:pPr>
      <w:r>
        <w:rPr>
          <w:rFonts w:ascii="Aptos" w:hAnsi="Aptos" w:eastAsia="Aptos"/>
          <w:b w:val="0"/>
          <w:i w:val="0"/>
          <w:color w:val="0A1628"/>
          <w:sz w:val="20"/>
        </w:rPr>
        <w:t>6.4 Pending-settlement parcel table</w:t>
      </w:r>
    </w:p>
    <w:p>
      <w:r>
        <w:rPr>
          <w:rFonts w:ascii="Aptos" w:hAnsi="Aptos" w:eastAsia="Aptos"/>
          <w:b w:val="0"/>
          <w:i w:val="0"/>
          <w:color w:val="0A1628"/>
          <w:sz w:val="20"/>
        </w:rPr>
        <w:t>Required columns:</w:t>
      </w:r>
    </w:p>
    <w:p>
      <w:pPr>
        <w:pStyle w:val="ListBullet"/>
        <w:ind w:left="0"/>
      </w:pPr>
      <w:r>
        <w:rPr>
          <w:rFonts w:ascii="Aptos" w:hAnsi="Aptos" w:eastAsia="Aptos"/>
          <w:b w:val="0"/>
          <w:i w:val="0"/>
          <w:color w:val="0A1628"/>
          <w:sz w:val="20"/>
        </w:rPr>
        <w:t>Select.</w:t>
      </w:r>
    </w:p>
    <w:p>
      <w:pPr>
        <w:pStyle w:val="ListBullet"/>
        <w:ind w:left="0"/>
      </w:pPr>
      <w:r>
        <w:rPr>
          <w:rFonts w:ascii="Aptos" w:hAnsi="Aptos" w:eastAsia="Aptos"/>
          <w:b w:val="0"/>
          <w:i w:val="0"/>
          <w:color w:val="0A1628"/>
          <w:sz w:val="20"/>
        </w:rPr>
        <w:t>Waybill/Way ID.</w:t>
      </w:r>
    </w:p>
    <w:p>
      <w:pPr>
        <w:pStyle w:val="ListBullet"/>
        <w:ind w:left="0"/>
      </w:pPr>
      <w:r>
        <w:rPr>
          <w:rFonts w:ascii="Aptos" w:hAnsi="Aptos" w:eastAsia="Aptos"/>
          <w:b w:val="0"/>
          <w:i w:val="0"/>
          <w:color w:val="0A1628"/>
          <w:sz w:val="20"/>
        </w:rPr>
        <w:t>Delivered date.</w:t>
      </w:r>
    </w:p>
    <w:p>
      <w:pPr>
        <w:pStyle w:val="ListBullet"/>
        <w:ind w:left="0"/>
      </w:pPr>
      <w:r>
        <w:rPr>
          <w:rFonts w:ascii="Aptos" w:hAnsi="Aptos" w:eastAsia="Aptos"/>
          <w:b w:val="0"/>
          <w:i w:val="0"/>
          <w:color w:val="0A1628"/>
          <w:sz w:val="20"/>
        </w:rPr>
        <w:t>Merchant and merchant code.</w:t>
      </w:r>
    </w:p>
    <w:p>
      <w:pPr>
        <w:pStyle w:val="ListBullet"/>
        <w:ind w:left="0"/>
      </w:pPr>
      <w:r>
        <w:rPr>
          <w:rFonts w:ascii="Aptos" w:hAnsi="Aptos" w:eastAsia="Aptos"/>
          <w:b w:val="0"/>
          <w:i w:val="0"/>
          <w:color w:val="0A1628"/>
          <w:sz w:val="20"/>
        </w:rPr>
        <w:t>Receiver and destination.</w:t>
      </w:r>
    </w:p>
    <w:p>
      <w:pPr>
        <w:pStyle w:val="ListBullet"/>
        <w:ind w:left="0"/>
      </w:pPr>
      <w:r>
        <w:rPr>
          <w:rFonts w:ascii="Aptos" w:hAnsi="Aptos" w:eastAsia="Aptos"/>
          <w:b w:val="0"/>
          <w:i w:val="0"/>
          <w:color w:val="0A1628"/>
          <w:sz w:val="20"/>
        </w:rPr>
        <w:t>Customer tier and amount-entry type.</w:t>
      </w:r>
    </w:p>
    <w:p>
      <w:pPr>
        <w:pStyle w:val="ListBullet"/>
        <w:ind w:left="0"/>
      </w:pPr>
      <w:r>
        <w:rPr>
          <w:rFonts w:ascii="Aptos" w:hAnsi="Aptos" w:eastAsia="Aptos"/>
          <w:b w:val="0"/>
          <w:i w:val="0"/>
          <w:color w:val="0A1628"/>
          <w:sz w:val="20"/>
        </w:rPr>
        <w:t>Item price.</w:t>
      </w:r>
    </w:p>
    <w:p>
      <w:pPr>
        <w:pStyle w:val="ListBullet"/>
        <w:ind w:left="0"/>
      </w:pPr>
      <w:r>
        <w:rPr>
          <w:rFonts w:ascii="Aptos" w:hAnsi="Aptos" w:eastAsia="Aptos"/>
          <w:b w:val="0"/>
          <w:i w:val="0"/>
          <w:color w:val="0A1628"/>
          <w:sz w:val="20"/>
        </w:rPr>
        <w:t>Merchant-declared delivery.</w:t>
      </w:r>
    </w:p>
    <w:p>
      <w:pPr>
        <w:pStyle w:val="ListBullet"/>
        <w:ind w:left="0"/>
      </w:pPr>
      <w:r>
        <w:rPr>
          <w:rFonts w:ascii="Aptos" w:hAnsi="Aptos" w:eastAsia="Aptos"/>
          <w:b w:val="0"/>
          <w:i w:val="0"/>
          <w:color w:val="0A1628"/>
          <w:sz w:val="20"/>
        </w:rPr>
        <w:t>Customer total collection.</w:t>
      </w:r>
    </w:p>
    <w:p>
      <w:pPr>
        <w:pStyle w:val="ListBullet"/>
        <w:ind w:left="0"/>
      </w:pPr>
      <w:r>
        <w:rPr>
          <w:rFonts w:ascii="Aptos" w:hAnsi="Aptos" w:eastAsia="Aptos"/>
          <w:b w:val="0"/>
          <w:i w:val="0"/>
          <w:color w:val="0A1628"/>
          <w:sz w:val="20"/>
        </w:rPr>
        <w:t>Britium net delivery charge.</w:t>
      </w:r>
    </w:p>
    <w:p>
      <w:pPr>
        <w:pStyle w:val="ListBullet"/>
        <w:ind w:left="0"/>
      </w:pPr>
      <w:r>
        <w:rPr>
          <w:rFonts w:ascii="Aptos" w:hAnsi="Aptos" w:eastAsia="Aptos"/>
          <w:b w:val="0"/>
          <w:i w:val="0"/>
          <w:color w:val="0A1628"/>
          <w:sz w:val="20"/>
        </w:rPr>
        <w:t>Delivery difference.</w:t>
      </w:r>
    </w:p>
    <w:p>
      <w:pPr>
        <w:pStyle w:val="ListBullet"/>
        <w:ind w:left="0"/>
      </w:pPr>
      <w:r>
        <w:rPr>
          <w:rFonts w:ascii="Aptos" w:hAnsi="Aptos" w:eastAsia="Aptos"/>
          <w:b w:val="0"/>
          <w:i w:val="0"/>
          <w:color w:val="0A1628"/>
          <w:sz w:val="20"/>
        </w:rPr>
        <w:t>Settlement direction.</w:t>
      </w:r>
    </w:p>
    <w:p>
      <w:pPr>
        <w:pStyle w:val="ListBullet"/>
        <w:ind w:left="0"/>
      </w:pPr>
      <w:r>
        <w:rPr>
          <w:rFonts w:ascii="Aptos" w:hAnsi="Aptos" w:eastAsia="Aptos"/>
          <w:b w:val="0"/>
          <w:i w:val="0"/>
          <w:color w:val="0A1628"/>
          <w:sz w:val="20"/>
        </w:rPr>
        <w:t>Other merchant credits/charges.</w:t>
      </w:r>
    </w:p>
    <w:p>
      <w:pPr>
        <w:pStyle w:val="ListBullet"/>
        <w:ind w:left="0"/>
      </w:pPr>
      <w:r>
        <w:rPr>
          <w:rFonts w:ascii="Aptos" w:hAnsi="Aptos" w:eastAsia="Aptos"/>
          <w:b w:val="0"/>
          <w:i w:val="0"/>
          <w:color w:val="0A1628"/>
          <w:sz w:val="20"/>
        </w:rPr>
        <w:t>Final merchant settlement.</w:t>
      </w:r>
    </w:p>
    <w:p>
      <w:pPr>
        <w:pStyle w:val="ListBullet"/>
        <w:ind w:left="0"/>
      </w:pPr>
      <w:r>
        <w:rPr>
          <w:rFonts w:ascii="Aptos" w:hAnsi="Aptos" w:eastAsia="Aptos"/>
          <w:b w:val="0"/>
          <w:i w:val="0"/>
          <w:color w:val="0A1628"/>
          <w:sz w:val="20"/>
        </w:rPr>
        <w:t>Fulfillment mode, branch, and provider.</w:t>
      </w:r>
    </w:p>
    <w:p>
      <w:pPr>
        <w:pStyle w:val="ListBullet"/>
        <w:ind w:left="0"/>
      </w:pPr>
      <w:r>
        <w:rPr>
          <w:rFonts w:ascii="Aptos" w:hAnsi="Aptos" w:eastAsia="Aptos"/>
          <w:b w:val="0"/>
          <w:i w:val="0"/>
          <w:color w:val="0A1628"/>
          <w:sz w:val="20"/>
        </w:rPr>
        <w:t>Validation and eligibility.</w:t>
      </w:r>
    </w:p>
    <w:p>
      <w:pPr>
        <w:pStyle w:val="ListBullet"/>
        <w:ind w:left="0"/>
      </w:pPr>
      <w:r>
        <w:rPr>
          <w:rFonts w:ascii="Aptos" w:hAnsi="Aptos" w:eastAsia="Aptos"/>
          <w:b w:val="0"/>
          <w:i w:val="0"/>
          <w:color w:val="0A1628"/>
          <w:sz w:val="20"/>
        </w:rPr>
        <w:t>Actions.</w:t>
      </w:r>
    </w:p>
    <w:p>
      <w:r>
        <w:rPr>
          <w:rFonts w:ascii="Aptos" w:hAnsi="Aptos" w:eastAsia="Aptos"/>
          <w:b w:val="0"/>
          <w:i w:val="0"/>
          <w:color w:val="0A1628"/>
          <w:sz w:val="20"/>
        </w:rPr>
        <w:t xml:space="preserve">A parcel is eligible only when delivered, validation is </w:t>
      </w:r>
      <w:r>
        <w:rPr>
          <w:rFonts w:ascii="Consolas" w:hAnsi="Consolas" w:eastAsia="Consolas"/>
          <w:b w:val="0"/>
          <w:i w:val="0"/>
          <w:color w:val="0A1628"/>
          <w:sz w:val="17"/>
          <w:shd w:fill="EEF2F6"/>
        </w:rPr>
        <w:t>OK</w:t>
      </w:r>
      <w:r>
        <w:rPr>
          <w:rFonts w:ascii="Aptos" w:hAnsi="Aptos" w:eastAsia="Aptos"/>
          <w:b w:val="0"/>
          <w:i w:val="0"/>
          <w:color w:val="0A1628"/>
          <w:sz w:val="20"/>
        </w:rPr>
        <w:t>, lineage is valid, no breakdown is required, no financial hold exists, and it is not already batched or settled.</w:t>
      </w:r>
    </w:p>
    <w:p>
      <w:pPr>
        <w:pStyle w:val="Heading3"/>
        <w:keepNext/>
      </w:pPr>
      <w:r>
        <w:rPr>
          <w:rFonts w:ascii="Aptos" w:hAnsi="Aptos" w:eastAsia="Aptos"/>
          <w:b w:val="0"/>
          <w:i w:val="0"/>
          <w:color w:val="0A1628"/>
          <w:sz w:val="20"/>
        </w:rPr>
        <w:t>6.5 Batch workflow</w:t>
      </w:r>
    </w:p>
    <w:p>
      <w:r>
        <w:rPr>
          <w:rFonts w:ascii="Aptos" w:hAnsi="Aptos" w:eastAsia="Aptos"/>
          <w:b w:val="0"/>
          <w:i w:val="0"/>
          <w:color w:val="0A1628"/>
          <w:sz w:val="20"/>
        </w:rPr>
        <w:t>Statuses: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DRAFT</w:t>
              <w:br/>
              <w:t>UNDER_REVIEW</w:t>
              <w:br/>
              <w:t>PENDING_APPROVAL</w:t>
              <w:br/>
              <w:t>APPROVED</w:t>
              <w:br/>
              <w:t>PAYMENT_PROCESSING</w:t>
              <w:br/>
              <w:t>PARTIALLY_PAID</w:t>
              <w:br/>
              <w:t>PAID</w:t>
              <w:br/>
              <w:t>REJECTED</w:t>
              <w:br/>
              <w:t>CANCELLED</w:t>
              <w:br/>
              <w:t>REOPENED</w:t>
            </w:r>
          </w:p>
        </w:tc>
      </w:tr>
    </w:tbl>
    <w:p>
      <w:pPr>
        <w:spacing w:after="0"/>
      </w:pPr>
    </w:p>
    <w:p>
      <w:r>
        <w:rPr>
          <w:rFonts w:ascii="Aptos" w:hAnsi="Aptos" w:eastAsia="Aptos"/>
          <w:b w:val="0"/>
          <w:i w:val="0"/>
          <w:color w:val="0A1628"/>
          <w:sz w:val="20"/>
        </w:rPr>
        <w:t>Normal workflow:</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DRAFT -&gt; UNDER_REVIEW -&gt; PENDING_APPROVAL -&gt; APPROVED -&gt; PAYMENT_PROCESSING -&gt; PAID</w:t>
            </w:r>
          </w:p>
        </w:tc>
      </w:tr>
    </w:tbl>
    <w:p>
      <w:pPr>
        <w:spacing w:after="0"/>
      </w:pPr>
    </w:p>
    <w:p>
      <w:r>
        <w:rPr>
          <w:rFonts w:ascii="Aptos" w:hAnsi="Aptos" w:eastAsia="Aptos"/>
          <w:b w:val="0"/>
          <w:i w:val="0"/>
          <w:color w:val="0A1628"/>
          <w:sz w:val="20"/>
        </w:rPr>
        <w:t>The creator cannot approve their own batch when maker-checker is enabled. Paid batches are corrected through adjustment batches.</w:t>
      </w:r>
    </w:p>
    <w:p>
      <w:pPr>
        <w:pStyle w:val="Heading3"/>
        <w:keepNext/>
      </w:pPr>
      <w:r>
        <w:rPr>
          <w:rFonts w:ascii="Aptos" w:hAnsi="Aptos" w:eastAsia="Aptos"/>
          <w:b w:val="0"/>
          <w:i w:val="0"/>
          <w:color w:val="0A1628"/>
          <w:sz w:val="20"/>
        </w:rPr>
        <w:t>6.6 Batch calculation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parcel_settlement_total</w:t>
              <w:br/>
              <w:t>= SUM(merchant_final_settlement_amount)</w:t>
              <w:br/>
              <w:br/>
              <w:t>batch_net_payable</w:t>
              <w:br/>
              <w:t>= parcel_settlement_total</w:t>
              <w:br/>
              <w:t>+ batch_level_credits</w:t>
              <w:br/>
              <w:t>- batch_level_deductions</w:t>
              <w:br/>
              <w:t>- advance_recovery</w:t>
              <w:br/>
              <w:t>- withholding_tax</w:t>
            </w:r>
          </w:p>
        </w:tc>
      </w:tr>
    </w:tbl>
    <w:p>
      <w:pPr>
        <w:spacing w:after="0"/>
      </w:pPr>
    </w:p>
    <w:p>
      <w:r>
        <w:rPr>
          <w:rFonts w:ascii="Aptos" w:hAnsi="Aptos" w:eastAsia="Aptos"/>
          <w:b w:val="0"/>
          <w:i w:val="0"/>
          <w:color w:val="0A1628"/>
          <w:sz w:val="20"/>
        </w:rPr>
        <w:t>A negative batch creates a merchant receivable/carry-forward balance.</w:t>
      </w:r>
    </w:p>
    <w:p>
      <w:pPr>
        <w:pStyle w:val="Heading3"/>
        <w:keepNext/>
      </w:pPr>
      <w:r>
        <w:rPr>
          <w:rFonts w:ascii="Aptos" w:hAnsi="Aptos" w:eastAsia="Aptos"/>
          <w:b w:val="0"/>
          <w:i w:val="0"/>
          <w:color w:val="0A1628"/>
          <w:sz w:val="20"/>
        </w:rPr>
        <w:t>6.7 Exact-collection resolution</w:t>
      </w:r>
    </w:p>
    <w:p>
      <w:r>
        <w:rPr>
          <w:rFonts w:ascii="Aptos" w:hAnsi="Aptos" w:eastAsia="Aptos"/>
          <w:b w:val="0"/>
          <w:i w:val="0"/>
          <w:color w:val="0A1628"/>
          <w:sz w:val="20"/>
        </w:rPr>
        <w:t>An authorized employee must enter confirmed item price, confirmed delivery charge, confirmed additional customer charge, reason, and evidence. The following must reconcile: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confirmed_item_price</w:t>
              <w:br/>
              <w:t>+ confirmed_delivery_charge</w:t>
              <w:br/>
              <w:t>+ confirmed_additional_customer_charge</w:t>
              <w:br/>
              <w:t>= exact_collection_amount</w:t>
            </w:r>
          </w:p>
        </w:tc>
      </w:tr>
    </w:tbl>
    <w:p>
      <w:pPr>
        <w:spacing w:after="0"/>
      </w:pPr>
    </w:p>
    <w:p>
      <w:r>
        <w:rPr>
          <w:rFonts w:ascii="Aptos" w:hAnsi="Aptos" w:eastAsia="Aptos"/>
          <w:b w:val="0"/>
          <w:i w:val="0"/>
          <w:color w:val="0A1628"/>
          <w:sz w:val="20"/>
        </w:rPr>
        <w:t>After approval, the backend recalculates and releases settlement eligibility.</w:t>
      </w:r>
    </w:p>
    <w:p>
      <w:pPr>
        <w:pStyle w:val="Heading3"/>
        <w:keepNext/>
      </w:pPr>
      <w:r>
        <w:rPr>
          <w:rFonts w:ascii="Aptos" w:hAnsi="Aptos" w:eastAsia="Aptos"/>
          <w:b w:val="0"/>
          <w:i w:val="0"/>
          <w:color w:val="0A1628"/>
          <w:sz w:val="20"/>
        </w:rPr>
        <w:t>6.8 Payment controls</w:t>
      </w:r>
    </w:p>
    <w:p>
      <w:r>
        <w:rPr>
          <w:rFonts w:ascii="Aptos" w:hAnsi="Aptos" w:eastAsia="Aptos"/>
          <w:b w:val="0"/>
          <w:i w:val="0"/>
          <w:color w:val="0A1628"/>
          <w:sz w:val="20"/>
        </w:rPr>
        <w:t>Support scheduled, processing, partial, paid, failed, and reversed payments. Each payment transaction is immutable and separate. Outstanding amount is: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outstanding_amount = batch_net_payable - total_confirmed_paid_amount</w:t>
            </w:r>
          </w:p>
        </w:tc>
      </w:tr>
    </w:tbl>
    <w:p>
      <w:pPr>
        <w:spacing w:after="0"/>
      </w:pPr>
    </w:p>
    <w:p>
      <w:pPr>
        <w:pStyle w:val="Heading3"/>
        <w:keepNext/>
      </w:pPr>
      <w:r>
        <w:rPr>
          <w:rFonts w:ascii="Aptos" w:hAnsi="Aptos" w:eastAsia="Aptos"/>
          <w:b w:val="0"/>
          <w:i w:val="0"/>
          <w:color w:val="0A1628"/>
          <w:sz w:val="20"/>
        </w:rPr>
        <w:t>6.9 Merchant statements</w:t>
      </w:r>
    </w:p>
    <w:p>
      <w:r>
        <w:rPr>
          <w:rFonts w:ascii="Aptos" w:hAnsi="Aptos" w:eastAsia="Aptos"/>
          <w:b w:val="0"/>
          <w:i w:val="0"/>
          <w:color w:val="0A1628"/>
          <w:sz w:val="20"/>
        </w:rPr>
        <w:t>Statements must show batch reference, period, parcel count, item value, delivery collected, Britium delivery charge, excess credit, shortfall deduction, other credits/deductions, tax, final settlement, amount paid, outstanding amount, and parcel-level breakdown.</w:t>
      </w:r>
    </w:p>
    <w:p>
      <w:pPr>
        <w:pStyle w:val="Heading3"/>
        <w:keepNext/>
      </w:pPr>
      <w:r>
        <w:rPr>
          <w:rFonts w:ascii="Aptos" w:hAnsi="Aptos" w:eastAsia="Aptos"/>
          <w:b w:val="0"/>
          <w:i w:val="0"/>
          <w:color w:val="0A1628"/>
          <w:sz w:val="20"/>
        </w:rPr>
        <w:t>6.10 Disputes and adjustments</w:t>
      </w:r>
    </w:p>
    <w:p>
      <w:r>
        <w:rPr>
          <w:rFonts w:ascii="Aptos" w:hAnsi="Aptos" w:eastAsia="Aptos"/>
          <w:b w:val="0"/>
          <w:i w:val="0"/>
          <w:color w:val="0A1628"/>
          <w:sz w:val="20"/>
        </w:rPr>
        <w:t>Supported dispute categories include missing parcel, incorrect item price, incorrect delivery amount, incorrect tariff/weight surcharge, missing excess credit, incorrect shortfall deduction, missing payment, and other settlement issues.</w:t>
      </w:r>
    </w:p>
    <w:p>
      <w:r>
        <w:rPr>
          <w:rFonts w:ascii="Aptos" w:hAnsi="Aptos" w:eastAsia="Aptos"/>
          <w:b w:val="0"/>
          <w:i w:val="0"/>
          <w:color w:val="0A1628"/>
          <w:sz w:val="20"/>
        </w:rPr>
        <w:t>Paid records must use adjustment types such as delivery-excess correction, delivery-shortfall correction, item-price correction, surcharge correction, other credit/deduction, and payment reversal.</w:t>
      </w:r>
    </w:p>
    <w:p>
      <w:pPr>
        <w:pStyle w:val="Heading3"/>
        <w:keepNext/>
      </w:pPr>
      <w:r>
        <w:rPr>
          <w:rFonts w:ascii="Aptos" w:hAnsi="Aptos" w:eastAsia="Aptos"/>
          <w:b w:val="0"/>
          <w:i w:val="0"/>
          <w:color w:val="0A1628"/>
          <w:sz w:val="20"/>
        </w:rPr>
        <w:t>6.11 Recommended APIs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GET  /api/finance/settlements/dashboard</w:t>
              <w:br/>
              <w:t>GET  /api/finance/settlements/pending-parcels</w:t>
              <w:br/>
              <w:t>POST /api/finance/settlement-batches</w:t>
              <w:br/>
              <w:t>POST /api/finance/settlement-batches/{batchId}/submit</w:t>
              <w:br/>
              <w:t>POST /api/finance/settlement-batches/{batchId}/approve</w:t>
              <w:br/>
              <w:t>POST /api/finance/settlement-batches/{batchId}/reject</w:t>
              <w:br/>
              <w:t>POST /api/finance/settlement-batches/{batchId}/payments</w:t>
              <w:br/>
              <w:t>POST /api/finance/parcels/{parcelId}/resolve-breakdown</w:t>
              <w:br/>
              <w:t>GET  /api/merchant/settlements</w:t>
              <w:br/>
              <w:t>GET  /api/merchant/settlements/{batchId}/statement</w:t>
              <w:br/>
              <w:t>POST /api/merchant/settlement-disputes</w:t>
            </w:r>
          </w:p>
        </w:tc>
      </w:tr>
    </w:tbl>
    <w:p>
      <w:pPr>
        <w:spacing w:after="0"/>
      </w:pPr>
    </w:p>
    <w:p>
      <w:pPr>
        <w:pStyle w:val="Heading2"/>
        <w:keepNext/>
      </w:pPr>
      <w:r>
        <w:rPr>
          <w:rFonts w:ascii="Aptos" w:hAnsi="Aptos" w:eastAsia="Aptos"/>
          <w:b w:val="0"/>
          <w:i w:val="0"/>
          <w:color w:val="0A1628"/>
          <w:sz w:val="20"/>
        </w:rPr>
        <w:t>7. Merchant Referral Commission</w:t>
      </w:r>
    </w:p>
    <w:p>
      <w:pPr>
        <w:pStyle w:val="Heading3"/>
        <w:keepNext/>
      </w:pPr>
      <w:r>
        <w:rPr>
          <w:rFonts w:ascii="Aptos" w:hAnsi="Aptos" w:eastAsia="Aptos"/>
          <w:b w:val="0"/>
          <w:i w:val="0"/>
          <w:color w:val="0A1628"/>
          <w:sz w:val="20"/>
        </w:rPr>
        <w:t>Business rule</w:t>
      </w:r>
    </w:p>
    <w:p>
      <w:pPr>
        <w:pStyle w:val="ListBullet"/>
        <w:ind w:left="0"/>
      </w:pPr>
      <w:r>
        <w:rPr>
          <w:rFonts w:ascii="Aptos" w:hAnsi="Aptos" w:eastAsia="Aptos"/>
          <w:b w:val="0"/>
          <w:i w:val="0"/>
          <w:color w:val="0A1628"/>
          <w:sz w:val="20"/>
        </w:rPr>
        <w:t xml:space="preserve">Operation type: </w:t>
      </w:r>
      <w:r>
        <w:rPr>
          <w:rFonts w:ascii="Consolas" w:hAnsi="Consolas" w:eastAsia="Consolas"/>
          <w:b w:val="0"/>
          <w:i w:val="0"/>
          <w:color w:val="0A1628"/>
          <w:sz w:val="17"/>
          <w:shd w:fill="EEF2F6"/>
        </w:rPr>
        <w:t>MERCHANT_REFERRAL</w:t>
      </w:r>
    </w:p>
    <w:p>
      <w:pPr>
        <w:pStyle w:val="ListBullet"/>
        <w:ind w:left="0"/>
      </w:pPr>
      <w:r>
        <w:rPr>
          <w:rFonts w:ascii="Aptos" w:hAnsi="Aptos" w:eastAsia="Aptos"/>
          <w:b w:val="0"/>
          <w:i w:val="0"/>
          <w:color w:val="0A1628"/>
          <w:sz w:val="20"/>
        </w:rPr>
        <w:t xml:space="preserve">Commission role: </w:t>
      </w:r>
      <w:r>
        <w:rPr>
          <w:rFonts w:ascii="Consolas" w:hAnsi="Consolas" w:eastAsia="Consolas"/>
          <w:b w:val="0"/>
          <w:i w:val="0"/>
          <w:color w:val="0A1628"/>
          <w:sz w:val="17"/>
          <w:shd w:fill="EEF2F6"/>
        </w:rPr>
        <w:t>MERCHANT_REFERRER</w:t>
      </w:r>
    </w:p>
    <w:p>
      <w:pPr>
        <w:pStyle w:val="ListBullet"/>
        <w:ind w:left="0"/>
      </w:pPr>
      <w:r>
        <w:rPr>
          <w:rFonts w:ascii="Aptos" w:hAnsi="Aptos" w:eastAsia="Aptos"/>
          <w:b w:val="0"/>
          <w:i w:val="0"/>
          <w:color w:val="0A1628"/>
          <w:sz w:val="20"/>
        </w:rPr>
        <w:t xml:space="preserve">Unit type: </w:t>
      </w:r>
      <w:r>
        <w:rPr>
          <w:rFonts w:ascii="Consolas" w:hAnsi="Consolas" w:eastAsia="Consolas"/>
          <w:b w:val="0"/>
          <w:i w:val="0"/>
          <w:color w:val="0A1628"/>
          <w:sz w:val="17"/>
          <w:shd w:fill="EEF2F6"/>
        </w:rPr>
        <w:t>WAY</w:t>
      </w:r>
    </w:p>
    <w:p>
      <w:pPr>
        <w:pStyle w:val="ListBullet"/>
        <w:ind w:left="0"/>
      </w:pPr>
      <w:r>
        <w:rPr>
          <w:rFonts w:ascii="Aptos" w:hAnsi="Aptos" w:eastAsia="Aptos"/>
          <w:b w:val="0"/>
          <w:i w:val="0"/>
          <w:color w:val="0A1628"/>
          <w:sz w:val="20"/>
        </w:rPr>
        <w:t xml:space="preserve">Rate: </w:t>
      </w:r>
      <w:r>
        <w:rPr>
          <w:rFonts w:ascii="Consolas" w:hAnsi="Consolas" w:eastAsia="Consolas"/>
          <w:b w:val="0"/>
          <w:i w:val="0"/>
          <w:color w:val="0A1628"/>
          <w:sz w:val="17"/>
          <w:shd w:fill="EEF2F6"/>
        </w:rPr>
        <w:t>100 MMK</w:t>
      </w:r>
      <w:r>
        <w:rPr>
          <w:rFonts w:ascii="Aptos" w:hAnsi="Aptos" w:eastAsia="Aptos"/>
          <w:b w:val="0"/>
          <w:i w:val="0"/>
          <w:color w:val="0A1628"/>
          <w:sz w:val="20"/>
        </w:rPr>
        <w:t xml:space="preserve"> per eligible way</w:t>
      </w:r>
    </w:p>
    <w:p>
      <w:pPr>
        <w:pStyle w:val="ListBullet"/>
        <w:ind w:left="0"/>
      </w:pPr>
      <w:r>
        <w:rPr>
          <w:rFonts w:ascii="Aptos" w:hAnsi="Aptos" w:eastAsia="Aptos"/>
          <w:b w:val="0"/>
          <w:i w:val="0"/>
          <w:color w:val="0A1628"/>
          <w:sz w:val="20"/>
        </w:rPr>
        <w:t>Earning event: one successfully completed delivery way</w:t>
      </w:r>
    </w:p>
    <w:p>
      <w:pPr>
        <w:pStyle w:val="ListBullet"/>
        <w:ind w:left="0"/>
      </w:pPr>
      <w:r>
        <w:rPr>
          <w:rFonts w:ascii="Aptos" w:hAnsi="Aptos" w:eastAsia="Aptos"/>
          <w:b w:val="0"/>
          <w:i w:val="0"/>
          <w:color w:val="0A1628"/>
          <w:sz w:val="20"/>
        </w:rPr>
        <w:t>Failed, cancelled, pending, or incomplete delivery ways do not earn the commission.</w:t>
      </w:r>
    </w:p>
    <w:p>
      <w:pPr>
        <w:pStyle w:val="ListBullet"/>
        <w:ind w:left="0"/>
      </w:pPr>
      <w:r>
        <w:rPr>
          <w:rFonts w:ascii="Aptos" w:hAnsi="Aptos" w:eastAsia="Aptos"/>
          <w:b w:val="0"/>
          <w:i w:val="0"/>
          <w:color w:val="0A1628"/>
          <w:sz w:val="20"/>
        </w:rPr>
        <w:t>The employee must have an employment eligibility period covering the delivery completion date.</w:t>
      </w:r>
    </w:p>
    <w:p>
      <w:pPr>
        <w:pStyle w:val="ListBullet"/>
        <w:ind w:left="0"/>
      </w:pPr>
      <w:r>
        <w:rPr>
          <w:rFonts w:ascii="Aptos" w:hAnsi="Aptos" w:eastAsia="Aptos"/>
          <w:b w:val="0"/>
          <w:i w:val="0"/>
          <w:color w:val="0A1628"/>
          <w:sz w:val="20"/>
        </w:rPr>
        <w:t>The merchant-to-referrer assignment must cover the delivery completion date.</w:t>
      </w:r>
    </w:p>
    <w:p>
      <w:pPr>
        <w:pStyle w:val="ListBullet"/>
        <w:ind w:left="0"/>
      </w:pPr>
      <w:r>
        <w:rPr>
          <w:rFonts w:ascii="Aptos" w:hAnsi="Aptos" w:eastAsia="Aptos"/>
          <w:b w:val="0"/>
          <w:i w:val="0"/>
          <w:color w:val="0A1628"/>
          <w:sz w:val="20"/>
        </w:rPr>
        <w:t>The merchant naturally stops generating commission when it stops generating completed delivery ways.</w:t>
      </w:r>
    </w:p>
    <w:p>
      <w:pPr>
        <w:pStyle w:val="ListBullet"/>
        <w:ind w:left="0"/>
      </w:pPr>
      <w:r>
        <w:rPr>
          <w:rFonts w:ascii="Aptos" w:hAnsi="Aptos" w:eastAsia="Aptos"/>
          <w:b w:val="0"/>
          <w:i w:val="0"/>
          <w:color w:val="0A1628"/>
          <w:sz w:val="20"/>
        </w:rPr>
        <w:t>The commission is a company workforce expense and is not deducted from the merchant settlement.</w:t>
      </w:r>
    </w:p>
    <w:p>
      <w:pPr>
        <w:pStyle w:val="Heading3"/>
        <w:keepNext/>
      </w:pPr>
      <w:r>
        <w:rPr>
          <w:rFonts w:ascii="Aptos" w:hAnsi="Aptos" w:eastAsia="Aptos"/>
          <w:b w:val="0"/>
          <w:i w:val="0"/>
          <w:color w:val="0A1628"/>
          <w:sz w:val="20"/>
        </w:rPr>
        <w:t>Eligibility formula</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Eligible Referral Commission</w:t>
              <w:br/>
              <w:t>= Completed Delivery Ways</w:t>
              <w:br/>
              <w:t xml:space="preserve">  x 100 MMK</w:t>
            </w:r>
          </w:p>
        </w:tc>
      </w:tr>
    </w:tbl>
    <w:p>
      <w:pPr>
        <w:spacing w:after="0"/>
      </w:pPr>
    </w:p>
    <w:p>
      <w:r>
        <w:rPr>
          <w:rFonts w:ascii="Aptos" w:hAnsi="Aptos" w:eastAsia="Aptos"/>
          <w:b w:val="0"/>
          <w:i w:val="0"/>
          <w:color w:val="0A1628"/>
          <w:sz w:val="20"/>
        </w:rPr>
        <w:t>A way is eligible only when all conditions are true: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 status is DELIVERED, DROP_OFF, or COMPLETED</w:t>
              <w:br/>
              <w:t>AND delivery completion date is the commission work date</w:t>
              <w:br/>
              <w:t>AND merchant has an effective referral assignment</w:t>
              <w:br/>
              <w:t>AND referrer has an employment period covering that date</w:t>
              <w:br/>
              <w:t>AND no commission event already exists for the same way and referrer</w:t>
            </w:r>
          </w:p>
        </w:tc>
      </w:tr>
    </w:tbl>
    <w:p>
      <w:pPr>
        <w:spacing w:after="0"/>
      </w:pPr>
    </w:p>
    <w:p>
      <w:pPr>
        <w:pStyle w:val="Heading3"/>
        <w:keepNext/>
      </w:pPr>
      <w:r>
        <w:rPr>
          <w:rFonts w:ascii="Aptos" w:hAnsi="Aptos" w:eastAsia="Aptos"/>
          <w:b w:val="0"/>
          <w:i w:val="0"/>
          <w:color w:val="0A1628"/>
          <w:sz w:val="20"/>
        </w:rPr>
        <w:t>Required records</w:t>
      </w:r>
    </w:p>
    <w:p>
      <w:pPr>
        <w:pStyle w:val="Heading4"/>
        <w:keepNext/>
      </w:pPr>
      <w:r>
        <w:rPr>
          <w:rFonts w:ascii="Aptos" w:hAnsi="Aptos" w:eastAsia="Aptos"/>
          <w:b w:val="0"/>
          <w:i w:val="0"/>
          <w:color w:val="0A1628"/>
          <w:sz w:val="20"/>
        </w:rPr>
        <w:t>Employee eligibility period</w:t>
      </w:r>
    </w:p>
    <w:p>
      <w:r>
        <w:rPr>
          <w:rFonts w:ascii="Aptos" w:hAnsi="Aptos" w:eastAsia="Aptos"/>
          <w:b w:val="0"/>
          <w:i w:val="0"/>
          <w:color w:val="0A1628"/>
          <w:sz w:val="20"/>
        </w:rPr>
        <w:t>The HR/workforce integration must maintain:</w:t>
      </w:r>
    </w:p>
    <w:p>
      <w:pPr>
        <w:pStyle w:val="ListBullet"/>
        <w:ind w:left="0"/>
      </w:pPr>
      <w:r>
        <w:rPr>
          <w:rFonts w:ascii="Aptos" w:hAnsi="Aptos" w:eastAsia="Aptos"/>
          <w:b w:val="0"/>
          <w:i w:val="0"/>
          <w:color w:val="0A1628"/>
          <w:sz w:val="20"/>
        </w:rPr>
        <w:t>employee ID</w:t>
      </w:r>
    </w:p>
    <w:p>
      <w:pPr>
        <w:pStyle w:val="ListBullet"/>
        <w:ind w:left="0"/>
      </w:pPr>
      <w:r>
        <w:rPr>
          <w:rFonts w:ascii="Aptos" w:hAnsi="Aptos" w:eastAsia="Aptos"/>
          <w:b w:val="0"/>
          <w:i w:val="0"/>
          <w:color w:val="0A1628"/>
          <w:sz w:val="20"/>
        </w:rPr>
        <w:t>employee email</w:t>
      </w:r>
    </w:p>
    <w:p>
      <w:pPr>
        <w:pStyle w:val="ListBullet"/>
        <w:ind w:left="0"/>
      </w:pPr>
      <w:r>
        <w:rPr>
          <w:rFonts w:ascii="Aptos" w:hAnsi="Aptos" w:eastAsia="Aptos"/>
          <w:b w:val="0"/>
          <w:i w:val="0"/>
          <w:color w:val="0A1628"/>
          <w:sz w:val="20"/>
        </w:rPr>
        <w:t>employee name</w:t>
      </w:r>
    </w:p>
    <w:p>
      <w:pPr>
        <w:pStyle w:val="ListBullet"/>
        <w:ind w:left="0"/>
      </w:pPr>
      <w:r>
        <w:rPr>
          <w:rFonts w:ascii="Aptos" w:hAnsi="Aptos" w:eastAsia="Aptos"/>
          <w:b w:val="0"/>
          <w:i w:val="0"/>
          <w:color w:val="0A1628"/>
          <w:sz w:val="20"/>
        </w:rPr>
        <w:t>employed-from date</w:t>
      </w:r>
    </w:p>
    <w:p>
      <w:pPr>
        <w:pStyle w:val="ListBullet"/>
        <w:ind w:left="0"/>
      </w:pPr>
      <w:r>
        <w:rPr>
          <w:rFonts w:ascii="Aptos" w:hAnsi="Aptos" w:eastAsia="Aptos"/>
          <w:b w:val="0"/>
          <w:i w:val="0"/>
          <w:color w:val="0A1628"/>
          <w:sz w:val="20"/>
        </w:rPr>
        <w:t>employed-to date</w:t>
      </w:r>
    </w:p>
    <w:p>
      <w:pPr>
        <w:pStyle w:val="ListBullet"/>
        <w:ind w:left="0"/>
      </w:pPr>
      <w:r>
        <w:rPr>
          <w:rFonts w:ascii="Aptos" w:hAnsi="Aptos" w:eastAsia="Aptos"/>
          <w:b w:val="0"/>
          <w:i w:val="0"/>
          <w:color w:val="0A1628"/>
          <w:sz w:val="20"/>
        </w:rPr>
        <w:t>eligibility status</w:t>
      </w:r>
    </w:p>
    <w:p>
      <w:r>
        <w:rPr>
          <w:rFonts w:ascii="Aptos" w:hAnsi="Aptos" w:eastAsia="Aptos"/>
          <w:b w:val="0"/>
          <w:i w:val="0"/>
          <w:color w:val="0A1628"/>
          <w:sz w:val="20"/>
        </w:rPr>
        <w:t xml:space="preserve">For an active employee, </w:t>
      </w:r>
      <w:r>
        <w:rPr>
          <w:rFonts w:ascii="Consolas" w:hAnsi="Consolas" w:eastAsia="Consolas"/>
          <w:b w:val="0"/>
          <w:i w:val="0"/>
          <w:color w:val="0A1628"/>
          <w:sz w:val="17"/>
          <w:shd w:fill="EEF2F6"/>
        </w:rPr>
        <w:t>employed_to</w:t>
      </w:r>
      <w:r>
        <w:rPr>
          <w:rFonts w:ascii="Aptos" w:hAnsi="Aptos" w:eastAsia="Aptos"/>
          <w:b w:val="0"/>
          <w:i w:val="0"/>
          <w:color w:val="0A1628"/>
          <w:sz w:val="20"/>
        </w:rPr>
        <w:t xml:space="preserve"> remains null. On resignation or termination, set it to the final eligible work date. Rehired employees should receive a new employment-period row.</w:t>
      </w:r>
    </w:p>
    <w:p>
      <w:pPr>
        <w:pStyle w:val="Heading4"/>
        <w:keepNext/>
      </w:pPr>
      <w:r>
        <w:rPr>
          <w:rFonts w:ascii="Aptos" w:hAnsi="Aptos" w:eastAsia="Aptos"/>
          <w:b w:val="0"/>
          <w:i w:val="0"/>
          <w:color w:val="0A1628"/>
          <w:sz w:val="20"/>
        </w:rPr>
        <w:t>Merchant referral assignment</w:t>
      </w:r>
    </w:p>
    <w:p>
      <w:r>
        <w:rPr>
          <w:rFonts w:ascii="Aptos" w:hAnsi="Aptos" w:eastAsia="Aptos"/>
          <w:b w:val="0"/>
          <w:i w:val="0"/>
          <w:color w:val="0A1628"/>
          <w:sz w:val="20"/>
        </w:rPr>
        <w:t>Finance or an authorized administrator must register:</w:t>
      </w:r>
    </w:p>
    <w:p>
      <w:pPr>
        <w:pStyle w:val="ListBullet"/>
        <w:ind w:left="0"/>
      </w:pPr>
      <w:r>
        <w:rPr>
          <w:rFonts w:ascii="Aptos" w:hAnsi="Aptos" w:eastAsia="Aptos"/>
          <w:b w:val="0"/>
          <w:i w:val="0"/>
          <w:color w:val="0A1628"/>
          <w:sz w:val="20"/>
        </w:rPr>
        <w:t>merchant ID</w:t>
      </w:r>
    </w:p>
    <w:p>
      <w:pPr>
        <w:pStyle w:val="ListBullet"/>
        <w:ind w:left="0"/>
      </w:pPr>
      <w:r>
        <w:rPr>
          <w:rFonts w:ascii="Aptos" w:hAnsi="Aptos" w:eastAsia="Aptos"/>
          <w:b w:val="0"/>
          <w:i w:val="0"/>
          <w:color w:val="0A1628"/>
          <w:sz w:val="20"/>
        </w:rPr>
        <w:t>merchant code</w:t>
      </w:r>
    </w:p>
    <w:p>
      <w:pPr>
        <w:pStyle w:val="ListBullet"/>
        <w:ind w:left="0"/>
      </w:pPr>
      <w:r>
        <w:rPr>
          <w:rFonts w:ascii="Aptos" w:hAnsi="Aptos" w:eastAsia="Aptos"/>
          <w:b w:val="0"/>
          <w:i w:val="0"/>
          <w:color w:val="0A1628"/>
          <w:sz w:val="20"/>
        </w:rPr>
        <w:t>merchant name</w:t>
      </w:r>
    </w:p>
    <w:p>
      <w:pPr>
        <w:pStyle w:val="ListBullet"/>
        <w:ind w:left="0"/>
      </w:pPr>
      <w:r>
        <w:rPr>
          <w:rFonts w:ascii="Aptos" w:hAnsi="Aptos" w:eastAsia="Aptos"/>
          <w:b w:val="0"/>
          <w:i w:val="0"/>
          <w:color w:val="0A1628"/>
          <w:sz w:val="20"/>
        </w:rPr>
        <w:t>referrer employee ID</w:t>
      </w:r>
    </w:p>
    <w:p>
      <w:pPr>
        <w:pStyle w:val="ListBullet"/>
        <w:ind w:left="0"/>
      </w:pPr>
      <w:r>
        <w:rPr>
          <w:rFonts w:ascii="Aptos" w:hAnsi="Aptos" w:eastAsia="Aptos"/>
          <w:b w:val="0"/>
          <w:i w:val="0"/>
          <w:color w:val="0A1628"/>
          <w:sz w:val="20"/>
        </w:rPr>
        <w:t>referrer email</w:t>
      </w:r>
    </w:p>
    <w:p>
      <w:pPr>
        <w:pStyle w:val="ListBullet"/>
        <w:ind w:left="0"/>
      </w:pPr>
      <w:r>
        <w:rPr>
          <w:rFonts w:ascii="Aptos" w:hAnsi="Aptos" w:eastAsia="Aptos"/>
          <w:b w:val="0"/>
          <w:i w:val="0"/>
          <w:color w:val="0A1628"/>
          <w:sz w:val="20"/>
        </w:rPr>
        <w:t>referrer name</w:t>
      </w:r>
    </w:p>
    <w:p>
      <w:pPr>
        <w:pStyle w:val="ListBullet"/>
        <w:ind w:left="0"/>
      </w:pPr>
      <w:r>
        <w:rPr>
          <w:rFonts w:ascii="Aptos" w:hAnsi="Aptos" w:eastAsia="Aptos"/>
          <w:b w:val="0"/>
          <w:i w:val="0"/>
          <w:color w:val="0A1628"/>
          <w:sz w:val="20"/>
        </w:rPr>
        <w:t>effective-from date</w:t>
      </w:r>
    </w:p>
    <w:p>
      <w:pPr>
        <w:pStyle w:val="ListBullet"/>
        <w:ind w:left="0"/>
      </w:pPr>
      <w:r>
        <w:rPr>
          <w:rFonts w:ascii="Aptos" w:hAnsi="Aptos" w:eastAsia="Aptos"/>
          <w:b w:val="0"/>
          <w:i w:val="0"/>
          <w:color w:val="0A1628"/>
          <w:sz w:val="20"/>
        </w:rPr>
        <w:t>optional effective-to date</w:t>
      </w:r>
    </w:p>
    <w:p>
      <w:r>
        <w:rPr>
          <w:rFonts w:ascii="Aptos" w:hAnsi="Aptos" w:eastAsia="Aptos"/>
          <w:b w:val="0"/>
          <w:i w:val="0"/>
          <w:color w:val="0A1628"/>
          <w:sz w:val="20"/>
        </w:rPr>
        <w:t>Only one referral assignment may cover a merchant on any particular date.</w:t>
      </w:r>
    </w:p>
    <w:p>
      <w:pPr>
        <w:pStyle w:val="Heading3"/>
        <w:keepNext/>
      </w:pPr>
      <w:r>
        <w:rPr>
          <w:rFonts w:ascii="Aptos" w:hAnsi="Aptos" w:eastAsia="Aptos"/>
          <w:b w:val="0"/>
          <w:i w:val="0"/>
          <w:color w:val="0A1628"/>
          <w:sz w:val="20"/>
        </w:rPr>
        <w:t>Settlement handling</w:t>
      </w:r>
    </w:p>
    <w:p>
      <w:r>
        <w:rPr>
          <w:rFonts w:ascii="Aptos" w:hAnsi="Aptos" w:eastAsia="Aptos"/>
          <w:b w:val="0"/>
          <w:i w:val="0"/>
          <w:color w:val="0A1628"/>
          <w:sz w:val="20"/>
        </w:rPr>
        <w:t>The referral commission is included in the employee/workforce commission batch:</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Employee Commission Payable</w:t>
              <w:br/>
              <w:t>= Pickup Commission</w:t>
              <w:br/>
              <w:t>+ Delivery Commission</w:t>
              <w:br/>
              <w:t>+ Highway Drop-off Commission</w:t>
              <w:br/>
              <w:t>+ Merchant Referral Commission</w:t>
            </w:r>
          </w:p>
        </w:tc>
      </w:tr>
    </w:tbl>
    <w:p>
      <w:pPr>
        <w:spacing w:after="0"/>
      </w:pPr>
    </w:p>
    <w:p>
      <w:r>
        <w:rPr>
          <w:rFonts w:ascii="Aptos" w:hAnsi="Aptos" w:eastAsia="Aptos"/>
          <w:b w:val="0"/>
          <w:i w:val="0"/>
          <w:color w:val="0A1628"/>
          <w:sz w:val="20"/>
        </w:rPr>
        <w:t>It must not change:</w:t>
      </w:r>
    </w:p>
    <w:p>
      <w:pPr>
        <w:pStyle w:val="ListBullet"/>
        <w:ind w:left="0"/>
      </w:pPr>
      <w:r>
        <w:rPr>
          <w:rFonts w:ascii="Aptos" w:hAnsi="Aptos" w:eastAsia="Aptos"/>
          <w:b w:val="0"/>
          <w:i w:val="0"/>
          <w:color w:val="0A1628"/>
          <w:sz w:val="20"/>
        </w:rPr>
        <w:t>customer COD collection</w:t>
      </w:r>
    </w:p>
    <w:p>
      <w:pPr>
        <w:pStyle w:val="ListBullet"/>
        <w:ind w:left="0"/>
      </w:pPr>
      <w:r>
        <w:rPr>
          <w:rFonts w:ascii="Aptos" w:hAnsi="Aptos" w:eastAsia="Aptos"/>
          <w:b w:val="0"/>
          <w:i w:val="0"/>
          <w:color w:val="0A1628"/>
          <w:sz w:val="20"/>
        </w:rPr>
        <w:t>merchant-declared delivery charge</w:t>
      </w:r>
    </w:p>
    <w:p>
      <w:pPr>
        <w:pStyle w:val="ListBullet"/>
        <w:ind w:left="0"/>
      </w:pPr>
      <w:r>
        <w:rPr>
          <w:rFonts w:ascii="Aptos" w:hAnsi="Aptos" w:eastAsia="Aptos"/>
          <w:b w:val="0"/>
          <w:i w:val="0"/>
          <w:color w:val="0A1628"/>
          <w:sz w:val="20"/>
        </w:rPr>
        <w:t>company delivery tariff</w:t>
      </w:r>
    </w:p>
    <w:p>
      <w:pPr>
        <w:pStyle w:val="ListBullet"/>
        <w:ind w:left="0"/>
      </w:pPr>
      <w:r>
        <w:rPr>
          <w:rFonts w:ascii="Aptos" w:hAnsi="Aptos" w:eastAsia="Aptos"/>
          <w:b w:val="0"/>
          <w:i w:val="0"/>
          <w:color w:val="0A1628"/>
          <w:sz w:val="20"/>
        </w:rPr>
        <w:t>delivery difference</w:t>
      </w:r>
    </w:p>
    <w:p>
      <w:pPr>
        <w:pStyle w:val="ListBullet"/>
        <w:ind w:left="0"/>
      </w:pPr>
      <w:r>
        <w:rPr>
          <w:rFonts w:ascii="Aptos" w:hAnsi="Aptos" w:eastAsia="Aptos"/>
          <w:b w:val="0"/>
          <w:i w:val="0"/>
          <w:color w:val="0A1628"/>
          <w:sz w:val="20"/>
        </w:rPr>
        <w:t>merchant final settlement amount</w:t>
      </w:r>
    </w:p>
    <w:p>
      <w:pPr>
        <w:pStyle w:val="Heading3"/>
        <w:keepNext/>
      </w:pPr>
      <w:r>
        <w:rPr>
          <w:rFonts w:ascii="Aptos" w:hAnsi="Aptos" w:eastAsia="Aptos"/>
          <w:b w:val="0"/>
          <w:i w:val="0"/>
          <w:color w:val="0A1628"/>
          <w:sz w:val="20"/>
        </w:rPr>
        <w:t>Screen changes</w:t>
      </w:r>
    </w:p>
    <w:p>
      <w:r>
        <w:rPr>
          <w:rFonts w:ascii="Aptos" w:hAnsi="Aptos" w:eastAsia="Aptos"/>
          <w:b w:val="0"/>
          <w:i w:val="0"/>
          <w:color w:val="0A1628"/>
          <w:sz w:val="20"/>
        </w:rPr>
        <w:t>The Workforce Commission screen now includes:</w:t>
      </w:r>
    </w:p>
    <w:p>
      <w:pPr>
        <w:pStyle w:val="ListBullet"/>
        <w:ind w:left="0"/>
      </w:pPr>
      <w:r>
        <w:rPr>
          <w:rFonts w:ascii="Aptos" w:hAnsi="Aptos" w:eastAsia="Aptos"/>
          <w:b w:val="0"/>
          <w:i w:val="0"/>
          <w:color w:val="0A1628"/>
          <w:sz w:val="20"/>
        </w:rPr>
        <w:t>Referral Commission KPI</w:t>
      </w:r>
    </w:p>
    <w:p>
      <w:pPr>
        <w:pStyle w:val="ListBullet"/>
        <w:ind w:left="0"/>
      </w:pPr>
      <w:r>
        <w:rPr>
          <w:rFonts w:ascii="Aptos" w:hAnsi="Aptos" w:eastAsia="Aptos"/>
          <w:b w:val="0"/>
          <w:i w:val="0"/>
          <w:color w:val="0A1628"/>
          <w:sz w:val="20"/>
        </w:rPr>
        <w:t>Referral Ways KPI</w:t>
      </w:r>
    </w:p>
    <w:p>
      <w:pPr>
        <w:pStyle w:val="ListBullet"/>
        <w:ind w:left="0"/>
      </w:pPr>
      <w:r>
        <w:rPr>
          <w:rFonts w:ascii="Aptos" w:hAnsi="Aptos" w:eastAsia="Aptos"/>
          <w:b w:val="0"/>
          <w:i w:val="0"/>
          <w:color w:val="0A1628"/>
          <w:sz w:val="20"/>
        </w:rPr>
        <w:t>Eligible Referrers KPI</w:t>
      </w:r>
    </w:p>
    <w:p>
      <w:pPr>
        <w:pStyle w:val="ListBullet"/>
        <w:ind w:left="0"/>
      </w:pPr>
      <w:r>
        <w:rPr>
          <w:rFonts w:ascii="Aptos" w:hAnsi="Aptos" w:eastAsia="Aptos"/>
          <w:b w:val="0"/>
          <w:i w:val="0"/>
          <w:color w:val="0A1628"/>
          <w:sz w:val="20"/>
        </w:rPr>
        <w:t>Merchant Referral commission filter</w:t>
      </w:r>
    </w:p>
    <w:p>
      <w:pPr>
        <w:pStyle w:val="ListBullet"/>
        <w:ind w:left="0"/>
      </w:pPr>
      <w:r>
        <w:rPr>
          <w:rFonts w:ascii="Aptos" w:hAnsi="Aptos" w:eastAsia="Aptos"/>
          <w:b w:val="0"/>
          <w:i w:val="0"/>
          <w:color w:val="0A1628"/>
          <w:sz w:val="20"/>
        </w:rPr>
        <w:t>Merchant names in the earnings ledger</w:t>
      </w:r>
    </w:p>
    <w:p>
      <w:pPr>
        <w:pStyle w:val="ListBullet"/>
        <w:ind w:left="0"/>
      </w:pPr>
      <w:r>
        <w:rPr>
          <w:rFonts w:ascii="Aptos" w:hAnsi="Aptos" w:eastAsia="Aptos"/>
          <w:b w:val="0"/>
          <w:i w:val="0"/>
          <w:color w:val="0A1628"/>
          <w:sz w:val="20"/>
        </w:rPr>
        <w:t>CSV export</w:t>
      </w:r>
    </w:p>
    <w:p>
      <w:pPr>
        <w:pStyle w:val="ListBullet"/>
        <w:ind w:left="0"/>
      </w:pPr>
      <w:r>
        <w:rPr>
          <w:rFonts w:ascii="Aptos" w:hAnsi="Aptos" w:eastAsia="Aptos"/>
          <w:b w:val="0"/>
          <w:i w:val="0"/>
          <w:color w:val="0A1628"/>
          <w:sz w:val="20"/>
        </w:rPr>
        <w:t>Duplicate-row protection when API responses overlap</w:t>
      </w:r>
    </w:p>
    <w:p>
      <w:pPr>
        <w:pStyle w:val="Heading3"/>
        <w:keepNext/>
      </w:pPr>
      <w:r>
        <w:rPr>
          <w:rFonts w:ascii="Aptos" w:hAnsi="Aptos" w:eastAsia="Aptos"/>
          <w:b w:val="0"/>
          <w:i w:val="0"/>
          <w:color w:val="0A1628"/>
          <w:sz w:val="20"/>
        </w:rPr>
        <w:t>Recommended backend API additions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GET  /api/finance/merchant-referrals</w:t>
              <w:br/>
              <w:t>POST /api/finance/merchant-referrals</w:t>
              <w:br/>
              <w:t>POST /api/finance/merchant-referrals/{assignmentId}/end</w:t>
              <w:br/>
              <w:t>GET  /api/finance/commissions/merchant-referral-details</w:t>
            </w:r>
          </w:p>
        </w:tc>
      </w:tr>
    </w:tbl>
    <w:p>
      <w:pPr>
        <w:spacing w:after="0"/>
      </w:pPr>
    </w:p>
    <w:p>
      <w:r>
        <w:rPr>
          <w:rFonts w:ascii="Aptos" w:hAnsi="Aptos" w:eastAsia="Aptos"/>
          <w:b w:val="0"/>
          <w:i w:val="0"/>
          <w:color w:val="0A1628"/>
          <w:sz w:val="20"/>
        </w:rPr>
        <w:t xml:space="preserve">The existing commission settlement snapshot can continue returning all operation types, including </w:t>
      </w:r>
      <w:r>
        <w:rPr>
          <w:rFonts w:ascii="Consolas" w:hAnsi="Consolas" w:eastAsia="Consolas"/>
          <w:b w:val="0"/>
          <w:i w:val="0"/>
          <w:color w:val="0A1628"/>
          <w:sz w:val="17"/>
          <w:shd w:fill="EEF2F6"/>
        </w:rPr>
        <w:t>MERCHANT_REFERRAL</w:t>
      </w:r>
      <w:r>
        <w:rPr>
          <w:rFonts w:ascii="Aptos" w:hAnsi="Aptos" w:eastAsia="Aptos"/>
          <w:b w:val="0"/>
          <w:i w:val="0"/>
          <w:color w:val="0A1628"/>
          <w:sz w:val="20"/>
        </w:rPr>
        <w:t>.</w:t>
      </w:r>
    </w:p>
    <w:p>
      <w:pPr>
        <w:pStyle w:val="Heading3"/>
        <w:keepNext/>
      </w:pPr>
      <w:r>
        <w:rPr>
          <w:rFonts w:ascii="Aptos" w:hAnsi="Aptos" w:eastAsia="Aptos"/>
          <w:b w:val="0"/>
          <w:i w:val="0"/>
          <w:color w:val="0A1628"/>
          <w:sz w:val="20"/>
        </w:rPr>
        <w:t>Acceptance tests</w:t>
      </w:r>
    </w:p>
    <w:p>
      <w:pPr>
        <w:pStyle w:val="Heading4"/>
        <w:keepNext/>
      </w:pPr>
      <w:r>
        <w:rPr>
          <w:rFonts w:ascii="Aptos" w:hAnsi="Aptos" w:eastAsia="Aptos"/>
          <w:b w:val="0"/>
          <w:i w:val="0"/>
          <w:color w:val="0A1628"/>
          <w:sz w:val="20"/>
        </w:rPr>
        <w:t>Active employee and active merchant assignment</w:t>
      </w:r>
    </w:p>
    <w:p>
      <w:pPr>
        <w:pStyle w:val="ListBullet"/>
        <w:ind w:left="0"/>
      </w:pPr>
      <w:r>
        <w:rPr>
          <w:rFonts w:ascii="Aptos" w:hAnsi="Aptos" w:eastAsia="Aptos"/>
          <w:b w:val="0"/>
          <w:i w:val="0"/>
          <w:color w:val="0A1628"/>
          <w:sz w:val="20"/>
        </w:rPr>
        <w:t>Merchant completed ways: 25</w:t>
      </w:r>
    </w:p>
    <w:p>
      <w:pPr>
        <w:pStyle w:val="ListBullet"/>
        <w:ind w:left="0"/>
      </w:pPr>
      <w:r>
        <w:rPr>
          <w:rFonts w:ascii="Aptos" w:hAnsi="Aptos" w:eastAsia="Aptos"/>
          <w:b w:val="0"/>
          <w:i w:val="0"/>
          <w:color w:val="0A1628"/>
          <w:sz w:val="20"/>
        </w:rPr>
        <w:t>Rate: 100 MMK</w:t>
      </w:r>
    </w:p>
    <w:p>
      <w:pPr>
        <w:pStyle w:val="ListBullet"/>
        <w:ind w:left="0"/>
      </w:pPr>
      <w:r>
        <w:rPr>
          <w:rFonts w:ascii="Aptos" w:hAnsi="Aptos" w:eastAsia="Aptos"/>
          <w:b w:val="0"/>
          <w:i w:val="0"/>
          <w:color w:val="0A1628"/>
          <w:sz w:val="20"/>
        </w:rPr>
        <w:t>Expected referral commission: 2,500 MMK</w:t>
      </w:r>
    </w:p>
    <w:p>
      <w:pPr>
        <w:pStyle w:val="Heading4"/>
        <w:keepNext/>
      </w:pPr>
      <w:r>
        <w:rPr>
          <w:rFonts w:ascii="Aptos" w:hAnsi="Aptos" w:eastAsia="Aptos"/>
          <w:b w:val="0"/>
          <w:i w:val="0"/>
          <w:color w:val="0A1628"/>
          <w:sz w:val="20"/>
        </w:rPr>
        <w:t>Employee left during the month</w:t>
      </w:r>
    </w:p>
    <w:p>
      <w:pPr>
        <w:pStyle w:val="ListBullet"/>
        <w:ind w:left="0"/>
      </w:pPr>
      <w:r>
        <w:rPr>
          <w:rFonts w:ascii="Aptos" w:hAnsi="Aptos" w:eastAsia="Aptos"/>
          <w:b w:val="0"/>
          <w:i w:val="0"/>
          <w:color w:val="0A1628"/>
          <w:sz w:val="20"/>
        </w:rPr>
        <w:t>Employment final eligible date: July 15</w:t>
      </w:r>
    </w:p>
    <w:p>
      <w:pPr>
        <w:pStyle w:val="ListBullet"/>
        <w:ind w:left="0"/>
      </w:pPr>
      <w:r>
        <w:rPr>
          <w:rFonts w:ascii="Aptos" w:hAnsi="Aptos" w:eastAsia="Aptos"/>
          <w:b w:val="0"/>
          <w:i w:val="0"/>
          <w:color w:val="0A1628"/>
          <w:sz w:val="20"/>
        </w:rPr>
        <w:t>Merchant ways completed July 1-15: 12</w:t>
      </w:r>
    </w:p>
    <w:p>
      <w:pPr>
        <w:pStyle w:val="ListBullet"/>
        <w:ind w:left="0"/>
      </w:pPr>
      <w:r>
        <w:rPr>
          <w:rFonts w:ascii="Aptos" w:hAnsi="Aptos" w:eastAsia="Aptos"/>
          <w:b w:val="0"/>
          <w:i w:val="0"/>
          <w:color w:val="0A1628"/>
          <w:sz w:val="20"/>
        </w:rPr>
        <w:t>Merchant ways completed July 16-31: 18</w:t>
      </w:r>
    </w:p>
    <w:p>
      <w:pPr>
        <w:pStyle w:val="ListBullet"/>
        <w:ind w:left="0"/>
      </w:pPr>
      <w:r>
        <w:rPr>
          <w:rFonts w:ascii="Aptos" w:hAnsi="Aptos" w:eastAsia="Aptos"/>
          <w:b w:val="0"/>
          <w:i w:val="0"/>
          <w:color w:val="0A1628"/>
          <w:sz w:val="20"/>
        </w:rPr>
        <w:t>Expected eligible ways: 12</w:t>
      </w:r>
    </w:p>
    <w:p>
      <w:pPr>
        <w:pStyle w:val="ListBullet"/>
        <w:ind w:left="0"/>
      </w:pPr>
      <w:r>
        <w:rPr>
          <w:rFonts w:ascii="Aptos" w:hAnsi="Aptos" w:eastAsia="Aptos"/>
          <w:b w:val="0"/>
          <w:i w:val="0"/>
          <w:color w:val="0A1628"/>
          <w:sz w:val="20"/>
        </w:rPr>
        <w:t>Expected commission: 1,200 MMK</w:t>
      </w:r>
    </w:p>
    <w:p>
      <w:pPr>
        <w:pStyle w:val="Heading4"/>
        <w:keepNext/>
      </w:pPr>
      <w:r>
        <w:rPr>
          <w:rFonts w:ascii="Aptos" w:hAnsi="Aptos" w:eastAsia="Aptos"/>
          <w:b w:val="0"/>
          <w:i w:val="0"/>
          <w:color w:val="0A1628"/>
          <w:sz w:val="20"/>
        </w:rPr>
        <w:t>Merchant stopped using the service</w:t>
      </w:r>
    </w:p>
    <w:p>
      <w:pPr>
        <w:pStyle w:val="ListBullet"/>
        <w:ind w:left="0"/>
      </w:pPr>
      <w:r>
        <w:rPr>
          <w:rFonts w:ascii="Aptos" w:hAnsi="Aptos" w:eastAsia="Aptos"/>
          <w:b w:val="0"/>
          <w:i w:val="0"/>
          <w:color w:val="0A1628"/>
          <w:sz w:val="20"/>
        </w:rPr>
        <w:t>Merchant has no completed delivery ways after July 10</w:t>
      </w:r>
    </w:p>
    <w:p>
      <w:pPr>
        <w:pStyle w:val="ListBullet"/>
        <w:ind w:left="0"/>
      </w:pPr>
      <w:r>
        <w:rPr>
          <w:rFonts w:ascii="Aptos" w:hAnsi="Aptos" w:eastAsia="Aptos"/>
          <w:b w:val="0"/>
          <w:i w:val="0"/>
          <w:color w:val="0A1628"/>
          <w:sz w:val="20"/>
        </w:rPr>
        <w:t>Expected commission after July 10: 0 MMK</w:t>
      </w:r>
    </w:p>
    <w:p>
      <w:pPr>
        <w:pStyle w:val="Heading4"/>
        <w:keepNext/>
      </w:pPr>
      <w:r>
        <w:rPr>
          <w:rFonts w:ascii="Aptos" w:hAnsi="Aptos" w:eastAsia="Aptos"/>
          <w:b w:val="0"/>
          <w:i w:val="0"/>
          <w:color w:val="0A1628"/>
          <w:sz w:val="20"/>
        </w:rPr>
        <w:t>No referral assignment</w:t>
      </w:r>
    </w:p>
    <w:p>
      <w:pPr>
        <w:pStyle w:val="ListBullet"/>
        <w:ind w:left="0"/>
      </w:pPr>
      <w:r>
        <w:rPr>
          <w:rFonts w:ascii="Aptos" w:hAnsi="Aptos" w:eastAsia="Aptos"/>
          <w:b w:val="0"/>
          <w:i w:val="0"/>
          <w:color w:val="0A1628"/>
          <w:sz w:val="20"/>
        </w:rPr>
        <w:t>Merchant completed 50 delivery ways</w:t>
      </w:r>
    </w:p>
    <w:p>
      <w:pPr>
        <w:pStyle w:val="ListBullet"/>
        <w:ind w:left="0"/>
      </w:pPr>
      <w:r>
        <w:rPr>
          <w:rFonts w:ascii="Aptos" w:hAnsi="Aptos" w:eastAsia="Aptos"/>
          <w:b w:val="0"/>
          <w:i w:val="0"/>
          <w:color w:val="0A1628"/>
          <w:sz w:val="20"/>
        </w:rPr>
        <w:t>No effective assignment exists</w:t>
      </w:r>
    </w:p>
    <w:p>
      <w:pPr>
        <w:pStyle w:val="ListBullet"/>
        <w:ind w:left="0"/>
      </w:pPr>
      <w:r>
        <w:rPr>
          <w:rFonts w:ascii="Aptos" w:hAnsi="Aptos" w:eastAsia="Aptos"/>
          <w:b w:val="0"/>
          <w:i w:val="0"/>
          <w:color w:val="0A1628"/>
          <w:sz w:val="20"/>
        </w:rPr>
        <w:t>Expected referral commission: 0 MMK</w:t>
      </w:r>
    </w:p>
    <w:p>
      <w:pPr>
        <w:pStyle w:val="Heading4"/>
        <w:keepNext/>
      </w:pPr>
      <w:r>
        <w:rPr>
          <w:rFonts w:ascii="Aptos" w:hAnsi="Aptos" w:eastAsia="Aptos"/>
          <w:b w:val="0"/>
          <w:i w:val="0"/>
          <w:color w:val="0A1628"/>
          <w:sz w:val="20"/>
        </w:rPr>
        <w:t>Cancelled or failed delivery</w:t>
      </w:r>
    </w:p>
    <w:p>
      <w:pPr>
        <w:pStyle w:val="ListBullet"/>
        <w:ind w:left="0"/>
      </w:pPr>
      <w:r>
        <w:rPr>
          <w:rFonts w:ascii="Aptos" w:hAnsi="Aptos" w:eastAsia="Aptos"/>
          <w:b w:val="0"/>
          <w:i w:val="0"/>
          <w:color w:val="0A1628"/>
          <w:sz w:val="20"/>
        </w:rPr>
        <w:t>Created ways: 20</w:t>
      </w:r>
    </w:p>
    <w:p>
      <w:pPr>
        <w:pStyle w:val="ListBullet"/>
        <w:ind w:left="0"/>
      </w:pPr>
      <w:r>
        <w:rPr>
          <w:rFonts w:ascii="Aptos" w:hAnsi="Aptos" w:eastAsia="Aptos"/>
          <w:b w:val="0"/>
          <w:i w:val="0"/>
          <w:color w:val="0A1628"/>
          <w:sz w:val="20"/>
        </w:rPr>
        <w:t>Successfully completed ways: 14</w:t>
      </w:r>
    </w:p>
    <w:p>
      <w:pPr>
        <w:pStyle w:val="ListBullet"/>
        <w:ind w:left="0"/>
      </w:pPr>
      <w:r>
        <w:rPr>
          <w:rFonts w:ascii="Aptos" w:hAnsi="Aptos" w:eastAsia="Aptos"/>
          <w:b w:val="0"/>
          <w:i w:val="0"/>
          <w:color w:val="0A1628"/>
          <w:sz w:val="20"/>
        </w:rPr>
        <w:t>Expected eligible ways: 14</w:t>
      </w:r>
    </w:p>
    <w:p>
      <w:pPr>
        <w:pStyle w:val="ListBullet"/>
        <w:ind w:left="0"/>
      </w:pPr>
      <w:r>
        <w:rPr>
          <w:rFonts w:ascii="Aptos" w:hAnsi="Aptos" w:eastAsia="Aptos"/>
          <w:b w:val="0"/>
          <w:i w:val="0"/>
          <w:color w:val="0A1628"/>
          <w:sz w:val="20"/>
        </w:rPr>
        <w:t>Expected commission: 1,400 MMK</w:t>
      </w:r>
    </w:p>
    <w:p>
      <w:pPr>
        <w:pStyle w:val="Heading4"/>
        <w:keepNext/>
      </w:pPr>
      <w:r>
        <w:rPr>
          <w:rFonts w:ascii="Aptos" w:hAnsi="Aptos" w:eastAsia="Aptos"/>
          <w:b w:val="0"/>
          <w:i w:val="0"/>
          <w:color w:val="0A1628"/>
          <w:sz w:val="20"/>
        </w:rPr>
        <w:t>Duplicate rebuild</w:t>
      </w:r>
    </w:p>
    <w:p>
      <w:pPr>
        <w:pStyle w:val="ListBullet"/>
        <w:ind w:left="0"/>
      </w:pPr>
      <w:r>
        <w:rPr>
          <w:rFonts w:ascii="Aptos" w:hAnsi="Aptos" w:eastAsia="Aptos"/>
          <w:b w:val="0"/>
          <w:i w:val="0"/>
          <w:color w:val="0A1628"/>
          <w:sz w:val="20"/>
        </w:rPr>
        <w:t>Run commission rebuild twice for the same date</w:t>
      </w:r>
    </w:p>
    <w:p>
      <w:pPr>
        <w:pStyle w:val="ListBullet"/>
        <w:ind w:left="0"/>
      </w:pPr>
      <w:r>
        <w:rPr>
          <w:rFonts w:ascii="Aptos" w:hAnsi="Aptos" w:eastAsia="Aptos"/>
          <w:b w:val="0"/>
          <w:i w:val="0"/>
          <w:color w:val="0A1628"/>
          <w:sz w:val="20"/>
        </w:rPr>
        <w:t>Expected: one referral event per way and referrer, with no duplicate commission</w:t>
      </w:r>
    </w:p>
    <w:p>
      <w:pPr>
        <w:pStyle w:val="Heading4"/>
        <w:keepNext/>
      </w:pPr>
      <w:r>
        <w:rPr>
          <w:rFonts w:ascii="Aptos" w:hAnsi="Aptos" w:eastAsia="Aptos"/>
          <w:b w:val="0"/>
          <w:i w:val="0"/>
          <w:color w:val="0A1628"/>
          <w:sz w:val="20"/>
        </w:rPr>
        <w:t>Historical rebuild after employee departure</w:t>
      </w:r>
    </w:p>
    <w:p>
      <w:pPr>
        <w:pStyle w:val="ListBullet"/>
        <w:ind w:left="0"/>
      </w:pPr>
      <w:r>
        <w:rPr>
          <w:rFonts w:ascii="Aptos" w:hAnsi="Aptos" w:eastAsia="Aptos"/>
          <w:b w:val="0"/>
          <w:i w:val="0"/>
          <w:color w:val="0A1628"/>
          <w:sz w:val="20"/>
        </w:rPr>
        <w:t>Delivery date falls inside the employee employment period</w:t>
      </w:r>
    </w:p>
    <w:p>
      <w:pPr>
        <w:pStyle w:val="ListBullet"/>
        <w:ind w:left="0"/>
      </w:pPr>
      <w:r>
        <w:rPr>
          <w:rFonts w:ascii="Aptos" w:hAnsi="Aptos" w:eastAsia="Aptos"/>
          <w:b w:val="0"/>
          <w:i w:val="0"/>
          <w:color w:val="0A1628"/>
          <w:sz w:val="20"/>
        </w:rPr>
        <w:t>Rebuild occurs after the employee has left</w:t>
      </w:r>
    </w:p>
    <w:p>
      <w:pPr>
        <w:pStyle w:val="ListBullet"/>
        <w:ind w:left="0"/>
      </w:pPr>
      <w:r>
        <w:rPr>
          <w:rFonts w:ascii="Aptos" w:hAnsi="Aptos" w:eastAsia="Aptos"/>
          <w:b w:val="0"/>
          <w:i w:val="0"/>
          <w:color w:val="0A1628"/>
          <w:sz w:val="20"/>
        </w:rPr>
        <w:t>Expected: the historical commission remains eligible because eligibility is checked against the delivery date, not the current date</w:t>
      </w:r>
    </w:p>
    <w:p>
      <w:pPr>
        <w:pStyle w:val="Heading2"/>
        <w:keepNext/>
      </w:pPr>
      <w:r>
        <w:rPr>
          <w:rFonts w:ascii="Aptos" w:hAnsi="Aptos" w:eastAsia="Aptos"/>
          <w:b w:val="0"/>
          <w:i w:val="0"/>
          <w:color w:val="0A1628"/>
          <w:sz w:val="20"/>
        </w:rPr>
        <w:t>8. Network Fulfillment, Third-Party Outsourcing, Branch Monitoring, and Settlement</w:t>
      </w:r>
    </w:p>
    <w:p>
      <w:pPr>
        <w:pStyle w:val="Heading3"/>
        <w:keepNext/>
      </w:pPr>
      <w:r>
        <w:rPr>
          <w:rFonts w:ascii="Aptos" w:hAnsi="Aptos" w:eastAsia="Aptos"/>
          <w:b w:val="0"/>
          <w:i w:val="0"/>
          <w:color w:val="0A1628"/>
          <w:sz w:val="20"/>
        </w:rPr>
        <w:t>8.1 Scope and operating model</w:t>
      </w:r>
    </w:p>
    <w:p>
      <w:r>
        <w:rPr>
          <w:rFonts w:ascii="Aptos" w:hAnsi="Aptos" w:eastAsia="Aptos"/>
          <w:b w:val="0"/>
          <w:i w:val="0"/>
          <w:color w:val="0A1628"/>
          <w:sz w:val="20"/>
        </w:rPr>
        <w:t>Britium must support parcels that are fulfilled through one of four execution models: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BRITIUM_DIRECT</w:t>
              <w:br/>
              <w:t>BRANCH_DIRECT</w:t>
              <w:br/>
              <w:t>THIRD_PARTY_OUTSOURCED</w:t>
              <w:br/>
              <w:t>BRANCH_THIRD_PARTY</w:t>
            </w:r>
          </w:p>
        </w:tc>
      </w:tr>
    </w:tbl>
    <w:p>
      <w:pPr>
        <w:spacing w:after="0"/>
      </w:pPr>
    </w:p>
    <w:p>
      <w:r>
        <w:rPr>
          <w:rFonts w:ascii="Aptos" w:hAnsi="Aptos" w:eastAsia="Aptos"/>
          <w:b w:val="0"/>
          <w:i w:val="0"/>
          <w:color w:val="0A1628"/>
          <w:sz w:val="20"/>
        </w:rPr>
        <w:t>Current operating relationships supplied for configuration are:</w:t>
      </w:r>
    </w:p>
    <w:p>
      <w:pPr>
        <w:pStyle w:val="ListBullet"/>
        <w:ind w:left="0"/>
      </w:pPr>
      <w:r>
        <w:rPr>
          <w:rFonts w:ascii="Consolas" w:hAnsi="Consolas" w:eastAsia="Consolas"/>
          <w:b w:val="0"/>
          <w:i w:val="0"/>
          <w:color w:val="0A1628"/>
          <w:sz w:val="17"/>
          <w:shd w:fill="EEF2F6"/>
        </w:rPr>
        <w:t>ROYAL_EXPRESS</w:t>
      </w:r>
      <w:r>
        <w:rPr>
          <w:rFonts w:ascii="Aptos" w:hAnsi="Aptos" w:eastAsia="Aptos"/>
          <w:b w:val="0"/>
          <w:i w:val="0"/>
          <w:color w:val="0A1628"/>
          <w:sz w:val="20"/>
        </w:rPr>
        <w:t xml:space="preserve"> - Royal Express.</w:t>
      </w:r>
    </w:p>
    <w:p>
      <w:pPr>
        <w:pStyle w:val="ListBullet"/>
        <w:ind w:left="0"/>
      </w:pPr>
      <w:r>
        <w:rPr>
          <w:rFonts w:ascii="Consolas" w:hAnsi="Consolas" w:eastAsia="Consolas"/>
          <w:b w:val="0"/>
          <w:i w:val="0"/>
          <w:color w:val="0A1628"/>
          <w:sz w:val="17"/>
          <w:shd w:fill="EEF2F6"/>
        </w:rPr>
        <w:t>DK_DELIVERY</w:t>
      </w:r>
      <w:r>
        <w:rPr>
          <w:rFonts w:ascii="Aptos" w:hAnsi="Aptos" w:eastAsia="Aptos"/>
          <w:b w:val="0"/>
          <w:i w:val="0"/>
          <w:color w:val="0A1628"/>
          <w:sz w:val="20"/>
        </w:rPr>
        <w:t xml:space="preserve"> - DK Delivery.</w:t>
      </w:r>
    </w:p>
    <w:p>
      <w:pPr>
        <w:pStyle w:val="ListBullet"/>
        <w:ind w:left="0"/>
      </w:pPr>
      <w:r>
        <w:rPr>
          <w:rFonts w:ascii="Consolas" w:hAnsi="Consolas" w:eastAsia="Consolas"/>
          <w:b w:val="0"/>
          <w:i w:val="0"/>
          <w:color w:val="0A1628"/>
          <w:sz w:val="17"/>
          <w:shd w:fill="EEF2F6"/>
        </w:rPr>
        <w:t>ARLU_POST</w:t>
      </w:r>
      <w:r>
        <w:rPr>
          <w:rFonts w:ascii="Aptos" w:hAnsi="Aptos" w:eastAsia="Aptos"/>
          <w:b w:val="0"/>
          <w:i w:val="0"/>
          <w:color w:val="0A1628"/>
          <w:sz w:val="20"/>
        </w:rPr>
        <w:t xml:space="preserve"> - Arlu Post.</w:t>
      </w:r>
    </w:p>
    <w:p>
      <w:pPr>
        <w:pStyle w:val="ListBullet"/>
        <w:ind w:left="0"/>
      </w:pPr>
      <w:r>
        <w:rPr>
          <w:rFonts w:ascii="Consolas" w:hAnsi="Consolas" w:eastAsia="Consolas"/>
          <w:b w:val="0"/>
          <w:i w:val="0"/>
          <w:color w:val="0A1628"/>
          <w:sz w:val="17"/>
          <w:shd w:fill="EEF2F6"/>
        </w:rPr>
        <w:t>NINJA_VAN</w:t>
      </w:r>
      <w:r>
        <w:rPr>
          <w:rFonts w:ascii="Aptos" w:hAnsi="Aptos" w:eastAsia="Aptos"/>
          <w:b w:val="0"/>
          <w:i w:val="0"/>
          <w:color w:val="0A1628"/>
          <w:sz w:val="20"/>
        </w:rPr>
        <w:t xml:space="preserve"> - Ninja Van.</w:t>
      </w:r>
    </w:p>
    <w:p>
      <w:pPr>
        <w:pStyle w:val="ListBullet"/>
        <w:ind w:left="0"/>
      </w:pPr>
      <w:r>
        <w:rPr>
          <w:rFonts w:ascii="Consolas" w:hAnsi="Consolas" w:eastAsia="Consolas"/>
          <w:b w:val="0"/>
          <w:i w:val="0"/>
          <w:color w:val="0A1628"/>
          <w:sz w:val="17"/>
          <w:shd w:fill="EEF2F6"/>
        </w:rPr>
        <w:t>SAFE_DELIVERY</w:t>
      </w:r>
      <w:r>
        <w:rPr>
          <w:rFonts w:ascii="Aptos" w:hAnsi="Aptos" w:eastAsia="Aptos"/>
          <w:b w:val="0"/>
          <w:i w:val="0"/>
          <w:color w:val="0A1628"/>
          <w:sz w:val="20"/>
        </w:rPr>
        <w:t xml:space="preserve"> - Safe Delivery Services.</w:t>
      </w:r>
    </w:p>
    <w:p>
      <w:pPr>
        <w:pStyle w:val="ListBullet"/>
        <w:ind w:left="0"/>
      </w:pPr>
      <w:r>
        <w:rPr>
          <w:rFonts w:ascii="Consolas" w:hAnsi="Consolas" w:eastAsia="Consolas"/>
          <w:b w:val="0"/>
          <w:i w:val="0"/>
          <w:color w:val="0A1628"/>
          <w:sz w:val="17"/>
          <w:shd w:fill="EEF2F6"/>
        </w:rPr>
        <w:t>BRITIUM_NPT_BRANCH</w:t>
      </w:r>
      <w:r>
        <w:rPr>
          <w:rFonts w:ascii="Aptos" w:hAnsi="Aptos" w:eastAsia="Aptos"/>
          <w:b w:val="0"/>
          <w:i w:val="0"/>
          <w:color w:val="0A1628"/>
          <w:sz w:val="20"/>
        </w:rPr>
        <w:t xml:space="preserve"> - Britium Nay Pyi Taw branch.</w:t>
      </w:r>
    </w:p>
    <w:p>
      <w:pPr>
        <w:pStyle w:val="ListBullet"/>
        <w:ind w:left="0"/>
      </w:pPr>
      <w:r>
        <w:rPr>
          <w:rFonts w:ascii="Consolas" w:hAnsi="Consolas" w:eastAsia="Consolas"/>
          <w:b w:val="0"/>
          <w:i w:val="0"/>
          <w:color w:val="0A1628"/>
          <w:sz w:val="17"/>
          <w:shd w:fill="EEF2F6"/>
        </w:rPr>
        <w:t>BRITIUM_MDY_BRANCH</w:t>
      </w:r>
      <w:r>
        <w:rPr>
          <w:rFonts w:ascii="Aptos" w:hAnsi="Aptos" w:eastAsia="Aptos"/>
          <w:b w:val="0"/>
          <w:i w:val="0"/>
          <w:color w:val="0A1628"/>
          <w:sz w:val="20"/>
        </w:rPr>
        <w:t xml:space="preserve"> - Britium Mandalay branch or managing office, even when physical delivery is executed by DK Delivery.</w:t>
      </w:r>
    </w:p>
    <w:p>
      <w:r>
        <w:rPr>
          <w:rFonts w:ascii="Aptos" w:hAnsi="Aptos" w:eastAsia="Aptos"/>
          <w:b w:val="0"/>
          <w:i w:val="0"/>
          <w:color w:val="0A1628"/>
          <w:sz w:val="20"/>
        </w:rPr>
        <w:t>Current routing policy supplied by the business is:</w:t>
      </w:r>
    </w:p>
    <w:p>
      <w:pPr>
        <w:pStyle w:val="ListBullet"/>
        <w:ind w:left="0"/>
      </w:pPr>
      <w:r>
        <w:rPr>
          <w:rFonts w:ascii="Aptos" w:hAnsi="Aptos" w:eastAsia="Aptos"/>
          <w:b w:val="0"/>
          <w:i w:val="0"/>
          <w:color w:val="0A1628"/>
          <w:sz w:val="20"/>
        </w:rPr>
        <w:t>Mandalay parcels are normally executed by DK Delivery.</w:t>
      </w:r>
    </w:p>
    <w:p>
      <w:pPr>
        <w:pStyle w:val="ListBullet"/>
        <w:ind w:left="0"/>
      </w:pPr>
      <w:r>
        <w:rPr>
          <w:rFonts w:ascii="Aptos" w:hAnsi="Aptos" w:eastAsia="Aptos"/>
          <w:b w:val="0"/>
          <w:i w:val="0"/>
          <w:color w:val="0A1628"/>
          <w:sz w:val="20"/>
        </w:rPr>
        <w:t>Nay Pyi Taw parcels are managed by the Nay Pyi Taw branch.</w:t>
      </w:r>
    </w:p>
    <w:p>
      <w:pPr>
        <w:pStyle w:val="ListBullet"/>
        <w:ind w:left="0"/>
      </w:pPr>
      <w:r>
        <w:rPr>
          <w:rFonts w:ascii="Aptos" w:hAnsi="Aptos" w:eastAsia="Aptos"/>
          <w:b w:val="0"/>
          <w:i w:val="0"/>
          <w:color w:val="0A1628"/>
          <w:sz w:val="20"/>
        </w:rPr>
        <w:t>Destinations outside Britium's direct reach are mostly assigned to Royal Express.</w:t>
      </w:r>
    </w:p>
    <w:p>
      <w:pPr>
        <w:pStyle w:val="ListBullet"/>
        <w:ind w:left="0"/>
      </w:pPr>
      <w:r>
        <w:rPr>
          <w:rFonts w:ascii="Aptos" w:hAnsi="Aptos" w:eastAsia="Aptos"/>
          <w:b w:val="0"/>
          <w:i w:val="0"/>
          <w:color w:val="0A1628"/>
          <w:sz w:val="20"/>
        </w:rPr>
        <w:t>Arlu Post, Ninja Van, and Safe Delivery Services may be selected as alternatives.</w:t>
      </w:r>
    </w:p>
    <w:p>
      <w:r>
        <w:rPr>
          <w:rFonts w:ascii="Aptos" w:hAnsi="Aptos" w:eastAsia="Aptos"/>
          <w:b w:val="0"/>
          <w:i w:val="0"/>
          <w:color w:val="0A1628"/>
          <w:sz w:val="20"/>
        </w:rPr>
        <w:t>These relationships must be effective-dated configuration, not hardcoded React or SQL conditions. Finance and Operations must be able to change the preferred provider, fallback priority, active dates, service level, and settlement owner without a code deployment.</w:t>
      </w:r>
    </w:p>
    <w:p>
      <w:pPr>
        <w:pStyle w:val="Heading3"/>
        <w:keepNext/>
      </w:pPr>
      <w:r>
        <w:rPr>
          <w:rFonts w:ascii="Aptos" w:hAnsi="Aptos" w:eastAsia="Aptos"/>
          <w:b w:val="0"/>
          <w:i w:val="0"/>
          <w:color w:val="0A1628"/>
          <w:sz w:val="20"/>
        </w:rPr>
        <w:t>8.2 Mandatory financial separation</w:t>
      </w:r>
    </w:p>
    <w:p>
      <w:r>
        <w:rPr>
          <w:rFonts w:ascii="Aptos" w:hAnsi="Aptos" w:eastAsia="Aptos"/>
          <w:b w:val="0"/>
          <w:i w:val="0"/>
          <w:color w:val="0A1628"/>
          <w:sz w:val="20"/>
        </w:rPr>
        <w:t>The system must maintain five separate concepts:</w:t>
      </w:r>
    </w:p>
    <w:p>
      <w:pPr>
        <w:pStyle w:val="ListNumber"/>
        <w:ind w:left="0"/>
      </w:pPr>
      <w:r>
        <w:rPr>
          <w:rFonts w:ascii="Aptos" w:hAnsi="Aptos" w:eastAsia="Aptos"/>
          <w:b w:val="0"/>
          <w:i w:val="0"/>
          <w:color w:val="0A1628"/>
          <w:sz w:val="20"/>
        </w:rPr>
      </w:r>
      <w:r>
        <w:rPr>
          <w:rFonts w:ascii="Aptos" w:hAnsi="Aptos" w:eastAsia="Aptos"/>
          <w:b/>
          <w:i w:val="0"/>
          <w:color w:val="0A1628"/>
          <w:sz w:val="20"/>
        </w:rPr>
        <w:t>Customer-facing delivery amount</w:t>
      </w:r>
      <w:r>
        <w:rPr>
          <w:rFonts w:ascii="Aptos" w:hAnsi="Aptos" w:eastAsia="Aptos"/>
          <w:b w:val="0"/>
          <w:i w:val="0"/>
          <w:color w:val="0A1628"/>
          <w:sz w:val="20"/>
        </w:rPr>
        <w:t xml:space="preserve"> - the amount authorized by the merchant and collected from the receiver.</w:t>
      </w:r>
    </w:p>
    <w:p>
      <w:pPr>
        <w:pStyle w:val="ListNumber"/>
        <w:ind w:left="0"/>
      </w:pPr>
      <w:r>
        <w:rPr>
          <w:rFonts w:ascii="Aptos" w:hAnsi="Aptos" w:eastAsia="Aptos"/>
          <w:b w:val="0"/>
          <w:i w:val="0"/>
          <w:color w:val="0A1628"/>
          <w:sz w:val="20"/>
        </w:rPr>
      </w:r>
      <w:r>
        <w:rPr>
          <w:rFonts w:ascii="Aptos" w:hAnsi="Aptos" w:eastAsia="Aptos"/>
          <w:b/>
          <w:i w:val="0"/>
          <w:color w:val="0A1628"/>
          <w:sz w:val="20"/>
        </w:rPr>
        <w:t>Britium system delivery charge</w:t>
      </w:r>
      <w:r>
        <w:rPr>
          <w:rFonts w:ascii="Aptos" w:hAnsi="Aptos" w:eastAsia="Aptos"/>
          <w:b w:val="0"/>
          <w:i w:val="0"/>
          <w:color w:val="0A1628"/>
          <w:sz w:val="20"/>
        </w:rPr>
        <w:t xml:space="preserve"> - Britium's tariff-based delivery revenue used in merchant settlement.</w:t>
      </w:r>
    </w:p>
    <w:p>
      <w:pPr>
        <w:pStyle w:val="ListNumber"/>
        <w:ind w:left="0"/>
      </w:pPr>
      <w:r>
        <w:rPr>
          <w:rFonts w:ascii="Aptos" w:hAnsi="Aptos" w:eastAsia="Aptos"/>
          <w:b w:val="0"/>
          <w:i w:val="0"/>
          <w:color w:val="0A1628"/>
          <w:sz w:val="20"/>
        </w:rPr>
      </w:r>
      <w:r>
        <w:rPr>
          <w:rFonts w:ascii="Aptos" w:hAnsi="Aptos" w:eastAsia="Aptos"/>
          <w:b/>
          <w:i w:val="0"/>
          <w:color w:val="0A1628"/>
          <w:sz w:val="20"/>
        </w:rPr>
        <w:t>Merchant settlement</w:t>
      </w:r>
      <w:r>
        <w:rPr>
          <w:rFonts w:ascii="Aptos" w:hAnsi="Aptos" w:eastAsia="Aptos"/>
          <w:b w:val="0"/>
          <w:i w:val="0"/>
          <w:color w:val="0A1628"/>
          <w:sz w:val="20"/>
        </w:rPr>
        <w:t xml:space="preserve"> - item value plus merchant delivery credit or deduction under the Financial V2 rules.</w:t>
      </w:r>
    </w:p>
    <w:p>
      <w:pPr>
        <w:pStyle w:val="ListNumber"/>
        <w:ind w:left="0"/>
      </w:pPr>
      <w:r>
        <w:rPr>
          <w:rFonts w:ascii="Aptos" w:hAnsi="Aptos" w:eastAsia="Aptos"/>
          <w:b w:val="0"/>
          <w:i w:val="0"/>
          <w:color w:val="0A1628"/>
          <w:sz w:val="20"/>
        </w:rPr>
      </w:r>
      <w:r>
        <w:rPr>
          <w:rFonts w:ascii="Aptos" w:hAnsi="Aptos" w:eastAsia="Aptos"/>
          <w:b/>
          <w:i w:val="0"/>
          <w:color w:val="0A1628"/>
          <w:sz w:val="20"/>
        </w:rPr>
        <w:t>Execution provider cost</w:t>
      </w:r>
      <w:r>
        <w:rPr>
          <w:rFonts w:ascii="Aptos" w:hAnsi="Aptos" w:eastAsia="Aptos"/>
          <w:b w:val="0"/>
          <w:i w:val="0"/>
          <w:color w:val="0A1628"/>
          <w:sz w:val="20"/>
        </w:rPr>
        <w:t xml:space="preserve"> - the amount payable to an outsourced provider or allocated to a branch.</w:t>
      </w:r>
    </w:p>
    <w:p>
      <w:pPr>
        <w:pStyle w:val="ListNumber"/>
        <w:ind w:left="0"/>
      </w:pPr>
      <w:r>
        <w:rPr>
          <w:rFonts w:ascii="Aptos" w:hAnsi="Aptos" w:eastAsia="Aptos"/>
          <w:b w:val="0"/>
          <w:i w:val="0"/>
          <w:color w:val="0A1628"/>
          <w:sz w:val="20"/>
        </w:rPr>
      </w:r>
      <w:r>
        <w:rPr>
          <w:rFonts w:ascii="Aptos" w:hAnsi="Aptos" w:eastAsia="Aptos"/>
          <w:b/>
          <w:i w:val="0"/>
          <w:color w:val="0A1628"/>
          <w:sz w:val="20"/>
        </w:rPr>
        <w:t>COD custody position</w:t>
      </w:r>
      <w:r>
        <w:rPr>
          <w:rFonts w:ascii="Aptos" w:hAnsi="Aptos" w:eastAsia="Aptos"/>
          <w:b w:val="0"/>
          <w:i w:val="0"/>
          <w:color w:val="0A1628"/>
          <w:sz w:val="20"/>
        </w:rPr>
        <w:t xml:space="preserve"> - cash or cashless funds collected by a branch or partner and still due to Britium.</w:t>
      </w:r>
    </w:p>
    <w:p>
      <w:r>
        <w:rPr>
          <w:rFonts w:ascii="Aptos" w:hAnsi="Aptos" w:eastAsia="Aptos"/>
          <w:b w:val="0"/>
          <w:i w:val="0"/>
          <w:color w:val="0A1628"/>
          <w:sz w:val="20"/>
        </w:rPr>
        <w:t xml:space="preserve">A third-party cost must never replace </w:t>
      </w:r>
      <w:r>
        <w:rPr>
          <w:rFonts w:ascii="Consolas" w:hAnsi="Consolas" w:eastAsia="Consolas"/>
          <w:b w:val="0"/>
          <w:i w:val="0"/>
          <w:color w:val="0A1628"/>
          <w:sz w:val="17"/>
          <w:shd w:fill="EEF2F6"/>
        </w:rPr>
        <w:t>net_system_delivery_charge</w:t>
      </w:r>
      <w:r>
        <w:rPr>
          <w:rFonts w:ascii="Aptos" w:hAnsi="Aptos" w:eastAsia="Aptos"/>
          <w:b w:val="0"/>
          <w:i w:val="0"/>
          <w:color w:val="0A1628"/>
          <w:sz w:val="20"/>
        </w:rPr>
        <w:t xml:space="preserve"> and must never alter the merchant delivery difference calculation.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merchant_delivery_difference</w:t>
              <w:br/>
              <w:t xml:space="preserve">  = effective_declared_delivery_charge</w:t>
              <w:br/>
              <w:t xml:space="preserve">  - net_system_delivery_charge</w:t>
            </w:r>
          </w:p>
        </w:tc>
      </w:tr>
    </w:tbl>
    <w:p>
      <w:pPr>
        <w:spacing w:after="0"/>
      </w:pPr>
    </w:p>
    <w:p>
      <w:r>
        <w:rPr>
          <w:rFonts w:ascii="Aptos" w:hAnsi="Aptos" w:eastAsia="Aptos"/>
          <w:b w:val="0"/>
          <w:i w:val="0"/>
          <w:color w:val="0A1628"/>
          <w:sz w:val="20"/>
        </w:rPr>
        <w:t>The outsourced provider cost is a company expense calculated separately: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outsourced_delivery_margin</w:t>
              <w:br/>
              <w:t xml:space="preserve">  = net_system_delivery_charge</w:t>
              <w:br/>
              <w:t xml:space="preserve">  + company_owned_additional_charges</w:t>
              <w:br/>
              <w:t xml:space="preserve">  - approved_partner_service_payable</w:t>
              <w:br/>
              <w:t xml:space="preserve">  - other_outsourced_fulfillment_costs</w:t>
            </w:r>
          </w:p>
        </w:tc>
      </w:tr>
    </w:tbl>
    <w:p>
      <w:pPr>
        <w:spacing w:after="0"/>
      </w:pPr>
    </w:p>
    <w:p>
      <w:r>
        <w:rPr>
          <w:rFonts w:ascii="Aptos" w:hAnsi="Aptos" w:eastAsia="Aptos"/>
          <w:b w:val="0"/>
          <w:i w:val="0"/>
          <w:color w:val="0A1628"/>
          <w:sz w:val="20"/>
        </w:rPr>
        <w:t>A negative outsourced margin is valid and must be reported. It must not be silently transferred to the receiver or merchant unless a separately approved commercial rule explicitly authorizes that charge.</w:t>
      </w:r>
    </w:p>
    <w:p>
      <w:pPr>
        <w:pStyle w:val="Heading3"/>
        <w:keepNext/>
      </w:pPr>
      <w:r>
        <w:rPr>
          <w:rFonts w:ascii="Aptos" w:hAnsi="Aptos" w:eastAsia="Aptos"/>
          <w:b w:val="0"/>
          <w:i w:val="0"/>
          <w:color w:val="0A1628"/>
          <w:sz w:val="20"/>
        </w:rPr>
        <w:t>8.3 Coverage master and routing ownership</w:t>
      </w:r>
    </w:p>
    <w:p>
      <w:r>
        <w:rPr>
          <w:rFonts w:ascii="Aptos" w:hAnsi="Aptos" w:eastAsia="Aptos"/>
          <w:b w:val="0"/>
          <w:i w:val="0"/>
          <w:color w:val="0A1628"/>
          <w:sz w:val="20"/>
        </w:rPr>
        <w:t>The attached township/tariff list must seed a coverage master, but the existence of a tariff row must not automatically mean that Britium's own riders directly serve that location.</w:t>
      </w:r>
    </w:p>
    <w:p>
      <w:r>
        <w:rPr>
          <w:rFonts w:ascii="Aptos" w:hAnsi="Aptos" w:eastAsia="Aptos"/>
          <w:b w:val="0"/>
          <w:i w:val="0"/>
          <w:color w:val="0A1628"/>
          <w:sz w:val="20"/>
        </w:rPr>
        <w:t>Create: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create table public.be_service_coverage_master (</w:t>
              <w:br/>
              <w:t xml:space="preserve">  coverage_id uuid primary key default gen_random_uuid(),</w:t>
              <w:br/>
              <w:t xml:space="preserve">  township_code text,</w:t>
              <w:br/>
              <w:t xml:space="preserve">  township_name text not null,</w:t>
              <w:br/>
              <w:t xml:space="preserve">  zone_code text not null,</w:t>
              <w:br/>
              <w:t xml:space="preserve">  customer_tariff_available boolean not null default false,</w:t>
              <w:br/>
              <w:t xml:space="preserve">  britium_direct_reachable boolean not null default false,</w:t>
              <w:br/>
              <w:t xml:space="preserve">  managing_branch_code text,</w:t>
              <w:br/>
              <w:t xml:space="preserve">  default_fulfillment_mode text not null,</w:t>
              <w:br/>
              <w:t xml:space="preserve">  default_provider_id uuid,</w:t>
              <w:br/>
              <w:t xml:space="preserve">  effective_from date not null,</w:t>
              <w:br/>
              <w:t xml:space="preserve">  effective_to date,</w:t>
              <w:br/>
              <w:t xml:space="preserve">  status text not null default 'ACTIVE',</w:t>
              <w:br/>
              <w:t xml:space="preserve">  source_version text not null,</w:t>
              <w:br/>
              <w:t xml:space="preserve">  created_at timestamptz not null default now(),</w:t>
              <w:br/>
              <w:t xml:space="preserve">  updated_at timestamptz not null default now()</w:t>
              <w:br/>
              <w:t>);</w:t>
            </w:r>
          </w:p>
        </w:tc>
      </w:tr>
    </w:tbl>
    <w:p>
      <w:pPr>
        <w:spacing w:after="0"/>
      </w:pPr>
    </w:p>
    <w:p>
      <w:r>
        <w:rPr>
          <w:rFonts w:ascii="Aptos" w:hAnsi="Aptos" w:eastAsia="Aptos"/>
          <w:b w:val="0"/>
          <w:i w:val="0"/>
          <w:color w:val="0A1628"/>
          <w:sz w:val="20"/>
        </w:rPr>
        <w:t xml:space="preserve">Allowed </w:t>
      </w:r>
      <w:r>
        <w:rPr>
          <w:rFonts w:ascii="Consolas" w:hAnsi="Consolas" w:eastAsia="Consolas"/>
          <w:b w:val="0"/>
          <w:i w:val="0"/>
          <w:color w:val="0A1628"/>
          <w:sz w:val="17"/>
          <w:shd w:fill="EEF2F6"/>
        </w:rPr>
        <w:t>default_fulfillment_mode</w:t>
      </w:r>
      <w:r>
        <w:rPr>
          <w:rFonts w:ascii="Aptos" w:hAnsi="Aptos" w:eastAsia="Aptos"/>
          <w:b w:val="0"/>
          <w:i w:val="0"/>
          <w:color w:val="0A1628"/>
          <w:sz w:val="20"/>
        </w:rPr>
        <w:t xml:space="preserve"> values: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BRITIUM_DIRECT</w:t>
              <w:br/>
              <w:t>BRANCH_DIRECT</w:t>
              <w:br/>
              <w:t>THIRD_PARTY_OUTSOURCED</w:t>
              <w:br/>
              <w:t>BRANCH_THIRD_PARTY</w:t>
              <w:br/>
              <w:t>MANUAL_ROUTING_REQUIRED</w:t>
            </w:r>
          </w:p>
        </w:tc>
      </w:tr>
    </w:tbl>
    <w:p>
      <w:pPr>
        <w:spacing w:after="0"/>
      </w:pPr>
    </w:p>
    <w:p>
      <w:r>
        <w:rPr>
          <w:rFonts w:ascii="Aptos" w:hAnsi="Aptos" w:eastAsia="Aptos"/>
          <w:b w:val="0"/>
          <w:i w:val="0"/>
          <w:color w:val="0A1628"/>
          <w:sz w:val="20"/>
        </w:rPr>
        <w:t>Create partner-specific coverage: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create table public.be_provider_coverage_rules (</w:t>
              <w:br/>
              <w:t xml:space="preserve">  rule_id uuid primary key default gen_random_uuid(),</w:t>
              <w:br/>
              <w:t xml:space="preserve">  provider_id uuid not null,</w:t>
              <w:br/>
              <w:t xml:space="preserve">  township_code text,</w:t>
              <w:br/>
              <w:t xml:space="preserve">  township_name text not null,</w:t>
              <w:br/>
              <w:t xml:space="preserve">  service_code text not null,</w:t>
              <w:br/>
              <w:t xml:space="preserve">  priority integer not null,</w:t>
              <w:br/>
              <w:t xml:space="preserve">  cutoff_time time,</w:t>
              <w:br/>
              <w:t xml:space="preserve">  expected_delivery_days integer,</w:t>
              <w:br/>
              <w:t xml:space="preserve">  max_weight_kg numeric,</w:t>
              <w:br/>
              <w:t xml:space="preserve">  max_cbm numeric,</w:t>
              <w:br/>
              <w:t xml:space="preserve">  cod_supported boolean not null default true,</w:t>
              <w:br/>
              <w:t xml:space="preserve">  return_supported boolean not null default true,</w:t>
              <w:br/>
              <w:t xml:space="preserve">  effective_from date not null,</w:t>
              <w:br/>
              <w:t xml:space="preserve">  effective_to date,</w:t>
              <w:br/>
              <w:t xml:space="preserve">  status text not null default 'ACTIVE'</w:t>
              <w:br/>
              <w:t>);</w:t>
            </w:r>
          </w:p>
        </w:tc>
      </w:tr>
    </w:tbl>
    <w:p>
      <w:pPr>
        <w:spacing w:after="0"/>
      </w:pPr>
    </w:p>
    <w:p>
      <w:r>
        <w:rPr>
          <w:rFonts w:ascii="Aptos" w:hAnsi="Aptos" w:eastAsia="Aptos"/>
          <w:b w:val="0"/>
          <w:i w:val="0"/>
          <w:color w:val="0A1628"/>
          <w:sz w:val="20"/>
        </w:rPr>
        <w:t>Routing must evaluate:</w:t>
      </w:r>
    </w:p>
    <w:p>
      <w:pPr>
        <w:pStyle w:val="ListNumber"/>
        <w:ind w:left="0"/>
      </w:pPr>
      <w:r>
        <w:rPr>
          <w:rFonts w:ascii="Aptos" w:hAnsi="Aptos" w:eastAsia="Aptos"/>
          <w:b w:val="0"/>
          <w:i w:val="0"/>
          <w:color w:val="0A1628"/>
          <w:sz w:val="20"/>
        </w:rPr>
        <w:t>Destination and serviceability.</w:t>
      </w:r>
    </w:p>
    <w:p>
      <w:pPr>
        <w:pStyle w:val="ListNumber"/>
        <w:ind w:left="0"/>
      </w:pPr>
      <w:r>
        <w:rPr>
          <w:rFonts w:ascii="Aptos" w:hAnsi="Aptos" w:eastAsia="Aptos"/>
          <w:b w:val="0"/>
          <w:i w:val="0"/>
          <w:color w:val="0A1628"/>
          <w:sz w:val="20"/>
        </w:rPr>
        <w:t>Britium direct capacity.</w:t>
      </w:r>
    </w:p>
    <w:p>
      <w:pPr>
        <w:pStyle w:val="ListNumber"/>
        <w:ind w:left="0"/>
      </w:pPr>
      <w:r>
        <w:rPr>
          <w:rFonts w:ascii="Aptos" w:hAnsi="Aptos" w:eastAsia="Aptos"/>
          <w:b w:val="0"/>
          <w:i w:val="0"/>
          <w:color w:val="0A1628"/>
          <w:sz w:val="20"/>
        </w:rPr>
        <w:t>Managing branch.</w:t>
      </w:r>
    </w:p>
    <w:p>
      <w:pPr>
        <w:pStyle w:val="ListNumber"/>
        <w:ind w:left="0"/>
      </w:pPr>
      <w:r>
        <w:rPr>
          <w:rFonts w:ascii="Aptos" w:hAnsi="Aptos" w:eastAsia="Aptos"/>
          <w:b w:val="0"/>
          <w:i w:val="0"/>
          <w:color w:val="0A1628"/>
          <w:sz w:val="20"/>
        </w:rPr>
        <w:t>Preferred provider.</w:t>
      </w:r>
    </w:p>
    <w:p>
      <w:pPr>
        <w:pStyle w:val="ListNumber"/>
        <w:ind w:left="0"/>
      </w:pPr>
      <w:r>
        <w:rPr>
          <w:rFonts w:ascii="Aptos" w:hAnsi="Aptos" w:eastAsia="Aptos"/>
          <w:b w:val="0"/>
          <w:i w:val="0"/>
          <w:color w:val="0A1628"/>
          <w:sz w:val="20"/>
        </w:rPr>
        <w:t>Provider weight, CBM, COD, and service constraints.</w:t>
      </w:r>
    </w:p>
    <w:p>
      <w:pPr>
        <w:pStyle w:val="ListNumber"/>
        <w:ind w:left="0"/>
      </w:pPr>
      <w:r>
        <w:rPr>
          <w:rFonts w:ascii="Aptos" w:hAnsi="Aptos" w:eastAsia="Aptos"/>
          <w:b w:val="0"/>
          <w:i w:val="0"/>
          <w:color w:val="0A1628"/>
          <w:sz w:val="20"/>
        </w:rPr>
        <w:t>Contract status.</w:t>
      </w:r>
    </w:p>
    <w:p>
      <w:pPr>
        <w:pStyle w:val="ListNumber"/>
        <w:ind w:left="0"/>
      </w:pPr>
      <w:r>
        <w:rPr>
          <w:rFonts w:ascii="Aptos" w:hAnsi="Aptos" w:eastAsia="Aptos"/>
          <w:b w:val="0"/>
          <w:i w:val="0"/>
          <w:color w:val="0A1628"/>
          <w:sz w:val="20"/>
        </w:rPr>
        <w:t>Cutoff time.</w:t>
      </w:r>
    </w:p>
    <w:p>
      <w:pPr>
        <w:pStyle w:val="ListNumber"/>
        <w:ind w:left="0"/>
      </w:pPr>
      <w:r>
        <w:rPr>
          <w:rFonts w:ascii="Aptos" w:hAnsi="Aptos" w:eastAsia="Aptos"/>
          <w:b w:val="0"/>
          <w:i w:val="0"/>
          <w:color w:val="0A1628"/>
          <w:sz w:val="20"/>
        </w:rPr>
        <w:t>Historical SLA and suspension status.</w:t>
      </w:r>
    </w:p>
    <w:p>
      <w:pPr>
        <w:pStyle w:val="ListNumber"/>
        <w:ind w:left="0"/>
      </w:pPr>
      <w:r>
        <w:rPr>
          <w:rFonts w:ascii="Aptos" w:hAnsi="Aptos" w:eastAsia="Aptos"/>
          <w:b w:val="0"/>
          <w:i w:val="0"/>
          <w:color w:val="0A1628"/>
          <w:sz w:val="20"/>
        </w:rPr>
        <w:t>Fallback priority.</w:t>
      </w:r>
    </w:p>
    <w:p>
      <w:pPr>
        <w:pStyle w:val="ListNumber"/>
        <w:ind w:left="0"/>
      </w:pPr>
      <w:r>
        <w:rPr>
          <w:rFonts w:ascii="Aptos" w:hAnsi="Aptos" w:eastAsia="Aptos"/>
          <w:b w:val="0"/>
          <w:i w:val="0"/>
          <w:color w:val="0A1628"/>
          <w:sz w:val="20"/>
        </w:rPr>
        <w:t>Manual exception when no valid provider is available.</w:t>
      </w:r>
    </w:p>
    <w:p>
      <w:r>
        <w:rPr>
          <w:rFonts w:ascii="Aptos" w:hAnsi="Aptos" w:eastAsia="Aptos"/>
          <w:b w:val="0"/>
          <w:i w:val="0"/>
          <w:color w:val="0A1628"/>
          <w:sz w:val="20"/>
        </w:rPr>
        <w:t>The route engine must return the selected route and the reasons for selection. It must not silently fall back to an unrelated provider.</w:t>
      </w:r>
    </w:p>
    <w:p>
      <w:pPr>
        <w:pStyle w:val="Heading3"/>
        <w:keepNext/>
      </w:pPr>
      <w:r>
        <w:rPr>
          <w:rFonts w:ascii="Aptos" w:hAnsi="Aptos" w:eastAsia="Aptos"/>
          <w:b w:val="0"/>
          <w:i w:val="0"/>
          <w:color w:val="0A1628"/>
          <w:sz w:val="20"/>
        </w:rPr>
        <w:t>8.4 Fulfillment provider master</w:t>
      </w:r>
    </w:p>
    <w:p>
      <w:r>
        <w:rPr>
          <w:rFonts w:ascii="Aptos" w:hAnsi="Aptos" w:eastAsia="Aptos"/>
          <w:b w:val="0"/>
          <w:i w:val="0"/>
          <w:color w:val="0A1628"/>
          <w:sz w:val="20"/>
        </w:rPr>
        <w:t>Create one provider master for branches and external delivery companies: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create table public.be_fulfillment_providers (</w:t>
              <w:br/>
              <w:t xml:space="preserve">  provider_id uuid primary key default gen_random_uuid(),</w:t>
              <w:br/>
              <w:t xml:space="preserve">  provider_code text not null unique,</w:t>
              <w:br/>
              <w:t xml:space="preserve">  provider_name text not null,</w:t>
              <w:br/>
              <w:t xml:space="preserve">  provider_type text not null,</w:t>
              <w:br/>
              <w:t xml:space="preserve">  managing_branch_code text,</w:t>
              <w:br/>
              <w:t xml:space="preserve">  settlement_method text not null,</w:t>
              <w:br/>
              <w:t xml:space="preserve">  cod_remittance_method text not null,</w:t>
              <w:br/>
              <w:t xml:space="preserve">  integration_method text not null,</w:t>
              <w:br/>
              <w:t xml:space="preserve">  contact_name text,</w:t>
              <w:br/>
              <w:t xml:space="preserve">  contact_phone text,</w:t>
              <w:br/>
              <w:t xml:space="preserve">  contact_email text,</w:t>
              <w:br/>
              <w:t xml:space="preserve">  bank_account_reference text,</w:t>
              <w:br/>
              <w:t xml:space="preserve">  contract_start_date date,</w:t>
              <w:br/>
              <w:t xml:space="preserve">  contract_end_date date,</w:t>
              <w:br/>
              <w:t xml:space="preserve">  status text not null default 'ACTIVE',</w:t>
              <w:br/>
              <w:t xml:space="preserve">  created_at timestamptz not null default now(),</w:t>
              <w:br/>
              <w:t xml:space="preserve">  updated_at timestamptz not null default now()</w:t>
              <w:br/>
              <w:t>);</w:t>
            </w:r>
          </w:p>
        </w:tc>
      </w:tr>
    </w:tbl>
    <w:p>
      <w:pPr>
        <w:spacing w:after="0"/>
      </w:pPr>
    </w:p>
    <w:p>
      <w:r>
        <w:rPr>
          <w:rFonts w:ascii="Aptos" w:hAnsi="Aptos" w:eastAsia="Aptos"/>
          <w:b w:val="0"/>
          <w:i w:val="0"/>
          <w:color w:val="0A1628"/>
          <w:sz w:val="20"/>
        </w:rPr>
        <w:t xml:space="preserve">Allowed </w:t>
      </w:r>
      <w:r>
        <w:rPr>
          <w:rFonts w:ascii="Consolas" w:hAnsi="Consolas" w:eastAsia="Consolas"/>
          <w:b w:val="0"/>
          <w:i w:val="0"/>
          <w:color w:val="0A1628"/>
          <w:sz w:val="17"/>
          <w:shd w:fill="EEF2F6"/>
        </w:rPr>
        <w:t>provider_type</w:t>
      </w:r>
      <w:r>
        <w:rPr>
          <w:rFonts w:ascii="Aptos" w:hAnsi="Aptos" w:eastAsia="Aptos"/>
          <w:b w:val="0"/>
          <w:i w:val="0"/>
          <w:color w:val="0A1628"/>
          <w:sz w:val="20"/>
        </w:rPr>
        <w:t xml:space="preserve"> values: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INTERNAL_FLEET</w:t>
              <w:br/>
              <w:t>BRANCH</w:t>
              <w:br/>
              <w:t>THIRD_PARTY</w:t>
            </w:r>
          </w:p>
        </w:tc>
      </w:tr>
    </w:tbl>
    <w:p>
      <w:pPr>
        <w:spacing w:after="0"/>
      </w:pPr>
    </w:p>
    <w:p>
      <w:r>
        <w:rPr>
          <w:rFonts w:ascii="Aptos" w:hAnsi="Aptos" w:eastAsia="Aptos"/>
          <w:b w:val="0"/>
          <w:i w:val="0"/>
          <w:color w:val="0A1628"/>
          <w:sz w:val="20"/>
        </w:rPr>
        <w:t xml:space="preserve">Allowed </w:t>
      </w:r>
      <w:r>
        <w:rPr>
          <w:rFonts w:ascii="Consolas" w:hAnsi="Consolas" w:eastAsia="Consolas"/>
          <w:b w:val="0"/>
          <w:i w:val="0"/>
          <w:color w:val="0A1628"/>
          <w:sz w:val="17"/>
          <w:shd w:fill="EEF2F6"/>
        </w:rPr>
        <w:t>integration_method</w:t>
      </w:r>
      <w:r>
        <w:rPr>
          <w:rFonts w:ascii="Aptos" w:hAnsi="Aptos" w:eastAsia="Aptos"/>
          <w:b w:val="0"/>
          <w:i w:val="0"/>
          <w:color w:val="0A1628"/>
          <w:sz w:val="20"/>
        </w:rPr>
        <w:t xml:space="preserve"> values: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API_WEBHOOK</w:t>
              <w:br/>
              <w:t>API_POLLING</w:t>
              <w:br/>
              <w:t>CSV_UPLOAD</w:t>
              <w:br/>
              <w:t>PARTNER_PORTAL</w:t>
              <w:br/>
              <w:t>MANUAL_WITH_EVIDENCE</w:t>
            </w:r>
          </w:p>
        </w:tc>
      </w:tr>
    </w:tbl>
    <w:p>
      <w:pPr>
        <w:spacing w:after="0"/>
      </w:pPr>
    </w:p>
    <w:p>
      <w:r>
        <w:rPr>
          <w:rFonts w:ascii="Aptos" w:hAnsi="Aptos" w:eastAsia="Aptos"/>
          <w:b w:val="0"/>
          <w:i w:val="0"/>
          <w:color w:val="0A1628"/>
          <w:sz w:val="20"/>
        </w:rPr>
        <w:t xml:space="preserve">Allowed </w:t>
      </w:r>
      <w:r>
        <w:rPr>
          <w:rFonts w:ascii="Consolas" w:hAnsi="Consolas" w:eastAsia="Consolas"/>
          <w:b w:val="0"/>
          <w:i w:val="0"/>
          <w:color w:val="0A1628"/>
          <w:sz w:val="17"/>
          <w:shd w:fill="EEF2F6"/>
        </w:rPr>
        <w:t>cod_remittance_method</w:t>
      </w:r>
      <w:r>
        <w:rPr>
          <w:rFonts w:ascii="Aptos" w:hAnsi="Aptos" w:eastAsia="Aptos"/>
          <w:b w:val="0"/>
          <w:i w:val="0"/>
          <w:color w:val="0A1628"/>
          <w:sz w:val="20"/>
        </w:rPr>
        <w:t xml:space="preserve"> values: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GROSS_REMITTANCE</w:t>
              <w:br/>
              <w:t>NETTED_WITH_SERVICE_FEES</w:t>
              <w:br/>
              <w:t>NO_COD_COLLECTION</w:t>
              <w:br/>
              <w:t>BRANCH_CASH_HANDOVER</w:t>
            </w:r>
          </w:p>
        </w:tc>
      </w:tr>
    </w:tbl>
    <w:p>
      <w:pPr>
        <w:spacing w:after="0"/>
      </w:pPr>
    </w:p>
    <w:p>
      <w:pPr>
        <w:pStyle w:val="Heading3"/>
        <w:keepNext/>
      </w:pPr>
      <w:r>
        <w:rPr>
          <w:rFonts w:ascii="Aptos" w:hAnsi="Aptos" w:eastAsia="Aptos"/>
          <w:b w:val="0"/>
          <w:i w:val="0"/>
          <w:color w:val="0A1628"/>
          <w:sz w:val="20"/>
        </w:rPr>
        <w:t>8.5 Parcel fulfillment fields</w:t>
      </w:r>
    </w:p>
    <w:p>
      <w:r>
        <w:rPr>
          <w:rFonts w:ascii="Aptos" w:hAnsi="Aptos" w:eastAsia="Aptos"/>
          <w:b w:val="0"/>
          <w:i w:val="0"/>
          <w:color w:val="0A1628"/>
          <w:sz w:val="20"/>
        </w:rPr>
        <w:t>Add the following fields to the canonical parcel/Way transaction: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fulfillment_mode text;</w:t>
              <w:br/>
              <w:t>managing_branch_code text;</w:t>
              <w:br/>
              <w:t>executing_provider_id uuid;</w:t>
              <w:br/>
              <w:t>executing_provider_code text;</w:t>
              <w:br/>
              <w:t>provider_service_code text;</w:t>
              <w:br/>
              <w:t>provider_tracking_id text;</w:t>
              <w:br/>
              <w:t>provider_reference_2 text;</w:t>
              <w:br/>
              <w:t>outsource_assignment_id uuid;</w:t>
              <w:br/>
              <w:t>handover_manifest_id uuid;</w:t>
              <w:br/>
              <w:t>handover_status text;</w:t>
              <w:br/>
              <w:t>handover_at timestamptz;</w:t>
              <w:br/>
              <w:t>provider_accepted_at timestamptz;</w:t>
              <w:br/>
              <w:t>expected_delivery_at timestamptz;</w:t>
              <w:br/>
              <w:t>provider_delivered_at timestamptz;</w:t>
              <w:br/>
              <w:t>provider_last_event_at timestamptz;</w:t>
              <w:br/>
              <w:t>provider_last_status text;</w:t>
              <w:br/>
              <w:t>pod_status text;</w:t>
              <w:br/>
              <w:t>cod_custodian_type text;</w:t>
              <w:br/>
              <w:t>cod_custodian_id text;</w:t>
              <w:br/>
              <w:t>partner_tariff_snapshot jsonb;</w:t>
              <w:br/>
              <w:t>partner_cost_calculation_version text;</w:t>
              <w:br/>
              <w:t>partner_service_payable_mmk bigint;</w:t>
              <w:br/>
              <w:t>partner_cod_collected_mmk bigint;</w:t>
              <w:br/>
              <w:t>partner_cod_remitted_mmk bigint;</w:t>
              <w:br/>
              <w:t>partner_settlement_status text;</w:t>
              <w:br/>
              <w:t>branch_reconciliation_status text;</w:t>
            </w:r>
          </w:p>
        </w:tc>
      </w:tr>
    </w:tbl>
    <w:p>
      <w:pPr>
        <w:spacing w:after="0"/>
      </w:pPr>
    </w:p>
    <w:p>
      <w:r>
        <w:rPr>
          <w:rFonts w:ascii="Consolas" w:hAnsi="Consolas" w:eastAsia="Consolas"/>
          <w:b w:val="0"/>
          <w:i w:val="0"/>
          <w:color w:val="0A1628"/>
          <w:sz w:val="17"/>
          <w:shd w:fill="EEF2F6"/>
        </w:rPr>
        <w:t>delivery_way_id</w:t>
      </w:r>
      <w:r>
        <w:rPr>
          <w:rFonts w:ascii="Aptos" w:hAnsi="Aptos" w:eastAsia="Aptos"/>
          <w:b w:val="0"/>
          <w:i w:val="0"/>
          <w:color w:val="0A1628"/>
          <w:sz w:val="20"/>
        </w:rPr>
        <w:t xml:space="preserve">, </w:t>
      </w:r>
      <w:r>
        <w:rPr>
          <w:rFonts w:ascii="Consolas" w:hAnsi="Consolas" w:eastAsia="Consolas"/>
          <w:b w:val="0"/>
          <w:i w:val="0"/>
          <w:color w:val="0A1628"/>
          <w:sz w:val="17"/>
          <w:shd w:fill="EEF2F6"/>
        </w:rPr>
        <w:t>pickup_id</w:t>
      </w:r>
      <w:r>
        <w:rPr>
          <w:rFonts w:ascii="Aptos" w:hAnsi="Aptos" w:eastAsia="Aptos"/>
          <w:b w:val="0"/>
          <w:i w:val="0"/>
          <w:color w:val="0A1628"/>
          <w:sz w:val="20"/>
        </w:rPr>
        <w:t xml:space="preserve">, </w:t>
      </w:r>
      <w:r>
        <w:rPr>
          <w:rFonts w:ascii="Consolas" w:hAnsi="Consolas" w:eastAsia="Consolas"/>
          <w:b w:val="0"/>
          <w:i w:val="0"/>
          <w:color w:val="0A1628"/>
          <w:sz w:val="17"/>
          <w:shd w:fill="EEF2F6"/>
        </w:rPr>
        <w:t>merchant_code</w:t>
      </w:r>
      <w:r>
        <w:rPr>
          <w:rFonts w:ascii="Aptos" w:hAnsi="Aptos" w:eastAsia="Aptos"/>
          <w:b w:val="0"/>
          <w:i w:val="0"/>
          <w:color w:val="0A1628"/>
          <w:sz w:val="20"/>
        </w:rPr>
        <w:t>, and Britium customer financial fields remain canonical Britium values. A partner tracking number is an external reference and must never replace the Britium Way ID.</w:t>
      </w:r>
    </w:p>
    <w:p>
      <w:pPr>
        <w:pStyle w:val="Heading3"/>
        <w:keepNext/>
      </w:pPr>
      <w:r>
        <w:rPr>
          <w:rFonts w:ascii="Aptos" w:hAnsi="Aptos" w:eastAsia="Aptos"/>
          <w:b w:val="0"/>
          <w:i w:val="0"/>
          <w:color w:val="0A1628"/>
          <w:sz w:val="20"/>
        </w:rPr>
        <w:t>8.6 Assignment and chain of custody</w:t>
      </w:r>
    </w:p>
    <w:p>
      <w:r>
        <w:rPr>
          <w:rFonts w:ascii="Aptos" w:hAnsi="Aptos" w:eastAsia="Aptos"/>
          <w:b w:val="0"/>
          <w:i w:val="0"/>
          <w:color w:val="0A1628"/>
          <w:sz w:val="20"/>
        </w:rPr>
        <w:t>A parcel assigned outside Britium's direct fleet must have a recorded chain of custody.</w:t>
      </w:r>
    </w:p>
    <w:p>
      <w:r>
        <w:rPr>
          <w:rFonts w:ascii="Aptos" w:hAnsi="Aptos" w:eastAsia="Aptos"/>
          <w:b w:val="0"/>
          <w:i w:val="0"/>
          <w:color w:val="0A1628"/>
          <w:sz w:val="20"/>
        </w:rPr>
        <w:t>Required operational lifecycle: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ROUTING_REQUIRED</w:t>
              <w:br/>
              <w:t>ROUTE_SELECTED</w:t>
              <w:br/>
              <w:t>ASSIGNED_TO_BRANCH</w:t>
              <w:br/>
              <w:t>ASSIGNED_TO_PROVIDER</w:t>
              <w:br/>
              <w:t>HANDOVER_PENDING</w:t>
              <w:br/>
              <w:t>MANIFESTED</w:t>
              <w:br/>
              <w:t>HANDED_OVER</w:t>
              <w:br/>
              <w:t>PROVIDER_ACCEPTED</w:t>
              <w:br/>
              <w:t>IN_TRANSIT</w:t>
              <w:br/>
              <w:t>AT_DESTINATION_HUB</w:t>
              <w:br/>
              <w:t>OUT_FOR_DELIVERY</w:t>
              <w:br/>
              <w:t>DELIVERED</w:t>
              <w:br/>
              <w:t>DELIVERY_FAILED</w:t>
              <w:br/>
              <w:t>RETURN_REQUESTED</w:t>
              <w:br/>
              <w:t>RETURN_IN_TRANSIT</w:t>
              <w:br/>
              <w:t>RETURNED_TO_BRITIUM</w:t>
              <w:br/>
              <w:t>LOST</w:t>
              <w:br/>
              <w:t>DAMAGED</w:t>
              <w:br/>
              <w:t>CANCELLED</w:t>
            </w:r>
          </w:p>
        </w:tc>
      </w:tr>
    </w:tbl>
    <w:p>
      <w:pPr>
        <w:spacing w:after="0"/>
      </w:pPr>
    </w:p>
    <w:p>
      <w:r>
        <w:rPr>
          <w:rFonts w:ascii="Aptos" w:hAnsi="Aptos" w:eastAsia="Aptos"/>
          <w:b w:val="0"/>
          <w:i w:val="0"/>
          <w:color w:val="0A1628"/>
          <w:sz w:val="20"/>
        </w:rPr>
        <w:t>Financial status must be separate: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NOT_READY</w:t>
              <w:br/>
              <w:t>COD_PENDING</w:t>
              <w:br/>
              <w:t>COD_RECEIVED_BY_PROVIDER</w:t>
              <w:br/>
              <w:t>COD_PARTIALLY_REMITTED</w:t>
              <w:br/>
              <w:t>COD_REMITTED</w:t>
              <w:br/>
              <w:t>PARTNER_INVOICE_PENDING</w:t>
              <w:br/>
              <w:t>PARTNER_SETTLEMENT_DRAFT</w:t>
              <w:br/>
              <w:t>PARTNER_SETTLEMENT_APPROVED</w:t>
              <w:br/>
              <w:t>PARTNER_SETTLED</w:t>
              <w:br/>
              <w:t>DISPUTED</w:t>
            </w:r>
          </w:p>
        </w:tc>
      </w:tr>
    </w:tbl>
    <w:p>
      <w:pPr>
        <w:spacing w:after="0"/>
      </w:pPr>
    </w:p>
    <w:p>
      <w:r>
        <w:rPr>
          <w:rFonts w:ascii="Aptos" w:hAnsi="Aptos" w:eastAsia="Aptos"/>
          <w:b w:val="0"/>
          <w:i w:val="0"/>
          <w:color w:val="0A1628"/>
          <w:sz w:val="20"/>
        </w:rPr>
        <w:t>Each handover manifest must include:</w:t>
      </w:r>
    </w:p>
    <w:p>
      <w:pPr>
        <w:pStyle w:val="ListBullet"/>
        <w:ind w:left="0"/>
      </w:pPr>
      <w:r>
        <w:rPr>
          <w:rFonts w:ascii="Aptos" w:hAnsi="Aptos" w:eastAsia="Aptos"/>
          <w:b w:val="0"/>
          <w:i w:val="0"/>
          <w:color w:val="0A1628"/>
          <w:sz w:val="20"/>
        </w:rPr>
        <w:t>Manifest number.</w:t>
      </w:r>
    </w:p>
    <w:p>
      <w:pPr>
        <w:pStyle w:val="ListBullet"/>
        <w:ind w:left="0"/>
      </w:pPr>
      <w:r>
        <w:rPr>
          <w:rFonts w:ascii="Aptos" w:hAnsi="Aptos" w:eastAsia="Aptos"/>
          <w:b w:val="0"/>
          <w:i w:val="0"/>
          <w:color w:val="0A1628"/>
          <w:sz w:val="20"/>
        </w:rPr>
        <w:t>Origin branch or hub.</w:t>
      </w:r>
    </w:p>
    <w:p>
      <w:pPr>
        <w:pStyle w:val="ListBullet"/>
        <w:ind w:left="0"/>
      </w:pPr>
      <w:r>
        <w:rPr>
          <w:rFonts w:ascii="Aptos" w:hAnsi="Aptos" w:eastAsia="Aptos"/>
          <w:b w:val="0"/>
          <w:i w:val="0"/>
          <w:color w:val="0A1628"/>
          <w:sz w:val="20"/>
        </w:rPr>
        <w:t>Destination branch/provider.</w:t>
      </w:r>
    </w:p>
    <w:p>
      <w:pPr>
        <w:pStyle w:val="ListBullet"/>
        <w:ind w:left="0"/>
      </w:pPr>
      <w:r>
        <w:rPr>
          <w:rFonts w:ascii="Aptos" w:hAnsi="Aptos" w:eastAsia="Aptos"/>
          <w:b w:val="0"/>
          <w:i w:val="0"/>
          <w:color w:val="0A1628"/>
          <w:sz w:val="20"/>
        </w:rPr>
        <w:t>Provider vehicle or counter reference where applicable.</w:t>
      </w:r>
    </w:p>
    <w:p>
      <w:pPr>
        <w:pStyle w:val="ListBullet"/>
        <w:ind w:left="0"/>
      </w:pPr>
      <w:r>
        <w:rPr>
          <w:rFonts w:ascii="Aptos" w:hAnsi="Aptos" w:eastAsia="Aptos"/>
          <w:b w:val="0"/>
          <w:i w:val="0"/>
          <w:color w:val="0A1628"/>
          <w:sz w:val="20"/>
        </w:rPr>
        <w:t>Handover employee.</w:t>
      </w:r>
    </w:p>
    <w:p>
      <w:pPr>
        <w:pStyle w:val="ListBullet"/>
        <w:ind w:left="0"/>
      </w:pPr>
      <w:r>
        <w:rPr>
          <w:rFonts w:ascii="Aptos" w:hAnsi="Aptos" w:eastAsia="Aptos"/>
          <w:b w:val="0"/>
          <w:i w:val="0"/>
          <w:color w:val="0A1628"/>
          <w:sz w:val="20"/>
        </w:rPr>
        <w:t>Receiving person.</w:t>
      </w:r>
    </w:p>
    <w:p>
      <w:pPr>
        <w:pStyle w:val="ListBullet"/>
        <w:ind w:left="0"/>
      </w:pPr>
      <w:r>
        <w:rPr>
          <w:rFonts w:ascii="Aptos" w:hAnsi="Aptos" w:eastAsia="Aptos"/>
          <w:b w:val="0"/>
          <w:i w:val="0"/>
          <w:color w:val="0A1628"/>
          <w:sz w:val="20"/>
        </w:rPr>
        <w:t>Parcel count.</w:t>
      </w:r>
    </w:p>
    <w:p>
      <w:pPr>
        <w:pStyle w:val="ListBullet"/>
        <w:ind w:left="0"/>
      </w:pPr>
      <w:r>
        <w:rPr>
          <w:rFonts w:ascii="Aptos" w:hAnsi="Aptos" w:eastAsia="Aptos"/>
          <w:b w:val="0"/>
          <w:i w:val="0"/>
          <w:color w:val="0A1628"/>
          <w:sz w:val="20"/>
        </w:rPr>
        <w:t>Total COD expected.</w:t>
      </w:r>
    </w:p>
    <w:p>
      <w:pPr>
        <w:pStyle w:val="ListBullet"/>
        <w:ind w:left="0"/>
      </w:pPr>
      <w:r>
        <w:rPr>
          <w:rFonts w:ascii="Aptos" w:hAnsi="Aptos" w:eastAsia="Aptos"/>
          <w:b w:val="0"/>
          <w:i w:val="0"/>
          <w:color w:val="0A1628"/>
          <w:sz w:val="20"/>
        </w:rPr>
        <w:t>Total declared value.</w:t>
      </w:r>
    </w:p>
    <w:p>
      <w:pPr>
        <w:pStyle w:val="ListBullet"/>
        <w:ind w:left="0"/>
      </w:pPr>
      <w:r>
        <w:rPr>
          <w:rFonts w:ascii="Aptos" w:hAnsi="Aptos" w:eastAsia="Aptos"/>
          <w:b w:val="0"/>
          <w:i w:val="0"/>
          <w:color w:val="0A1628"/>
          <w:sz w:val="20"/>
        </w:rPr>
        <w:t>Total weight and CBM.</w:t>
      </w:r>
    </w:p>
    <w:p>
      <w:pPr>
        <w:pStyle w:val="ListBullet"/>
        <w:ind w:left="0"/>
      </w:pPr>
      <w:r>
        <w:rPr>
          <w:rFonts w:ascii="Aptos" w:hAnsi="Aptos" w:eastAsia="Aptos"/>
          <w:b w:val="0"/>
          <w:i w:val="0"/>
          <w:color w:val="0A1628"/>
          <w:sz w:val="20"/>
        </w:rPr>
        <w:t>Seal or bag reference.</w:t>
      </w:r>
    </w:p>
    <w:p>
      <w:pPr>
        <w:pStyle w:val="ListBullet"/>
        <w:ind w:left="0"/>
      </w:pPr>
      <w:r>
        <w:rPr>
          <w:rFonts w:ascii="Aptos" w:hAnsi="Aptos" w:eastAsia="Aptos"/>
          <w:b w:val="0"/>
          <w:i w:val="0"/>
          <w:color w:val="0A1628"/>
          <w:sz w:val="20"/>
        </w:rPr>
        <w:t>Handover timestamp.</w:t>
      </w:r>
    </w:p>
    <w:p>
      <w:pPr>
        <w:pStyle w:val="ListBullet"/>
        <w:ind w:left="0"/>
      </w:pPr>
      <w:r>
        <w:rPr>
          <w:rFonts w:ascii="Aptos" w:hAnsi="Aptos" w:eastAsia="Aptos"/>
          <w:b w:val="0"/>
          <w:i w:val="0"/>
          <w:color w:val="0A1628"/>
          <w:sz w:val="20"/>
        </w:rPr>
        <w:t>Receiver acceptance timestamp.</w:t>
      </w:r>
    </w:p>
    <w:p>
      <w:pPr>
        <w:pStyle w:val="ListBullet"/>
        <w:ind w:left="0"/>
      </w:pPr>
      <w:r>
        <w:rPr>
          <w:rFonts w:ascii="Aptos" w:hAnsi="Aptos" w:eastAsia="Aptos"/>
          <w:b w:val="0"/>
          <w:i w:val="0"/>
          <w:color w:val="0A1628"/>
          <w:sz w:val="20"/>
        </w:rPr>
        <w:t>Missing, extra, damaged, or rejected parcels.</w:t>
      </w:r>
    </w:p>
    <w:p>
      <w:pPr>
        <w:pStyle w:val="ListBullet"/>
        <w:ind w:left="0"/>
      </w:pPr>
      <w:r>
        <w:rPr>
          <w:rFonts w:ascii="Aptos" w:hAnsi="Aptos" w:eastAsia="Aptos"/>
          <w:b w:val="0"/>
          <w:i w:val="0"/>
          <w:color w:val="0A1628"/>
          <w:sz w:val="20"/>
        </w:rPr>
        <w:t>Supporting photographs or signed document.</w:t>
      </w:r>
    </w:p>
    <w:p>
      <w:r>
        <w:rPr>
          <w:rFonts w:ascii="Aptos" w:hAnsi="Aptos" w:eastAsia="Aptos"/>
          <w:b w:val="0"/>
          <w:i w:val="0"/>
          <w:color w:val="0A1628"/>
          <w:sz w:val="20"/>
        </w:rPr>
        <w:t>The receiving branch or partner must acknowledge each parcel. A manifest-level acceptance must not silently mark missing parcel lines as accepted.</w:t>
      </w:r>
    </w:p>
    <w:p>
      <w:pPr>
        <w:pStyle w:val="Heading3"/>
        <w:keepNext/>
      </w:pPr>
      <w:r>
        <w:rPr>
          <w:rFonts w:ascii="Aptos" w:hAnsi="Aptos" w:eastAsia="Aptos"/>
          <w:b w:val="0"/>
          <w:i w:val="0"/>
          <w:color w:val="0A1628"/>
          <w:sz w:val="20"/>
        </w:rPr>
        <w:t>8.7 Tracking integration and event normalization</w:t>
      </w:r>
    </w:p>
    <w:p>
      <w:r>
        <w:rPr>
          <w:rFonts w:ascii="Aptos" w:hAnsi="Aptos" w:eastAsia="Aptos"/>
          <w:b w:val="0"/>
          <w:i w:val="0"/>
          <w:color w:val="0A1628"/>
          <w:sz w:val="20"/>
        </w:rPr>
        <w:t>Create a normalized provider event table: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create table public.be_fulfillment_tracking_events (</w:t>
              <w:br/>
              <w:t xml:space="preserve">  event_id uuid primary key default gen_random_uuid(),</w:t>
              <w:br/>
              <w:t xml:space="preserve">  delivery_way_id text not null,</w:t>
              <w:br/>
              <w:t xml:space="preserve">  provider_id uuid not null,</w:t>
              <w:br/>
              <w:t xml:space="preserve">  provider_tracking_id text,</w:t>
              <w:br/>
              <w:t xml:space="preserve">  provider_event_id text,</w:t>
              <w:br/>
              <w:t xml:space="preserve">  raw_status_code text,</w:t>
              <w:br/>
              <w:t xml:space="preserve">  normalized_status text not null,</w:t>
              <w:br/>
              <w:t xml:space="preserve">  event_at timestamptz not null,</w:t>
              <w:br/>
              <w:t xml:space="preserve">  received_at timestamptz not null default now(),</w:t>
              <w:br/>
              <w:t xml:space="preserve">  location_text text,</w:t>
              <w:br/>
              <w:t xml:space="preserve">  latitude numeric,</w:t>
              <w:br/>
              <w:t xml:space="preserve">  longitude numeric,</w:t>
              <w:br/>
              <w:t xml:space="preserve">  description text,</w:t>
              <w:br/>
              <w:t xml:space="preserve">  proof_reference text,</w:t>
              <w:br/>
              <w:t xml:space="preserve">  raw_payload jsonb,</w:t>
              <w:br/>
              <w:t xml:space="preserve">  source_method text not null,</w:t>
              <w:br/>
              <w:t xml:space="preserve">  idempotency_key text not null unique</w:t>
              <w:br/>
              <w:t>);</w:t>
            </w:r>
          </w:p>
        </w:tc>
      </w:tr>
    </w:tbl>
    <w:p>
      <w:pPr>
        <w:spacing w:after="0"/>
      </w:pPr>
    </w:p>
    <w:p>
      <w:r>
        <w:rPr>
          <w:rFonts w:ascii="Aptos" w:hAnsi="Aptos" w:eastAsia="Aptos"/>
          <w:b w:val="0"/>
          <w:i w:val="0"/>
          <w:color w:val="0A1628"/>
          <w:sz w:val="20"/>
        </w:rPr>
        <w:t>Create status mappings per provider: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create table public.be_provider_status_mapping (</w:t>
              <w:br/>
              <w:t xml:space="preserve">  provider_id uuid not null,</w:t>
              <w:br/>
              <w:t xml:space="preserve">  raw_status_code text not null,</w:t>
              <w:br/>
              <w:t xml:space="preserve">  normalized_status text not null,</w:t>
              <w:br/>
              <w:t xml:space="preserve">  is_terminal boolean not null default false,</w:t>
              <w:br/>
              <w:t xml:space="preserve">  requires_pod boolean not null default false,</w:t>
              <w:br/>
              <w:t xml:space="preserve">  primary key (provider_id, raw_status_code)</w:t>
              <w:br/>
              <w:t>);</w:t>
            </w:r>
          </w:p>
        </w:tc>
      </w:tr>
    </w:tbl>
    <w:p>
      <w:pPr>
        <w:spacing w:after="0"/>
      </w:pPr>
    </w:p>
    <w:p>
      <w:r>
        <w:rPr>
          <w:rFonts w:ascii="Aptos" w:hAnsi="Aptos" w:eastAsia="Aptos"/>
          <w:b w:val="0"/>
          <w:i w:val="0"/>
          <w:color w:val="0A1628"/>
          <w:sz w:val="20"/>
        </w:rPr>
        <w:t>Requirements:</w:t>
      </w:r>
    </w:p>
    <w:p>
      <w:pPr>
        <w:pStyle w:val="ListBullet"/>
        <w:ind w:left="0"/>
      </w:pPr>
      <w:r>
        <w:rPr>
          <w:rFonts w:ascii="Aptos" w:hAnsi="Aptos" w:eastAsia="Aptos"/>
          <w:b w:val="0"/>
          <w:i w:val="0"/>
          <w:color w:val="0A1628"/>
          <w:sz w:val="20"/>
        </w:rPr>
        <w:t>API/webhook events must be idempotent.</w:t>
      </w:r>
    </w:p>
    <w:p>
      <w:pPr>
        <w:pStyle w:val="ListBullet"/>
        <w:ind w:left="0"/>
      </w:pPr>
      <w:r>
        <w:rPr>
          <w:rFonts w:ascii="Aptos" w:hAnsi="Aptos" w:eastAsia="Aptos"/>
          <w:b w:val="0"/>
          <w:i w:val="0"/>
          <w:color w:val="0A1628"/>
          <w:sz w:val="20"/>
        </w:rPr>
        <w:t>Events may arrive out of order; the system must preserve all events and calculate the current status using event time plus terminal-state rules.</w:t>
      </w:r>
    </w:p>
    <w:p>
      <w:pPr>
        <w:pStyle w:val="ListBullet"/>
        <w:ind w:left="0"/>
      </w:pPr>
      <w:r>
        <w:rPr>
          <w:rFonts w:ascii="Aptos" w:hAnsi="Aptos" w:eastAsia="Aptos"/>
          <w:b w:val="0"/>
          <w:i w:val="0"/>
          <w:color w:val="0A1628"/>
          <w:sz w:val="20"/>
        </w:rPr>
        <w:t>Manual updates require a reason and supporting evidence.</w:t>
      </w:r>
    </w:p>
    <w:p>
      <w:pPr>
        <w:pStyle w:val="ListBullet"/>
        <w:ind w:left="0"/>
      </w:pPr>
      <w:r>
        <w:rPr>
          <w:rFonts w:ascii="Aptos" w:hAnsi="Aptos" w:eastAsia="Aptos"/>
          <w:b w:val="0"/>
          <w:i w:val="0"/>
          <w:color w:val="0A1628"/>
          <w:sz w:val="20"/>
        </w:rPr>
        <w:t>A provider event must never modify merchant, Way, Pickup, item price, or COD instruction fields.</w:t>
      </w:r>
    </w:p>
    <w:p>
      <w:pPr>
        <w:pStyle w:val="ListBullet"/>
        <w:ind w:left="0"/>
      </w:pPr>
      <w:r>
        <w:rPr>
          <w:rFonts w:ascii="Aptos" w:hAnsi="Aptos" w:eastAsia="Aptos"/>
          <w:b w:val="0"/>
          <w:i w:val="0"/>
          <w:color w:val="0A1628"/>
          <w:sz w:val="20"/>
        </w:rPr>
        <w:t>Delivered status requires either accepted provider POD or an authorized exception.</w:t>
      </w:r>
    </w:p>
    <w:p>
      <w:pPr>
        <w:pStyle w:val="Heading3"/>
        <w:keepNext/>
      </w:pPr>
      <w:r>
        <w:rPr>
          <w:rFonts w:ascii="Aptos" w:hAnsi="Aptos" w:eastAsia="Aptos"/>
          <w:b w:val="0"/>
          <w:i w:val="0"/>
          <w:color w:val="0A1628"/>
          <w:sz w:val="20"/>
        </w:rPr>
        <w:t>8.8 Network Fulfillment and Outsource Control Screen</w:t>
      </w:r>
    </w:p>
    <w:p>
      <w:r>
        <w:rPr>
          <w:rFonts w:ascii="Aptos" w:hAnsi="Aptos" w:eastAsia="Aptos"/>
          <w:b w:val="0"/>
          <w:i w:val="0"/>
          <w:color w:val="0A1628"/>
          <w:sz w:val="20"/>
        </w:rPr>
        <w:t>Create an internal screen: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Network Fulfillment &amp; Outsource Control</w:t>
            </w:r>
          </w:p>
        </w:tc>
      </w:tr>
    </w:tbl>
    <w:p>
      <w:pPr>
        <w:spacing w:after="0"/>
      </w:pPr>
    </w:p>
    <w:p>
      <w:r>
        <w:rPr>
          <w:rFonts w:ascii="Aptos" w:hAnsi="Aptos" w:eastAsia="Aptos"/>
          <w:b w:val="0"/>
          <w:i w:val="0"/>
          <w:color w:val="0A1628"/>
          <w:sz w:val="20"/>
        </w:rPr>
        <w:t>Recommended route: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/network-fulfillment</w:t>
            </w:r>
          </w:p>
        </w:tc>
      </w:tr>
    </w:tbl>
    <w:p>
      <w:pPr>
        <w:spacing w:after="0"/>
      </w:pPr>
    </w:p>
    <w:p>
      <w:r>
        <w:rPr>
          <w:rFonts w:ascii="Aptos" w:hAnsi="Aptos" w:eastAsia="Aptos"/>
          <w:b w:val="0"/>
          <w:i w:val="0"/>
          <w:color w:val="0A1628"/>
          <w:sz w:val="20"/>
        </w:rPr>
        <w:t>Required tabs: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Overview</w:t>
              <w:br/>
              <w:t>Routing Queue</w:t>
              <w:br/>
              <w:t>Branch Handovers</w:t>
              <w:br/>
              <w:t>Partner Handovers</w:t>
              <w:br/>
              <w:t>In Transit</w:t>
              <w:br/>
              <w:t>Delivery Exceptions</w:t>
              <w:br/>
              <w:t>Returns</w:t>
              <w:br/>
              <w:t>COD Handover</w:t>
              <w:br/>
              <w:t>Partner Settlements</w:t>
              <w:br/>
              <w:t>Branch Reconciliation</w:t>
              <w:br/>
              <w:t>SLA Performance</w:t>
              <w:br/>
              <w:t>Coverage &amp; Contracts</w:t>
              <w:br/>
              <w:t>Audit Log</w:t>
            </w:r>
          </w:p>
        </w:tc>
      </w:tr>
    </w:tbl>
    <w:p>
      <w:pPr>
        <w:spacing w:after="0"/>
      </w:pPr>
    </w:p>
    <w:p>
      <w:r>
        <w:rPr>
          <w:rFonts w:ascii="Aptos" w:hAnsi="Aptos" w:eastAsia="Aptos"/>
          <w:b w:val="0"/>
          <w:i w:val="0"/>
          <w:color w:val="0A1628"/>
          <w:sz w:val="20"/>
        </w:rPr>
        <w:t>Required KPI cards:</w:t>
      </w:r>
    </w:p>
    <w:p>
      <w:pPr>
        <w:pStyle w:val="ListBullet"/>
        <w:ind w:left="0"/>
      </w:pPr>
      <w:r>
        <w:rPr>
          <w:rFonts w:ascii="Aptos" w:hAnsi="Aptos" w:eastAsia="Aptos"/>
          <w:b w:val="0"/>
          <w:i w:val="0"/>
          <w:color w:val="0A1628"/>
          <w:sz w:val="20"/>
        </w:rPr>
        <w:t>Britium-direct ways.</w:t>
      </w:r>
    </w:p>
    <w:p>
      <w:pPr>
        <w:pStyle w:val="ListBullet"/>
        <w:ind w:left="0"/>
      </w:pPr>
      <w:r>
        <w:rPr>
          <w:rFonts w:ascii="Aptos" w:hAnsi="Aptos" w:eastAsia="Aptos"/>
          <w:b w:val="0"/>
          <w:i w:val="0"/>
          <w:color w:val="0A1628"/>
          <w:sz w:val="20"/>
        </w:rPr>
        <w:t>Branch-direct ways.</w:t>
      </w:r>
    </w:p>
    <w:p>
      <w:pPr>
        <w:pStyle w:val="ListBullet"/>
        <w:ind w:left="0"/>
      </w:pPr>
      <w:r>
        <w:rPr>
          <w:rFonts w:ascii="Aptos" w:hAnsi="Aptos" w:eastAsia="Aptos"/>
          <w:b w:val="0"/>
          <w:i w:val="0"/>
          <w:color w:val="0A1628"/>
          <w:sz w:val="20"/>
        </w:rPr>
        <w:t>Outsourced ways.</w:t>
      </w:r>
    </w:p>
    <w:p>
      <w:pPr>
        <w:pStyle w:val="ListBullet"/>
        <w:ind w:left="0"/>
      </w:pPr>
      <w:r>
        <w:rPr>
          <w:rFonts w:ascii="Aptos" w:hAnsi="Aptos" w:eastAsia="Aptos"/>
          <w:b w:val="0"/>
          <w:i w:val="0"/>
          <w:color w:val="0A1628"/>
          <w:sz w:val="20"/>
        </w:rPr>
        <w:t>Branch-third-party ways.</w:t>
      </w:r>
    </w:p>
    <w:p>
      <w:pPr>
        <w:pStyle w:val="ListBullet"/>
        <w:ind w:left="0"/>
      </w:pPr>
      <w:r>
        <w:rPr>
          <w:rFonts w:ascii="Aptos" w:hAnsi="Aptos" w:eastAsia="Aptos"/>
          <w:b w:val="0"/>
          <w:i w:val="0"/>
          <w:color w:val="0A1628"/>
          <w:sz w:val="20"/>
        </w:rPr>
        <w:t>Ways by Royal Express.</w:t>
      </w:r>
    </w:p>
    <w:p>
      <w:pPr>
        <w:pStyle w:val="ListBullet"/>
        <w:ind w:left="0"/>
      </w:pPr>
      <w:r>
        <w:rPr>
          <w:rFonts w:ascii="Aptos" w:hAnsi="Aptos" w:eastAsia="Aptos"/>
          <w:b w:val="0"/>
          <w:i w:val="0"/>
          <w:color w:val="0A1628"/>
          <w:sz w:val="20"/>
        </w:rPr>
        <w:t>Ways by DK Delivery.</w:t>
      </w:r>
    </w:p>
    <w:p>
      <w:pPr>
        <w:pStyle w:val="ListBullet"/>
        <w:ind w:left="0"/>
      </w:pPr>
      <w:r>
        <w:rPr>
          <w:rFonts w:ascii="Aptos" w:hAnsi="Aptos" w:eastAsia="Aptos"/>
          <w:b w:val="0"/>
          <w:i w:val="0"/>
          <w:color w:val="0A1628"/>
          <w:sz w:val="20"/>
        </w:rPr>
        <w:t>Ways by Arlu Post.</w:t>
      </w:r>
    </w:p>
    <w:p>
      <w:pPr>
        <w:pStyle w:val="ListBullet"/>
        <w:ind w:left="0"/>
      </w:pPr>
      <w:r>
        <w:rPr>
          <w:rFonts w:ascii="Aptos" w:hAnsi="Aptos" w:eastAsia="Aptos"/>
          <w:b w:val="0"/>
          <w:i w:val="0"/>
          <w:color w:val="0A1628"/>
          <w:sz w:val="20"/>
        </w:rPr>
        <w:t>Ways by Ninja Van.</w:t>
      </w:r>
    </w:p>
    <w:p>
      <w:pPr>
        <w:pStyle w:val="ListBullet"/>
        <w:ind w:left="0"/>
      </w:pPr>
      <w:r>
        <w:rPr>
          <w:rFonts w:ascii="Aptos" w:hAnsi="Aptos" w:eastAsia="Aptos"/>
          <w:b w:val="0"/>
          <w:i w:val="0"/>
          <w:color w:val="0A1628"/>
          <w:sz w:val="20"/>
        </w:rPr>
        <w:t>Ways by Safe Delivery Services.</w:t>
      </w:r>
    </w:p>
    <w:p>
      <w:pPr>
        <w:pStyle w:val="ListBullet"/>
        <w:ind w:left="0"/>
      </w:pPr>
      <w:r>
        <w:rPr>
          <w:rFonts w:ascii="Aptos" w:hAnsi="Aptos" w:eastAsia="Aptos"/>
          <w:b w:val="0"/>
          <w:i w:val="0"/>
          <w:color w:val="0A1628"/>
          <w:sz w:val="20"/>
        </w:rPr>
        <w:t>Unaccepted handovers.</w:t>
      </w:r>
    </w:p>
    <w:p>
      <w:pPr>
        <w:pStyle w:val="ListBullet"/>
        <w:ind w:left="0"/>
      </w:pPr>
      <w:r>
        <w:rPr>
          <w:rFonts w:ascii="Aptos" w:hAnsi="Aptos" w:eastAsia="Aptos"/>
          <w:b w:val="0"/>
          <w:i w:val="0"/>
          <w:color w:val="0A1628"/>
          <w:sz w:val="20"/>
        </w:rPr>
        <w:t>No tracking update beyond configured hours.</w:t>
      </w:r>
    </w:p>
    <w:p>
      <w:pPr>
        <w:pStyle w:val="ListBullet"/>
        <w:ind w:left="0"/>
      </w:pPr>
      <w:r>
        <w:rPr>
          <w:rFonts w:ascii="Aptos" w:hAnsi="Aptos" w:eastAsia="Aptos"/>
          <w:b w:val="0"/>
          <w:i w:val="0"/>
          <w:color w:val="0A1628"/>
          <w:sz w:val="20"/>
        </w:rPr>
        <w:t>SLA overdue.</w:t>
      </w:r>
    </w:p>
    <w:p>
      <w:pPr>
        <w:pStyle w:val="ListBullet"/>
        <w:ind w:left="0"/>
      </w:pPr>
      <w:r>
        <w:rPr>
          <w:rFonts w:ascii="Aptos" w:hAnsi="Aptos" w:eastAsia="Aptos"/>
          <w:b w:val="0"/>
          <w:i w:val="0"/>
          <w:color w:val="0A1628"/>
          <w:sz w:val="20"/>
        </w:rPr>
        <w:t>Failed deliveries.</w:t>
      </w:r>
    </w:p>
    <w:p>
      <w:pPr>
        <w:pStyle w:val="ListBullet"/>
        <w:ind w:left="0"/>
      </w:pPr>
      <w:r>
        <w:rPr>
          <w:rFonts w:ascii="Aptos" w:hAnsi="Aptos" w:eastAsia="Aptos"/>
          <w:b w:val="0"/>
          <w:i w:val="0"/>
          <w:color w:val="0A1628"/>
          <w:sz w:val="20"/>
        </w:rPr>
        <w:t>Returns in transit.</w:t>
      </w:r>
    </w:p>
    <w:p>
      <w:pPr>
        <w:pStyle w:val="ListBullet"/>
        <w:ind w:left="0"/>
      </w:pPr>
      <w:r>
        <w:rPr>
          <w:rFonts w:ascii="Aptos" w:hAnsi="Aptos" w:eastAsia="Aptos"/>
          <w:b w:val="0"/>
          <w:i w:val="0"/>
          <w:color w:val="0A1628"/>
          <w:sz w:val="20"/>
        </w:rPr>
        <w:t>Missing POD.</w:t>
      </w:r>
    </w:p>
    <w:p>
      <w:pPr>
        <w:pStyle w:val="ListBullet"/>
        <w:ind w:left="0"/>
      </w:pPr>
      <w:r>
        <w:rPr>
          <w:rFonts w:ascii="Aptos" w:hAnsi="Aptos" w:eastAsia="Aptos"/>
          <w:b w:val="0"/>
          <w:i w:val="0"/>
          <w:color w:val="0A1628"/>
          <w:sz w:val="20"/>
        </w:rPr>
        <w:t>COD held by partners.</w:t>
      </w:r>
    </w:p>
    <w:p>
      <w:pPr>
        <w:pStyle w:val="ListBullet"/>
        <w:ind w:left="0"/>
      </w:pPr>
      <w:r>
        <w:rPr>
          <w:rFonts w:ascii="Aptos" w:hAnsi="Aptos" w:eastAsia="Aptos"/>
          <w:b w:val="0"/>
          <w:i w:val="0"/>
          <w:color w:val="0A1628"/>
          <w:sz w:val="20"/>
        </w:rPr>
        <w:t>COD held by branches.</w:t>
      </w:r>
    </w:p>
    <w:p>
      <w:pPr>
        <w:pStyle w:val="ListBullet"/>
        <w:ind w:left="0"/>
      </w:pPr>
      <w:r>
        <w:rPr>
          <w:rFonts w:ascii="Aptos" w:hAnsi="Aptos" w:eastAsia="Aptos"/>
          <w:b w:val="0"/>
          <w:i w:val="0"/>
          <w:color w:val="0A1628"/>
          <w:sz w:val="20"/>
        </w:rPr>
        <w:t>Partner service payable.</w:t>
      </w:r>
    </w:p>
    <w:p>
      <w:pPr>
        <w:pStyle w:val="ListBullet"/>
        <w:ind w:left="0"/>
      </w:pPr>
      <w:r>
        <w:rPr>
          <w:rFonts w:ascii="Aptos" w:hAnsi="Aptos" w:eastAsia="Aptos"/>
          <w:b w:val="0"/>
          <w:i w:val="0"/>
          <w:color w:val="0A1628"/>
          <w:sz w:val="20"/>
        </w:rPr>
        <w:t>Outstanding partner remittance.</w:t>
      </w:r>
    </w:p>
    <w:p>
      <w:pPr>
        <w:pStyle w:val="ListBullet"/>
        <w:ind w:left="0"/>
      </w:pPr>
      <w:r>
        <w:rPr>
          <w:rFonts w:ascii="Aptos" w:hAnsi="Aptos" w:eastAsia="Aptos"/>
          <w:b w:val="0"/>
          <w:i w:val="0"/>
          <w:color w:val="0A1628"/>
          <w:sz w:val="20"/>
        </w:rPr>
        <w:t>Branch cash outstanding.</w:t>
      </w:r>
    </w:p>
    <w:p>
      <w:pPr>
        <w:pStyle w:val="ListBullet"/>
        <w:ind w:left="0"/>
      </w:pPr>
      <w:r>
        <w:rPr>
          <w:rFonts w:ascii="Aptos" w:hAnsi="Aptos" w:eastAsia="Aptos"/>
          <w:b w:val="0"/>
          <w:i w:val="0"/>
          <w:color w:val="0A1628"/>
          <w:sz w:val="20"/>
        </w:rPr>
        <w:t>Outsourced gross margin.</w:t>
      </w:r>
    </w:p>
    <w:p>
      <w:pPr>
        <w:pStyle w:val="ListBullet"/>
        <w:ind w:left="0"/>
      </w:pPr>
      <w:r>
        <w:rPr>
          <w:rFonts w:ascii="Aptos" w:hAnsi="Aptos" w:eastAsia="Aptos"/>
          <w:b w:val="0"/>
          <w:i w:val="0"/>
          <w:color w:val="0A1628"/>
          <w:sz w:val="20"/>
        </w:rPr>
        <w:t>Open disputes.</w:t>
      </w:r>
    </w:p>
    <w:p>
      <w:r>
        <w:rPr>
          <w:rFonts w:ascii="Aptos" w:hAnsi="Aptos" w:eastAsia="Aptos"/>
          <w:b w:val="0"/>
          <w:i w:val="0"/>
          <w:color w:val="0A1628"/>
          <w:sz w:val="20"/>
        </w:rPr>
        <w:t>Required table columns: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Way ID</w:t>
              <w:br/>
              <w:t>Pickup ID</w:t>
              <w:br/>
              <w:t>Merchant</w:t>
              <w:br/>
              <w:t>Destination</w:t>
              <w:br/>
              <w:t>Managing Branch</w:t>
              <w:br/>
              <w:t>Execution Mode</w:t>
              <w:br/>
              <w:t>Provider</w:t>
              <w:br/>
              <w:t>Partner Tracking ID</w:t>
              <w:br/>
              <w:t>Handover Status</w:t>
              <w:br/>
              <w:t>Last Tracking Status</w:t>
              <w:br/>
              <w:t>Last Update</w:t>
              <w:br/>
              <w:t>Expected Delivery</w:t>
              <w:br/>
              <w:t>POD Status</w:t>
              <w:br/>
              <w:t>COD Amount</w:t>
              <w:br/>
              <w:t>COD Custodian</w:t>
              <w:br/>
              <w:t>COD Remitted</w:t>
              <w:br/>
              <w:t>Partner Cost</w:t>
              <w:br/>
              <w:t>Financial Status</w:t>
              <w:br/>
              <w:t>Exception</w:t>
              <w:br/>
              <w:t>Actions</w:t>
            </w:r>
          </w:p>
        </w:tc>
      </w:tr>
    </w:tbl>
    <w:p>
      <w:pPr>
        <w:spacing w:after="0"/>
      </w:pPr>
    </w:p>
    <w:p>
      <w:pPr>
        <w:pStyle w:val="Heading3"/>
        <w:keepNext/>
      </w:pPr>
      <w:r>
        <w:rPr>
          <w:rFonts w:ascii="Aptos" w:hAnsi="Aptos" w:eastAsia="Aptos"/>
          <w:b w:val="0"/>
          <w:i w:val="0"/>
          <w:color w:val="0A1628"/>
          <w:sz w:val="20"/>
        </w:rPr>
        <w:t>8.9 SLA and exception monitoring</w:t>
      </w:r>
    </w:p>
    <w:p>
      <w:r>
        <w:rPr>
          <w:rFonts w:ascii="Aptos" w:hAnsi="Aptos" w:eastAsia="Aptos"/>
          <w:b w:val="0"/>
          <w:i w:val="0"/>
          <w:color w:val="0A1628"/>
          <w:sz w:val="20"/>
        </w:rPr>
        <w:t>Create automated exception codes: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NO_PROVIDER_AVAILABLE</w:t>
              <w:br/>
              <w:t>PROVIDER_ASSIGNMENT_REJECTED</w:t>
              <w:br/>
              <w:t>HANDOVER_NOT_ACCEPTED</w:t>
              <w:br/>
              <w:t>MANIFEST_PARCEL_MISMATCH</w:t>
              <w:br/>
              <w:t>NO_TRACKING_UPDATE</w:t>
              <w:br/>
              <w:t>SLA_AT_RISK</w:t>
              <w:br/>
              <w:t>SLA_BREACHED</w:t>
              <w:br/>
              <w:t>DELIVERY_FAILED</w:t>
              <w:br/>
              <w:t>MAX_ATTEMPTS_REACHED</w:t>
              <w:br/>
              <w:t>POD_MISSING</w:t>
              <w:br/>
              <w:t>POD_REJECTED</w:t>
              <w:br/>
              <w:t>COD_NOT_REMITTED</w:t>
              <w:br/>
              <w:t>COD_REMITTANCE_SHORT</w:t>
              <w:br/>
              <w:t>COD_REMITTANCE_OVER</w:t>
              <w:br/>
              <w:t>PARTNER_RATE_NOT_FOUND</w:t>
              <w:br/>
              <w:t>PARTNER_INVOICE_MISMATCH</w:t>
              <w:br/>
              <w:t>PARTNER_DUPLICATE_CHARGE</w:t>
              <w:br/>
              <w:t>RETURN_OVERDUE</w:t>
              <w:br/>
              <w:t>PARCEL_LOST</w:t>
              <w:br/>
              <w:t>PARCEL_DAMAGED</w:t>
              <w:br/>
              <w:t>BRANCH_CASH_NOT_HANDED_OVER</w:t>
              <w:br/>
              <w:t>BRANCH_RECONCILIATION_MISMATCH</w:t>
            </w:r>
          </w:p>
        </w:tc>
      </w:tr>
    </w:tbl>
    <w:p>
      <w:pPr>
        <w:spacing w:after="0"/>
      </w:pPr>
    </w:p>
    <w:p>
      <w:r>
        <w:rPr>
          <w:rFonts w:ascii="Aptos" w:hAnsi="Aptos" w:eastAsia="Aptos"/>
          <w:b w:val="0"/>
          <w:i w:val="0"/>
          <w:color w:val="0A1628"/>
          <w:sz w:val="20"/>
        </w:rPr>
        <w:t>Each exception must have:</w:t>
      </w:r>
    </w:p>
    <w:p>
      <w:pPr>
        <w:pStyle w:val="ListBullet"/>
        <w:ind w:left="0"/>
      </w:pPr>
      <w:r>
        <w:rPr>
          <w:rFonts w:ascii="Aptos" w:hAnsi="Aptos" w:eastAsia="Aptos"/>
          <w:b w:val="0"/>
          <w:i w:val="0"/>
          <w:color w:val="0A1628"/>
          <w:sz w:val="20"/>
        </w:rPr>
        <w:t>Owner.</w:t>
      </w:r>
    </w:p>
    <w:p>
      <w:pPr>
        <w:pStyle w:val="ListBullet"/>
        <w:ind w:left="0"/>
      </w:pPr>
      <w:r>
        <w:rPr>
          <w:rFonts w:ascii="Aptos" w:hAnsi="Aptos" w:eastAsia="Aptos"/>
          <w:b w:val="0"/>
          <w:i w:val="0"/>
          <w:color w:val="0A1628"/>
          <w:sz w:val="20"/>
        </w:rPr>
        <w:t>Responsible provider or branch.</w:t>
      </w:r>
    </w:p>
    <w:p>
      <w:pPr>
        <w:pStyle w:val="ListBullet"/>
        <w:ind w:left="0"/>
      </w:pPr>
      <w:r>
        <w:rPr>
          <w:rFonts w:ascii="Aptos" w:hAnsi="Aptos" w:eastAsia="Aptos"/>
          <w:b w:val="0"/>
          <w:i w:val="0"/>
          <w:color w:val="0A1628"/>
          <w:sz w:val="20"/>
        </w:rPr>
        <w:t>Opened time.</w:t>
      </w:r>
    </w:p>
    <w:p>
      <w:pPr>
        <w:pStyle w:val="ListBullet"/>
        <w:ind w:left="0"/>
      </w:pPr>
      <w:r>
        <w:rPr>
          <w:rFonts w:ascii="Aptos" w:hAnsi="Aptos" w:eastAsia="Aptos"/>
          <w:b w:val="0"/>
          <w:i w:val="0"/>
          <w:color w:val="0A1628"/>
          <w:sz w:val="20"/>
        </w:rPr>
        <w:t>Severity.</w:t>
      </w:r>
    </w:p>
    <w:p>
      <w:pPr>
        <w:pStyle w:val="ListBullet"/>
        <w:ind w:left="0"/>
      </w:pPr>
      <w:r>
        <w:rPr>
          <w:rFonts w:ascii="Aptos" w:hAnsi="Aptos" w:eastAsia="Aptos"/>
          <w:b w:val="0"/>
          <w:i w:val="0"/>
          <w:color w:val="0A1628"/>
          <w:sz w:val="20"/>
        </w:rPr>
        <w:t>SLA deadline.</w:t>
      </w:r>
    </w:p>
    <w:p>
      <w:pPr>
        <w:pStyle w:val="ListBullet"/>
        <w:ind w:left="0"/>
      </w:pPr>
      <w:r>
        <w:rPr>
          <w:rFonts w:ascii="Aptos" w:hAnsi="Aptos" w:eastAsia="Aptos"/>
          <w:b w:val="0"/>
          <w:i w:val="0"/>
          <w:color w:val="0A1628"/>
          <w:sz w:val="20"/>
        </w:rPr>
        <w:t>Evidence.</w:t>
      </w:r>
    </w:p>
    <w:p>
      <w:pPr>
        <w:pStyle w:val="ListBullet"/>
        <w:ind w:left="0"/>
      </w:pPr>
      <w:r>
        <w:rPr>
          <w:rFonts w:ascii="Aptos" w:hAnsi="Aptos" w:eastAsia="Aptos"/>
          <w:b w:val="0"/>
          <w:i w:val="0"/>
          <w:color w:val="0A1628"/>
          <w:sz w:val="20"/>
        </w:rPr>
        <w:t>Resolution action.</w:t>
      </w:r>
    </w:p>
    <w:p>
      <w:pPr>
        <w:pStyle w:val="ListBullet"/>
        <w:ind w:left="0"/>
      </w:pPr>
      <w:r>
        <w:rPr>
          <w:rFonts w:ascii="Aptos" w:hAnsi="Aptos" w:eastAsia="Aptos"/>
          <w:b w:val="0"/>
          <w:i w:val="0"/>
          <w:color w:val="0A1628"/>
          <w:sz w:val="20"/>
        </w:rPr>
        <w:t>Resolution approval.</w:t>
      </w:r>
    </w:p>
    <w:p>
      <w:pPr>
        <w:pStyle w:val="ListBullet"/>
        <w:ind w:left="0"/>
      </w:pPr>
      <w:r>
        <w:rPr>
          <w:rFonts w:ascii="Aptos" w:hAnsi="Aptos" w:eastAsia="Aptos"/>
          <w:b w:val="0"/>
          <w:i w:val="0"/>
          <w:color w:val="0A1628"/>
          <w:sz w:val="20"/>
        </w:rPr>
        <w:t>Financial impact.</w:t>
      </w:r>
    </w:p>
    <w:p>
      <w:pPr>
        <w:pStyle w:val="ListBullet"/>
        <w:ind w:left="0"/>
      </w:pPr>
      <w:r>
        <w:rPr>
          <w:rFonts w:ascii="Aptos" w:hAnsi="Aptos" w:eastAsia="Aptos"/>
          <w:b w:val="0"/>
          <w:i w:val="0"/>
          <w:color w:val="0A1628"/>
          <w:sz w:val="20"/>
        </w:rPr>
        <w:t>Audit history.</w:t>
      </w:r>
    </w:p>
    <w:p>
      <w:pPr>
        <w:pStyle w:val="Heading3"/>
        <w:keepNext/>
      </w:pPr>
      <w:r>
        <w:rPr>
          <w:rFonts w:ascii="Aptos" w:hAnsi="Aptos" w:eastAsia="Aptos"/>
          <w:b w:val="0"/>
          <w:i w:val="0"/>
          <w:color w:val="0A1628"/>
          <w:sz w:val="20"/>
        </w:rPr>
        <w:t>8.10 Proof of delivery</w:t>
      </w:r>
    </w:p>
    <w:p>
      <w:r>
        <w:rPr>
          <w:rFonts w:ascii="Aptos" w:hAnsi="Aptos" w:eastAsia="Aptos"/>
          <w:b w:val="0"/>
          <w:i w:val="0"/>
          <w:color w:val="0A1628"/>
          <w:sz w:val="20"/>
        </w:rPr>
        <w:t>The system must store provider POD separately from Britium internal proof.</w:t>
      </w:r>
    </w:p>
    <w:p>
      <w:r>
        <w:rPr>
          <w:rFonts w:ascii="Aptos" w:hAnsi="Aptos" w:eastAsia="Aptos"/>
          <w:b w:val="0"/>
          <w:i w:val="0"/>
          <w:color w:val="0A1628"/>
          <w:sz w:val="20"/>
        </w:rPr>
        <w:t>Supported POD components:</w:t>
      </w:r>
    </w:p>
    <w:p>
      <w:pPr>
        <w:pStyle w:val="ListBullet"/>
        <w:ind w:left="0"/>
      </w:pPr>
      <w:r>
        <w:rPr>
          <w:rFonts w:ascii="Aptos" w:hAnsi="Aptos" w:eastAsia="Aptos"/>
          <w:b w:val="0"/>
          <w:i w:val="0"/>
          <w:color w:val="0A1628"/>
          <w:sz w:val="20"/>
        </w:rPr>
        <w:t>Receiver name.</w:t>
      </w:r>
    </w:p>
    <w:p>
      <w:pPr>
        <w:pStyle w:val="ListBullet"/>
        <w:ind w:left="0"/>
      </w:pPr>
      <w:r>
        <w:rPr>
          <w:rFonts w:ascii="Aptos" w:hAnsi="Aptos" w:eastAsia="Aptos"/>
          <w:b w:val="0"/>
          <w:i w:val="0"/>
          <w:color w:val="0A1628"/>
          <w:sz w:val="20"/>
        </w:rPr>
        <w:t>Receiver phone confirmation where permitted.</w:t>
      </w:r>
    </w:p>
    <w:p>
      <w:pPr>
        <w:pStyle w:val="ListBullet"/>
        <w:ind w:left="0"/>
      </w:pPr>
      <w:r>
        <w:rPr>
          <w:rFonts w:ascii="Aptos" w:hAnsi="Aptos" w:eastAsia="Aptos"/>
          <w:b w:val="0"/>
          <w:i w:val="0"/>
          <w:color w:val="0A1628"/>
          <w:sz w:val="20"/>
        </w:rPr>
        <w:t>Signature.</w:t>
      </w:r>
    </w:p>
    <w:p>
      <w:pPr>
        <w:pStyle w:val="ListBullet"/>
        <w:ind w:left="0"/>
      </w:pPr>
      <w:r>
        <w:rPr>
          <w:rFonts w:ascii="Aptos" w:hAnsi="Aptos" w:eastAsia="Aptos"/>
          <w:b w:val="0"/>
          <w:i w:val="0"/>
          <w:color w:val="0A1628"/>
          <w:sz w:val="20"/>
        </w:rPr>
        <w:t>Parcel photograph.</w:t>
      </w:r>
    </w:p>
    <w:p>
      <w:pPr>
        <w:pStyle w:val="ListBullet"/>
        <w:ind w:left="0"/>
      </w:pPr>
      <w:r>
        <w:rPr>
          <w:rFonts w:ascii="Aptos" w:hAnsi="Aptos" w:eastAsia="Aptos"/>
          <w:b w:val="0"/>
          <w:i w:val="0"/>
          <w:color w:val="0A1628"/>
          <w:sz w:val="20"/>
        </w:rPr>
        <w:t>Delivery-location photograph.</w:t>
      </w:r>
    </w:p>
    <w:p>
      <w:pPr>
        <w:pStyle w:val="ListBullet"/>
        <w:ind w:left="0"/>
      </w:pPr>
      <w:r>
        <w:rPr>
          <w:rFonts w:ascii="Aptos" w:hAnsi="Aptos" w:eastAsia="Aptos"/>
          <w:b w:val="0"/>
          <w:i w:val="0"/>
          <w:color w:val="0A1628"/>
          <w:sz w:val="20"/>
        </w:rPr>
        <w:t>GPS coordinates.</w:t>
      </w:r>
    </w:p>
    <w:p>
      <w:pPr>
        <w:pStyle w:val="ListBullet"/>
        <w:ind w:left="0"/>
      </w:pPr>
      <w:r>
        <w:rPr>
          <w:rFonts w:ascii="Aptos" w:hAnsi="Aptos" w:eastAsia="Aptos"/>
          <w:b w:val="0"/>
          <w:i w:val="0"/>
          <w:color w:val="0A1628"/>
          <w:sz w:val="20"/>
        </w:rPr>
        <w:t>Delivery timestamp.</w:t>
      </w:r>
    </w:p>
    <w:p>
      <w:pPr>
        <w:pStyle w:val="ListBullet"/>
        <w:ind w:left="0"/>
      </w:pPr>
      <w:r>
        <w:rPr>
          <w:rFonts w:ascii="Aptos" w:hAnsi="Aptos" w:eastAsia="Aptos"/>
          <w:b w:val="0"/>
          <w:i w:val="0"/>
          <w:color w:val="0A1628"/>
          <w:sz w:val="20"/>
        </w:rPr>
        <w:t>Partner POD document.</w:t>
      </w:r>
    </w:p>
    <w:p>
      <w:pPr>
        <w:pStyle w:val="ListBullet"/>
        <w:ind w:left="0"/>
      </w:pPr>
      <w:r>
        <w:rPr>
          <w:rFonts w:ascii="Aptos" w:hAnsi="Aptos" w:eastAsia="Aptos"/>
          <w:b w:val="0"/>
          <w:i w:val="0"/>
          <w:color w:val="0A1628"/>
          <w:sz w:val="20"/>
        </w:rPr>
        <w:t>Provider delivery agent reference.</w:t>
      </w:r>
    </w:p>
    <w:p>
      <w:pPr>
        <w:pStyle w:val="ListBullet"/>
        <w:ind w:left="0"/>
      </w:pPr>
      <w:r>
        <w:rPr>
          <w:rFonts w:ascii="Aptos" w:hAnsi="Aptos" w:eastAsia="Aptos"/>
          <w:b w:val="0"/>
          <w:i w:val="0"/>
          <w:color w:val="0A1628"/>
          <w:sz w:val="20"/>
        </w:rPr>
        <w:t>Exception reason when signature or photo is unavailable.</w:t>
      </w:r>
    </w:p>
    <w:p>
      <w:r>
        <w:rPr>
          <w:rFonts w:ascii="Aptos" w:hAnsi="Aptos" w:eastAsia="Aptos"/>
          <w:b w:val="0"/>
          <w:i w:val="0"/>
          <w:color w:val="0A1628"/>
          <w:sz w:val="20"/>
        </w:rPr>
        <w:t>POD approval statuses: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PENDING</w:t>
              <w:br/>
              <w:t>RECEIVED</w:t>
              <w:br/>
              <w:t>VALIDATED</w:t>
              <w:br/>
              <w:t>REJECTED</w:t>
              <w:br/>
              <w:t>WAIVED_WITH_AUTHORIZATION</w:t>
            </w:r>
          </w:p>
        </w:tc>
      </w:tr>
    </w:tbl>
    <w:p>
      <w:pPr>
        <w:spacing w:after="0"/>
      </w:pPr>
    </w:p>
    <w:p>
      <w:r>
        <w:rPr>
          <w:rFonts w:ascii="Aptos" w:hAnsi="Aptos" w:eastAsia="Aptos"/>
          <w:b w:val="0"/>
          <w:i w:val="0"/>
          <w:color w:val="0A1628"/>
          <w:sz w:val="20"/>
        </w:rPr>
        <w:t>Only validated or authorized POD may make a parcel financially settlement-eligible.</w:t>
      </w:r>
    </w:p>
    <w:p>
      <w:pPr>
        <w:pStyle w:val="Heading3"/>
        <w:keepNext/>
      </w:pPr>
      <w:r>
        <w:rPr>
          <w:rFonts w:ascii="Aptos" w:hAnsi="Aptos" w:eastAsia="Aptos"/>
          <w:b w:val="0"/>
          <w:i w:val="0"/>
          <w:color w:val="0A1628"/>
          <w:sz w:val="20"/>
        </w:rPr>
        <w:t>8.11 COD custody and remittance</w:t>
      </w:r>
    </w:p>
    <w:p>
      <w:r>
        <w:rPr>
          <w:rFonts w:ascii="Aptos" w:hAnsi="Aptos" w:eastAsia="Aptos"/>
          <w:b w:val="0"/>
          <w:i w:val="0"/>
          <w:color w:val="0A1628"/>
          <w:sz w:val="20"/>
        </w:rPr>
        <w:t xml:space="preserve">The provider or branch must receive only the backend-calculated </w:t>
      </w:r>
      <w:r>
        <w:rPr>
          <w:rFonts w:ascii="Consolas" w:hAnsi="Consolas" w:eastAsia="Consolas"/>
          <w:b w:val="0"/>
          <w:i w:val="0"/>
          <w:color w:val="0A1628"/>
          <w:sz w:val="17"/>
          <w:shd w:fill="EEF2F6"/>
        </w:rPr>
        <w:t>cod_amount</w:t>
      </w:r>
      <w:r>
        <w:rPr>
          <w:rFonts w:ascii="Aptos" w:hAnsi="Aptos" w:eastAsia="Aptos"/>
          <w:b w:val="0"/>
          <w:i w:val="0"/>
          <w:color w:val="0A1628"/>
          <w:sz w:val="20"/>
        </w:rPr>
        <w:t xml:space="preserve"> as the receiver collection instruction.</w:t>
      </w:r>
    </w:p>
    <w:p>
      <w:r>
        <w:rPr>
          <w:rFonts w:ascii="Aptos" w:hAnsi="Aptos" w:eastAsia="Aptos"/>
          <w:b w:val="0"/>
          <w:i w:val="0"/>
          <w:color w:val="0A1628"/>
          <w:sz w:val="20"/>
        </w:rPr>
        <w:t>Required COD custody values: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BRITIUM_RIDER</w:t>
              <w:br/>
              <w:t>BRITIUM_BRANCH</w:t>
              <w:br/>
              <w:t>THIRD_PARTY_PROVIDER</w:t>
              <w:br/>
              <w:t>NO_COD</w:t>
            </w:r>
          </w:p>
        </w:tc>
      </w:tr>
    </w:tbl>
    <w:p>
      <w:pPr>
        <w:spacing w:after="0"/>
      </w:pPr>
    </w:p>
    <w:p>
      <w:r>
        <w:rPr>
          <w:rFonts w:ascii="Aptos" w:hAnsi="Aptos" w:eastAsia="Aptos"/>
          <w:b w:val="0"/>
          <w:i w:val="0"/>
          <w:color w:val="0A1628"/>
          <w:sz w:val="20"/>
        </w:rPr>
        <w:t>Store every handover: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create table public.be_cod_custody_events (</w:t>
              <w:br/>
              <w:t xml:space="preserve">  custody_event_id uuid primary key default gen_random_uuid(),</w:t>
              <w:br/>
              <w:t xml:space="preserve">  delivery_way_id text not null,</w:t>
              <w:br/>
              <w:t xml:space="preserve">  event_type text not null,</w:t>
              <w:br/>
              <w:t xml:space="preserve">  from_custodian_type text,</w:t>
              <w:br/>
              <w:t xml:space="preserve">  from_custodian_id text,</w:t>
              <w:br/>
              <w:t xml:space="preserve">  to_custodian_type text,</w:t>
              <w:br/>
              <w:t xml:space="preserve">  to_custodian_id text,</w:t>
              <w:br/>
              <w:t xml:space="preserve">  amount_mmk bigint not null,</w:t>
              <w:br/>
              <w:t xml:space="preserve">  payment_method text not null,</w:t>
              <w:br/>
              <w:t xml:space="preserve">  reference_no text,</w:t>
              <w:br/>
              <w:t xml:space="preserve">  evidence_reference text,</w:t>
              <w:br/>
              <w:t xml:space="preserve">  event_at timestamptz not null,</w:t>
              <w:br/>
              <w:t xml:space="preserve">  recorded_by uuid,</w:t>
              <w:br/>
              <w:t xml:space="preserve">  approved_by uuid,</w:t>
              <w:br/>
              <w:t xml:space="preserve">  created_at timestamptz not null default now()</w:t>
              <w:br/>
              <w:t>);</w:t>
            </w:r>
          </w:p>
        </w:tc>
      </w:tr>
    </w:tbl>
    <w:p>
      <w:pPr>
        <w:spacing w:after="0"/>
      </w:pPr>
    </w:p>
    <w:p>
      <w:r>
        <w:rPr>
          <w:rFonts w:ascii="Aptos" w:hAnsi="Aptos" w:eastAsia="Aptos"/>
          <w:b w:val="0"/>
          <w:i w:val="0"/>
          <w:color w:val="0A1628"/>
          <w:sz w:val="20"/>
        </w:rPr>
        <w:t>COD event types: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CUSTOMER_COLLECTED</w:t>
              <w:br/>
              <w:t>BRANCH_RECEIVED</w:t>
              <w:br/>
              <w:t>PARTNER_RECEIVED</w:t>
              <w:br/>
              <w:t>BANK_DEPOSITED</w:t>
              <w:br/>
              <w:t>REMITTED_TO_BRITIUM</w:t>
              <w:br/>
              <w:t>REFUNDED_TO_CUSTOMER</w:t>
              <w:br/>
              <w:t>SHORTAGE_RECORDED</w:t>
              <w:br/>
              <w:t>OVERAGE_RECORDED</w:t>
              <w:br/>
              <w:t>ADJUSTMENT_APPROVED</w:t>
            </w:r>
          </w:p>
        </w:tc>
      </w:tr>
    </w:tbl>
    <w:p>
      <w:pPr>
        <w:spacing w:after="0"/>
      </w:pPr>
    </w:p>
    <w:p>
      <w:r>
        <w:rPr>
          <w:rFonts w:ascii="Aptos" w:hAnsi="Aptos" w:eastAsia="Aptos"/>
          <w:b w:val="0"/>
          <w:i w:val="0"/>
          <w:color w:val="0A1628"/>
          <w:sz w:val="20"/>
        </w:rPr>
        <w:t>The system must reconcile: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expected_cod</w:t>
              <w:br/>
              <w:t>= backend cod_amount for delivered COD parcels</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cod_outstanding_with_provider</w:t>
              <w:br/>
              <w:t>= provider_collected</w:t>
              <w:br/>
              <w:t>- provider_remitted</w:t>
              <w:br/>
              <w:t>- approved_customer_refunds</w:t>
              <w:br/>
              <w:t>- approved_cod_adjustments</w:t>
            </w:r>
          </w:p>
        </w:tc>
      </w:tr>
    </w:tbl>
    <w:p>
      <w:pPr>
        <w:spacing w:after="0"/>
      </w:pPr>
    </w:p>
    <w:p>
      <w:r>
        <w:rPr>
          <w:rFonts w:ascii="Aptos" w:hAnsi="Aptos" w:eastAsia="Aptos"/>
          <w:b w:val="0"/>
          <w:i w:val="0"/>
          <w:color w:val="0A1628"/>
          <w:sz w:val="20"/>
        </w:rPr>
        <w:t>A service-fee netting arrangement must not hide COD custody. Gross COD collected and service payable must always be stored separately, even when only the net amount is transferred.</w:t>
      </w:r>
    </w:p>
    <w:p>
      <w:pPr>
        <w:pStyle w:val="Heading3"/>
        <w:keepNext/>
      </w:pPr>
      <w:r>
        <w:rPr>
          <w:rFonts w:ascii="Aptos" w:hAnsi="Aptos" w:eastAsia="Aptos"/>
          <w:b w:val="0"/>
          <w:i w:val="0"/>
          <w:color w:val="0A1628"/>
          <w:sz w:val="20"/>
        </w:rPr>
        <w:t>8.12 Partner tariff and contract master</w:t>
      </w:r>
    </w:p>
    <w:p>
      <w:r>
        <w:rPr>
          <w:rFonts w:ascii="Aptos" w:hAnsi="Aptos" w:eastAsia="Aptos"/>
          <w:b w:val="0"/>
          <w:i w:val="0"/>
          <w:color w:val="0A1628"/>
          <w:sz w:val="20"/>
        </w:rPr>
        <w:t>Partner pricing must be separate from Britium's customer tariff master.</w:t>
      </w:r>
    </w:p>
    <w:p>
      <w:r>
        <w:rPr>
          <w:rFonts w:ascii="Aptos" w:hAnsi="Aptos" w:eastAsia="Aptos"/>
          <w:b w:val="0"/>
          <w:i w:val="0"/>
          <w:color w:val="0A1628"/>
          <w:sz w:val="20"/>
        </w:rPr>
        <w:t>Create an effective-dated partner tariff master supporting:</w:t>
      </w:r>
    </w:p>
    <w:p>
      <w:pPr>
        <w:pStyle w:val="ListBullet"/>
        <w:ind w:left="0"/>
      </w:pPr>
      <w:r>
        <w:rPr>
          <w:rFonts w:ascii="Aptos" w:hAnsi="Aptos" w:eastAsia="Aptos"/>
          <w:b w:val="0"/>
          <w:i w:val="0"/>
          <w:color w:val="0A1628"/>
          <w:sz w:val="20"/>
        </w:rPr>
        <w:t>Provider.</w:t>
      </w:r>
    </w:p>
    <w:p>
      <w:pPr>
        <w:pStyle w:val="ListBullet"/>
        <w:ind w:left="0"/>
      </w:pPr>
      <w:r>
        <w:rPr>
          <w:rFonts w:ascii="Aptos" w:hAnsi="Aptos" w:eastAsia="Aptos"/>
          <w:b w:val="0"/>
          <w:i w:val="0"/>
          <w:color w:val="0A1628"/>
          <w:sz w:val="20"/>
        </w:rPr>
        <w:t>Origin.</w:t>
      </w:r>
    </w:p>
    <w:p>
      <w:pPr>
        <w:pStyle w:val="ListBullet"/>
        <w:ind w:left="0"/>
      </w:pPr>
      <w:r>
        <w:rPr>
          <w:rFonts w:ascii="Aptos" w:hAnsi="Aptos" w:eastAsia="Aptos"/>
          <w:b w:val="0"/>
          <w:i w:val="0"/>
          <w:color w:val="0A1628"/>
          <w:sz w:val="20"/>
        </w:rPr>
        <w:t>Destination.</w:t>
      </w:r>
    </w:p>
    <w:p>
      <w:pPr>
        <w:pStyle w:val="ListBullet"/>
        <w:ind w:left="0"/>
      </w:pPr>
      <w:r>
        <w:rPr>
          <w:rFonts w:ascii="Aptos" w:hAnsi="Aptos" w:eastAsia="Aptos"/>
          <w:b w:val="0"/>
          <w:i w:val="0"/>
          <w:color w:val="0A1628"/>
          <w:sz w:val="20"/>
        </w:rPr>
        <w:t>Service type.</w:t>
      </w:r>
    </w:p>
    <w:p>
      <w:pPr>
        <w:pStyle w:val="ListBullet"/>
        <w:ind w:left="0"/>
      </w:pPr>
      <w:r>
        <w:rPr>
          <w:rFonts w:ascii="Aptos" w:hAnsi="Aptos" w:eastAsia="Aptos"/>
          <w:b w:val="0"/>
          <w:i w:val="0"/>
          <w:color w:val="0A1628"/>
          <w:sz w:val="20"/>
        </w:rPr>
        <w:t>Base fee.</w:t>
      </w:r>
    </w:p>
    <w:p>
      <w:pPr>
        <w:pStyle w:val="ListBullet"/>
        <w:ind w:left="0"/>
      </w:pPr>
      <w:r>
        <w:rPr>
          <w:rFonts w:ascii="Aptos" w:hAnsi="Aptos" w:eastAsia="Aptos"/>
          <w:b w:val="0"/>
          <w:i w:val="0"/>
          <w:color w:val="0A1628"/>
          <w:sz w:val="20"/>
        </w:rPr>
        <w:t>Included weight.</w:t>
      </w:r>
    </w:p>
    <w:p>
      <w:pPr>
        <w:pStyle w:val="ListBullet"/>
        <w:ind w:left="0"/>
      </w:pPr>
      <w:r>
        <w:rPr>
          <w:rFonts w:ascii="Aptos" w:hAnsi="Aptos" w:eastAsia="Aptos"/>
          <w:b w:val="0"/>
          <w:i w:val="0"/>
          <w:color w:val="0A1628"/>
          <w:sz w:val="20"/>
        </w:rPr>
        <w:t>Extra charge per kilogram.</w:t>
      </w:r>
    </w:p>
    <w:p>
      <w:pPr>
        <w:pStyle w:val="ListBullet"/>
        <w:ind w:left="0"/>
      </w:pPr>
      <w:r>
        <w:rPr>
          <w:rFonts w:ascii="Aptos" w:hAnsi="Aptos" w:eastAsia="Aptos"/>
          <w:b w:val="0"/>
          <w:i w:val="0"/>
          <w:color w:val="0A1628"/>
          <w:sz w:val="20"/>
        </w:rPr>
        <w:t>CBM charge.</w:t>
      </w:r>
    </w:p>
    <w:p>
      <w:pPr>
        <w:pStyle w:val="ListBullet"/>
        <w:ind w:left="0"/>
      </w:pPr>
      <w:r>
        <w:rPr>
          <w:rFonts w:ascii="Aptos" w:hAnsi="Aptos" w:eastAsia="Aptos"/>
          <w:b w:val="0"/>
          <w:i w:val="0"/>
          <w:color w:val="0A1628"/>
          <w:sz w:val="20"/>
        </w:rPr>
        <w:t>Remote-area surcharge.</w:t>
      </w:r>
    </w:p>
    <w:p>
      <w:pPr>
        <w:pStyle w:val="ListBullet"/>
        <w:ind w:left="0"/>
      </w:pPr>
      <w:r>
        <w:rPr>
          <w:rFonts w:ascii="Aptos" w:hAnsi="Aptos" w:eastAsia="Aptos"/>
          <w:b w:val="0"/>
          <w:i w:val="0"/>
          <w:color w:val="0A1628"/>
          <w:sz w:val="20"/>
        </w:rPr>
        <w:t>COD collection fee.</w:t>
      </w:r>
    </w:p>
    <w:p>
      <w:pPr>
        <w:pStyle w:val="ListBullet"/>
        <w:ind w:left="0"/>
      </w:pPr>
      <w:r>
        <w:rPr>
          <w:rFonts w:ascii="Aptos" w:hAnsi="Aptos" w:eastAsia="Aptos"/>
          <w:b w:val="0"/>
          <w:i w:val="0"/>
          <w:color w:val="0A1628"/>
          <w:sz w:val="20"/>
        </w:rPr>
        <w:t>Percentage COD fee where contractually applicable.</w:t>
      </w:r>
    </w:p>
    <w:p>
      <w:pPr>
        <w:pStyle w:val="ListBullet"/>
        <w:ind w:left="0"/>
      </w:pPr>
      <w:r>
        <w:rPr>
          <w:rFonts w:ascii="Aptos" w:hAnsi="Aptos" w:eastAsia="Aptos"/>
          <w:b w:val="0"/>
          <w:i w:val="0"/>
          <w:color w:val="0A1628"/>
          <w:sz w:val="20"/>
        </w:rPr>
        <w:t>Redelivery charge.</w:t>
      </w:r>
    </w:p>
    <w:p>
      <w:pPr>
        <w:pStyle w:val="ListBullet"/>
        <w:ind w:left="0"/>
      </w:pPr>
      <w:r>
        <w:rPr>
          <w:rFonts w:ascii="Aptos" w:hAnsi="Aptos" w:eastAsia="Aptos"/>
          <w:b w:val="0"/>
          <w:i w:val="0"/>
          <w:color w:val="0A1628"/>
          <w:sz w:val="20"/>
        </w:rPr>
        <w:t>Return charge.</w:t>
      </w:r>
    </w:p>
    <w:p>
      <w:pPr>
        <w:pStyle w:val="ListBullet"/>
        <w:ind w:left="0"/>
      </w:pPr>
      <w:r>
        <w:rPr>
          <w:rFonts w:ascii="Aptos" w:hAnsi="Aptos" w:eastAsia="Aptos"/>
          <w:b w:val="0"/>
          <w:i w:val="0"/>
          <w:color w:val="0A1628"/>
          <w:sz w:val="20"/>
        </w:rPr>
        <w:t>Handover or pickup charge.</w:t>
      </w:r>
    </w:p>
    <w:p>
      <w:pPr>
        <w:pStyle w:val="ListBullet"/>
        <w:ind w:left="0"/>
      </w:pPr>
      <w:r>
        <w:rPr>
          <w:rFonts w:ascii="Aptos" w:hAnsi="Aptos" w:eastAsia="Aptos"/>
          <w:b w:val="0"/>
          <w:i w:val="0"/>
          <w:color w:val="0A1628"/>
          <w:sz w:val="20"/>
        </w:rPr>
        <w:t>Insurance charge.</w:t>
      </w:r>
    </w:p>
    <w:p>
      <w:pPr>
        <w:pStyle w:val="ListBullet"/>
        <w:ind w:left="0"/>
      </w:pPr>
      <w:r>
        <w:rPr>
          <w:rFonts w:ascii="Aptos" w:hAnsi="Aptos" w:eastAsia="Aptos"/>
          <w:b w:val="0"/>
          <w:i w:val="0"/>
          <w:color w:val="0A1628"/>
          <w:sz w:val="20"/>
        </w:rPr>
        <w:t>Fuel surcharge.</w:t>
      </w:r>
    </w:p>
    <w:p>
      <w:pPr>
        <w:pStyle w:val="ListBullet"/>
        <w:ind w:left="0"/>
      </w:pPr>
      <w:r>
        <w:rPr>
          <w:rFonts w:ascii="Aptos" w:hAnsi="Aptos" w:eastAsia="Aptos"/>
          <w:b w:val="0"/>
          <w:i w:val="0"/>
          <w:color w:val="0A1628"/>
          <w:sz w:val="20"/>
        </w:rPr>
        <w:t>Tax.</w:t>
      </w:r>
    </w:p>
    <w:p>
      <w:pPr>
        <w:pStyle w:val="ListBullet"/>
        <w:ind w:left="0"/>
      </w:pPr>
      <w:r>
        <w:rPr>
          <w:rFonts w:ascii="Aptos" w:hAnsi="Aptos" w:eastAsia="Aptos"/>
          <w:b w:val="0"/>
          <w:i w:val="0"/>
          <w:color w:val="0A1628"/>
          <w:sz w:val="20"/>
        </w:rPr>
        <w:t>Volume discount.</w:t>
      </w:r>
    </w:p>
    <w:p>
      <w:pPr>
        <w:pStyle w:val="ListBullet"/>
        <w:ind w:left="0"/>
      </w:pPr>
      <w:r>
        <w:rPr>
          <w:rFonts w:ascii="Aptos" w:hAnsi="Aptos" w:eastAsia="Aptos"/>
          <w:b w:val="0"/>
          <w:i w:val="0"/>
          <w:color w:val="0A1628"/>
          <w:sz w:val="20"/>
        </w:rPr>
        <w:t>SLA service credit or penalty.</w:t>
      </w:r>
    </w:p>
    <w:p>
      <w:pPr>
        <w:pStyle w:val="ListBullet"/>
        <w:ind w:left="0"/>
      </w:pPr>
      <w:r>
        <w:rPr>
          <w:rFonts w:ascii="Aptos" w:hAnsi="Aptos" w:eastAsia="Aptos"/>
          <w:b w:val="0"/>
          <w:i w:val="0"/>
          <w:color w:val="0A1628"/>
          <w:sz w:val="20"/>
        </w:rPr>
        <w:t>Minimum monthly commitment.</w:t>
      </w:r>
    </w:p>
    <w:p>
      <w:pPr>
        <w:pStyle w:val="ListBullet"/>
        <w:ind w:left="0"/>
      </w:pPr>
      <w:r>
        <w:rPr>
          <w:rFonts w:ascii="Aptos" w:hAnsi="Aptos" w:eastAsia="Aptos"/>
          <w:b w:val="0"/>
          <w:i w:val="0"/>
          <w:color w:val="0A1628"/>
          <w:sz w:val="20"/>
        </w:rPr>
        <w:t>Currency.</w:t>
      </w:r>
    </w:p>
    <w:p>
      <w:pPr>
        <w:pStyle w:val="ListBullet"/>
        <w:ind w:left="0"/>
      </w:pPr>
      <w:r>
        <w:rPr>
          <w:rFonts w:ascii="Aptos" w:hAnsi="Aptos" w:eastAsia="Aptos"/>
          <w:b w:val="0"/>
          <w:i w:val="0"/>
          <w:color w:val="0A1628"/>
          <w:sz w:val="20"/>
        </w:rPr>
        <w:t>Effective dates.</w:t>
      </w:r>
    </w:p>
    <w:p>
      <w:pPr>
        <w:pStyle w:val="ListBullet"/>
        <w:ind w:left="0"/>
      </w:pPr>
      <w:r>
        <w:rPr>
          <w:rFonts w:ascii="Aptos" w:hAnsi="Aptos" w:eastAsia="Aptos"/>
          <w:b w:val="0"/>
          <w:i w:val="0"/>
          <w:color w:val="0A1628"/>
          <w:sz w:val="20"/>
        </w:rPr>
        <w:t>Approval status.</w:t>
      </w:r>
    </w:p>
    <w:p>
      <w:r>
        <w:rPr>
          <w:rFonts w:ascii="Aptos" w:hAnsi="Aptos" w:eastAsia="Aptos"/>
          <w:b w:val="0"/>
          <w:i w:val="0"/>
          <w:color w:val="0A1628"/>
          <w:sz w:val="20"/>
        </w:rPr>
        <w:t>Every outsourced Way must store a partner tariff snapshot. Historical settlement must not be recalculated from the latest partner tariff.</w:t>
      </w:r>
    </w:p>
    <w:p>
      <w:pPr>
        <w:pStyle w:val="Heading3"/>
        <w:keepNext/>
      </w:pPr>
      <w:r>
        <w:rPr>
          <w:rFonts w:ascii="Aptos" w:hAnsi="Aptos" w:eastAsia="Aptos"/>
          <w:b w:val="0"/>
          <w:i w:val="0"/>
          <w:color w:val="0A1628"/>
          <w:sz w:val="20"/>
        </w:rPr>
        <w:t>8.13 Partner service payable calculation</w:t>
      </w:r>
    </w:p>
    <w:p>
      <w:r>
        <w:rPr>
          <w:rFonts w:ascii="Aptos" w:hAnsi="Aptos" w:eastAsia="Aptos"/>
          <w:b w:val="0"/>
          <w:i w:val="0"/>
          <w:color w:val="0A1628"/>
          <w:sz w:val="20"/>
        </w:rPr>
        <w:t>Calculate the provider cost independently for each Way: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partner_gross_service_charge</w:t>
              <w:br/>
              <w:t xml:space="preserve">  = partner_base_fee</w:t>
              <w:br/>
              <w:t xml:space="preserve">  + partner_weight_surcharge</w:t>
              <w:br/>
              <w:t xml:space="preserve">  + partner_cbm_surcharge</w:t>
              <w:br/>
              <w:t xml:space="preserve">  + partner_remote_surcharge</w:t>
              <w:br/>
              <w:t xml:space="preserve">  + partner_cod_fee</w:t>
              <w:br/>
              <w:t xml:space="preserve">  + partner_redelivery_charge</w:t>
              <w:br/>
              <w:t xml:space="preserve">  + partner_return_charge</w:t>
              <w:br/>
              <w:t xml:space="preserve">  + partner_other_approved_charge</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partner_service_payable</w:t>
              <w:br/>
              <w:t xml:space="preserve">  = partner_gross_service_charge</w:t>
              <w:br/>
              <w:t xml:space="preserve">  - partner_discount</w:t>
              <w:br/>
              <w:t xml:space="preserve">  - partner_sla_credit</w:t>
              <w:br/>
              <w:t xml:space="preserve">  - partner_penalty</w:t>
            </w:r>
          </w:p>
        </w:tc>
      </w:tr>
    </w:tbl>
    <w:p>
      <w:pPr>
        <w:spacing w:after="0"/>
      </w:pPr>
    </w:p>
    <w:p>
      <w:r>
        <w:rPr>
          <w:rFonts w:ascii="Aptos" w:hAnsi="Aptos" w:eastAsia="Aptos"/>
          <w:b w:val="0"/>
          <w:i w:val="0"/>
          <w:color w:val="0A1628"/>
          <w:sz w:val="20"/>
        </w:rPr>
        <w:t>The payable must be zero or positive unless a contract supports a net credit. Any negative result requires Finance review.</w:t>
      </w:r>
    </w:p>
    <w:p>
      <w:r>
        <w:rPr>
          <w:rFonts w:ascii="Aptos" w:hAnsi="Aptos" w:eastAsia="Aptos"/>
          <w:b w:val="0"/>
          <w:i w:val="0"/>
          <w:color w:val="0A1628"/>
          <w:sz w:val="20"/>
        </w:rPr>
        <w:t>Charges not supported by the tariff snapshot or approved evidence must be rejected or placed in dispute.</w:t>
      </w:r>
    </w:p>
    <w:p>
      <w:pPr>
        <w:pStyle w:val="Heading3"/>
        <w:keepNext/>
      </w:pPr>
      <w:r>
        <w:rPr>
          <w:rFonts w:ascii="Aptos" w:hAnsi="Aptos" w:eastAsia="Aptos"/>
          <w:b w:val="0"/>
          <w:i w:val="0"/>
          <w:color w:val="0A1628"/>
          <w:sz w:val="20"/>
        </w:rPr>
        <w:t>8.14 Third-party settlement methods</w:t>
      </w:r>
    </w:p>
    <w:p>
      <w:r>
        <w:rPr>
          <w:rFonts w:ascii="Aptos" w:hAnsi="Aptos" w:eastAsia="Aptos"/>
          <w:b w:val="0"/>
          <w:i w:val="0"/>
          <w:color w:val="0A1628"/>
          <w:sz w:val="20"/>
        </w:rPr>
        <w:t>Support two settlement methods.</w:t>
      </w:r>
    </w:p>
    <w:p>
      <w:pPr>
        <w:pStyle w:val="Heading4"/>
        <w:keepNext/>
      </w:pPr>
      <w:r>
        <w:rPr>
          <w:rFonts w:ascii="Aptos" w:hAnsi="Aptos" w:eastAsia="Aptos"/>
          <w:b w:val="0"/>
          <w:i w:val="0"/>
          <w:color w:val="0A1628"/>
          <w:sz w:val="20"/>
        </w:rPr>
        <w:t>Gross remittance</w:t>
      </w:r>
    </w:p>
    <w:p>
      <w:r>
        <w:rPr>
          <w:rFonts w:ascii="Aptos" w:hAnsi="Aptos" w:eastAsia="Aptos"/>
          <w:b w:val="0"/>
          <w:i w:val="0"/>
          <w:color w:val="0A1628"/>
          <w:sz w:val="20"/>
        </w:rPr>
        <w:t>The partner remits all customer collections to Britium. Britium pays the approved provider invoice separately.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cash_due_from_partner</w:t>
              <w:br/>
              <w:t xml:space="preserve">  = partner_cod_collected</w:t>
              <w:br/>
              <w:t xml:space="preserve">  - customer_refunds</w:t>
              <w:br/>
              <w:t xml:space="preserve">  - prior_cod_remittances</w:t>
              <w:br/>
              <w:t xml:space="preserve">  - approved_cod_adjustments</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cash_payable_to_partner</w:t>
              <w:br/>
              <w:t xml:space="preserve">  = approved_partner_service_payable</w:t>
              <w:br/>
              <w:t xml:space="preserve">  - prior_service_payments</w:t>
            </w:r>
          </w:p>
        </w:tc>
      </w:tr>
    </w:tbl>
    <w:p>
      <w:pPr>
        <w:spacing w:after="0"/>
      </w:pPr>
    </w:p>
    <w:p>
      <w:pPr>
        <w:pStyle w:val="Heading4"/>
        <w:keepNext/>
      </w:pPr>
      <w:r>
        <w:rPr>
          <w:rFonts w:ascii="Aptos" w:hAnsi="Aptos" w:eastAsia="Aptos"/>
          <w:b w:val="0"/>
          <w:i w:val="0"/>
          <w:color w:val="0A1628"/>
          <w:sz w:val="20"/>
        </w:rPr>
        <w:t>Netted settlement</w:t>
      </w:r>
    </w:p>
    <w:p>
      <w:r>
        <w:rPr>
          <w:rFonts w:ascii="Aptos" w:hAnsi="Aptos" w:eastAsia="Aptos"/>
          <w:b w:val="0"/>
          <w:i w:val="0"/>
          <w:color w:val="0A1628"/>
          <w:sz w:val="20"/>
        </w:rPr>
        <w:t>The partner remits customer collections net of approved service charges.</w:t>
      </w:r>
    </w:p>
    <w:p>
      <w:r>
        <w:rPr>
          <w:rFonts w:ascii="Aptos" w:hAnsi="Aptos" w:eastAsia="Aptos"/>
          <w:b w:val="0"/>
          <w:i w:val="0"/>
          <w:color w:val="0A1628"/>
          <w:sz w:val="20"/>
        </w:rPr>
        <w:t>For control purposes, record both gross amounts: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partner_net_position</w:t>
              <w:br/>
              <w:t xml:space="preserve">  = partner_cod_collected</w:t>
              <w:br/>
              <w:t xml:space="preserve">  - approved_partner_service_payable</w:t>
              <w:br/>
              <w:t xml:space="preserve">  - customer_refunds</w:t>
              <w:br/>
              <w:t xml:space="preserve">  - prior_net_remittances</w:t>
              <w:br/>
              <w:t xml:space="preserve">  - approved_adjustments</w:t>
            </w:r>
          </w:p>
        </w:tc>
      </w:tr>
    </w:tbl>
    <w:p>
      <w:pPr>
        <w:spacing w:after="0"/>
      </w:pPr>
    </w:p>
    <w:p>
      <w:r>
        <w:rPr>
          <w:rFonts w:ascii="Aptos" w:hAnsi="Aptos" w:eastAsia="Aptos"/>
          <w:b w:val="0"/>
          <w:i w:val="0"/>
          <w:color w:val="0A1628"/>
          <w:sz w:val="20"/>
        </w:rPr>
        <w:t>Interpretation:</w:t>
      </w:r>
    </w:p>
    <w:p>
      <w:pPr>
        <w:pStyle w:val="ListBullet"/>
        <w:ind w:left="0"/>
      </w:pPr>
      <w:r>
        <w:rPr>
          <w:rFonts w:ascii="Aptos" w:hAnsi="Aptos" w:eastAsia="Aptos"/>
          <w:b w:val="0"/>
          <w:i w:val="0"/>
          <w:color w:val="0A1628"/>
          <w:sz w:val="20"/>
        </w:rPr>
        <w:t>Positive: partner still owes Britium.</w:t>
      </w:r>
    </w:p>
    <w:p>
      <w:pPr>
        <w:pStyle w:val="ListBullet"/>
        <w:ind w:left="0"/>
      </w:pPr>
      <w:r>
        <w:rPr>
          <w:rFonts w:ascii="Aptos" w:hAnsi="Aptos" w:eastAsia="Aptos"/>
          <w:b w:val="0"/>
          <w:i w:val="0"/>
          <w:color w:val="0A1628"/>
          <w:sz w:val="20"/>
        </w:rPr>
        <w:t>Zero: fully reconciled.</w:t>
      </w:r>
    </w:p>
    <w:p>
      <w:pPr>
        <w:pStyle w:val="ListBullet"/>
        <w:ind w:left="0"/>
      </w:pPr>
      <w:r>
        <w:rPr>
          <w:rFonts w:ascii="Aptos" w:hAnsi="Aptos" w:eastAsia="Aptos"/>
          <w:b w:val="0"/>
          <w:i w:val="0"/>
          <w:color w:val="0A1628"/>
          <w:sz w:val="20"/>
        </w:rPr>
        <w:t>Negative: Britium owes the partner, subject to approval.</w:t>
      </w:r>
    </w:p>
    <w:p>
      <w:r>
        <w:rPr>
          <w:rFonts w:ascii="Aptos" w:hAnsi="Aptos" w:eastAsia="Aptos"/>
          <w:b w:val="0"/>
          <w:i w:val="0"/>
          <w:color w:val="0A1628"/>
          <w:sz w:val="20"/>
        </w:rPr>
        <w:t>A settlement batch must not mix providers, currencies, or incompatible settlement methods.</w:t>
      </w:r>
    </w:p>
    <w:p>
      <w:pPr>
        <w:pStyle w:val="Heading3"/>
        <w:keepNext/>
      </w:pPr>
      <w:r>
        <w:rPr>
          <w:rFonts w:ascii="Aptos" w:hAnsi="Aptos" w:eastAsia="Aptos"/>
          <w:b w:val="0"/>
          <w:i w:val="0"/>
          <w:color w:val="0A1628"/>
          <w:sz w:val="20"/>
        </w:rPr>
        <w:t>8.15 Partner settlement workflow</w:t>
      </w:r>
    </w:p>
    <w:p>
      <w:r>
        <w:rPr>
          <w:rFonts w:ascii="Aptos" w:hAnsi="Aptos" w:eastAsia="Aptos"/>
          <w:b w:val="0"/>
          <w:i w:val="0"/>
          <w:color w:val="0A1628"/>
          <w:sz w:val="20"/>
        </w:rPr>
        <w:t>Required statuses: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DRAFT</w:t>
              <w:br/>
              <w:t>PARTNER_STATEMENT_RECEIVED</w:t>
              <w:br/>
              <w:t>UNDER_REVIEW</w:t>
              <w:br/>
              <w:t>DISPUTED</w:t>
              <w:br/>
              <w:t>PENDING_APPROVAL</w:t>
              <w:br/>
              <w:t>APPROVED</w:t>
              <w:br/>
              <w:t>REMITTANCE_PENDING</w:t>
              <w:br/>
              <w:t>PAYMENT_PENDING</w:t>
              <w:br/>
              <w:t>PARTIALLY_SETTLED</w:t>
              <w:br/>
              <w:t>SETTLED</w:t>
              <w:br/>
              <w:t>REJECTED</w:t>
              <w:br/>
              <w:t>REOPENED</w:t>
            </w:r>
          </w:p>
        </w:tc>
      </w:tr>
    </w:tbl>
    <w:p>
      <w:pPr>
        <w:spacing w:after="0"/>
      </w:pPr>
    </w:p>
    <w:p>
      <w:r>
        <w:rPr>
          <w:rFonts w:ascii="Aptos" w:hAnsi="Aptos" w:eastAsia="Aptos"/>
          <w:b w:val="0"/>
          <w:i w:val="0"/>
          <w:color w:val="0A1628"/>
          <w:sz w:val="20"/>
        </w:rPr>
        <w:t>Required batch totals:</w:t>
      </w:r>
    </w:p>
    <w:p>
      <w:pPr>
        <w:pStyle w:val="ListBullet"/>
        <w:ind w:left="0"/>
      </w:pPr>
      <w:r>
        <w:rPr>
          <w:rFonts w:ascii="Aptos" w:hAnsi="Aptos" w:eastAsia="Aptos"/>
          <w:b w:val="0"/>
          <w:i w:val="0"/>
          <w:color w:val="0A1628"/>
          <w:sz w:val="20"/>
        </w:rPr>
        <w:t>Delivered eligible ways.</w:t>
      </w:r>
    </w:p>
    <w:p>
      <w:pPr>
        <w:pStyle w:val="ListBullet"/>
        <w:ind w:left="0"/>
      </w:pPr>
      <w:r>
        <w:rPr>
          <w:rFonts w:ascii="Aptos" w:hAnsi="Aptos" w:eastAsia="Aptos"/>
          <w:b w:val="0"/>
          <w:i w:val="0"/>
          <w:color w:val="0A1628"/>
          <w:sz w:val="20"/>
        </w:rPr>
        <w:t>Returned ways.</w:t>
      </w:r>
    </w:p>
    <w:p>
      <w:pPr>
        <w:pStyle w:val="ListBullet"/>
        <w:ind w:left="0"/>
      </w:pPr>
      <w:r>
        <w:rPr>
          <w:rFonts w:ascii="Aptos" w:hAnsi="Aptos" w:eastAsia="Aptos"/>
          <w:b w:val="0"/>
          <w:i w:val="0"/>
          <w:color w:val="0A1628"/>
          <w:sz w:val="20"/>
        </w:rPr>
        <w:t>Lost/damaged ways.</w:t>
      </w:r>
    </w:p>
    <w:p>
      <w:pPr>
        <w:pStyle w:val="ListBullet"/>
        <w:ind w:left="0"/>
      </w:pPr>
      <w:r>
        <w:rPr>
          <w:rFonts w:ascii="Aptos" w:hAnsi="Aptos" w:eastAsia="Aptos"/>
          <w:b w:val="0"/>
          <w:i w:val="0"/>
          <w:color w:val="0A1628"/>
          <w:sz w:val="20"/>
        </w:rPr>
        <w:t>Customer COD collected.</w:t>
      </w:r>
    </w:p>
    <w:p>
      <w:pPr>
        <w:pStyle w:val="ListBullet"/>
        <w:ind w:left="0"/>
      </w:pPr>
      <w:r>
        <w:rPr>
          <w:rFonts w:ascii="Aptos" w:hAnsi="Aptos" w:eastAsia="Aptos"/>
          <w:b w:val="0"/>
          <w:i w:val="0"/>
          <w:color w:val="0A1628"/>
          <w:sz w:val="20"/>
        </w:rPr>
        <w:t>Customer refunds.</w:t>
      </w:r>
    </w:p>
    <w:p>
      <w:pPr>
        <w:pStyle w:val="ListBullet"/>
        <w:ind w:left="0"/>
      </w:pPr>
      <w:r>
        <w:rPr>
          <w:rFonts w:ascii="Aptos" w:hAnsi="Aptos" w:eastAsia="Aptos"/>
          <w:b w:val="0"/>
          <w:i w:val="0"/>
          <w:color w:val="0A1628"/>
          <w:sz w:val="20"/>
        </w:rPr>
        <w:t>Partner base fees.</w:t>
      </w:r>
    </w:p>
    <w:p>
      <w:pPr>
        <w:pStyle w:val="ListBullet"/>
        <w:ind w:left="0"/>
      </w:pPr>
      <w:r>
        <w:rPr>
          <w:rFonts w:ascii="Aptos" w:hAnsi="Aptos" w:eastAsia="Aptos"/>
          <w:b w:val="0"/>
          <w:i w:val="0"/>
          <w:color w:val="0A1628"/>
          <w:sz w:val="20"/>
        </w:rPr>
        <w:t>Weight/CBM/remote surcharges.</w:t>
      </w:r>
    </w:p>
    <w:p>
      <w:pPr>
        <w:pStyle w:val="ListBullet"/>
        <w:ind w:left="0"/>
      </w:pPr>
      <w:r>
        <w:rPr>
          <w:rFonts w:ascii="Aptos" w:hAnsi="Aptos" w:eastAsia="Aptos"/>
          <w:b w:val="0"/>
          <w:i w:val="0"/>
          <w:color w:val="0A1628"/>
          <w:sz w:val="20"/>
        </w:rPr>
        <w:t>COD fees.</w:t>
      </w:r>
    </w:p>
    <w:p>
      <w:pPr>
        <w:pStyle w:val="ListBullet"/>
        <w:ind w:left="0"/>
      </w:pPr>
      <w:r>
        <w:rPr>
          <w:rFonts w:ascii="Aptos" w:hAnsi="Aptos" w:eastAsia="Aptos"/>
          <w:b w:val="0"/>
          <w:i w:val="0"/>
          <w:color w:val="0A1628"/>
          <w:sz w:val="20"/>
        </w:rPr>
        <w:t>Redelivery and return fees.</w:t>
      </w:r>
    </w:p>
    <w:p>
      <w:pPr>
        <w:pStyle w:val="ListBullet"/>
        <w:ind w:left="0"/>
      </w:pPr>
      <w:r>
        <w:rPr>
          <w:rFonts w:ascii="Aptos" w:hAnsi="Aptos" w:eastAsia="Aptos"/>
          <w:b w:val="0"/>
          <w:i w:val="0"/>
          <w:color w:val="0A1628"/>
          <w:sz w:val="20"/>
        </w:rPr>
        <w:t>Discounts.</w:t>
      </w:r>
    </w:p>
    <w:p>
      <w:pPr>
        <w:pStyle w:val="ListBullet"/>
        <w:ind w:left="0"/>
      </w:pPr>
      <w:r>
        <w:rPr>
          <w:rFonts w:ascii="Aptos" w:hAnsi="Aptos" w:eastAsia="Aptos"/>
          <w:b w:val="0"/>
          <w:i w:val="0"/>
          <w:color w:val="0A1628"/>
          <w:sz w:val="20"/>
        </w:rPr>
        <w:t>SLA credits and penalties.</w:t>
      </w:r>
    </w:p>
    <w:p>
      <w:pPr>
        <w:pStyle w:val="ListBullet"/>
        <w:ind w:left="0"/>
      </w:pPr>
      <w:r>
        <w:rPr>
          <w:rFonts w:ascii="Aptos" w:hAnsi="Aptos" w:eastAsia="Aptos"/>
          <w:b w:val="0"/>
          <w:i w:val="0"/>
          <w:color w:val="0A1628"/>
          <w:sz w:val="20"/>
        </w:rPr>
        <w:t>Approved partner service payable.</w:t>
      </w:r>
    </w:p>
    <w:p>
      <w:pPr>
        <w:pStyle w:val="ListBullet"/>
        <w:ind w:left="0"/>
      </w:pPr>
      <w:r>
        <w:rPr>
          <w:rFonts w:ascii="Aptos" w:hAnsi="Aptos" w:eastAsia="Aptos"/>
          <w:b w:val="0"/>
          <w:i w:val="0"/>
          <w:color w:val="0A1628"/>
          <w:sz w:val="20"/>
        </w:rPr>
        <w:t>COD remitted.</w:t>
      </w:r>
    </w:p>
    <w:p>
      <w:pPr>
        <w:pStyle w:val="ListBullet"/>
        <w:ind w:left="0"/>
      </w:pPr>
      <w:r>
        <w:rPr>
          <w:rFonts w:ascii="Aptos" w:hAnsi="Aptos" w:eastAsia="Aptos"/>
          <w:b w:val="0"/>
          <w:i w:val="0"/>
          <w:color w:val="0A1628"/>
          <w:sz w:val="20"/>
        </w:rPr>
        <w:t>Net amount due from provider.</w:t>
      </w:r>
    </w:p>
    <w:p>
      <w:pPr>
        <w:pStyle w:val="ListBullet"/>
        <w:ind w:left="0"/>
      </w:pPr>
      <w:r>
        <w:rPr>
          <w:rFonts w:ascii="Aptos" w:hAnsi="Aptos" w:eastAsia="Aptos"/>
          <w:b w:val="0"/>
          <w:i w:val="0"/>
          <w:color w:val="0A1628"/>
          <w:sz w:val="20"/>
        </w:rPr>
        <w:t>Net amount due to provider.</w:t>
      </w:r>
    </w:p>
    <w:p>
      <w:pPr>
        <w:pStyle w:val="ListBullet"/>
        <w:ind w:left="0"/>
      </w:pPr>
      <w:r>
        <w:rPr>
          <w:rFonts w:ascii="Aptos" w:hAnsi="Aptos" w:eastAsia="Aptos"/>
          <w:b w:val="0"/>
          <w:i w:val="0"/>
          <w:color w:val="0A1628"/>
          <w:sz w:val="20"/>
        </w:rPr>
        <w:t>Disputed amount.</w:t>
      </w:r>
    </w:p>
    <w:p>
      <w:pPr>
        <w:pStyle w:val="ListBullet"/>
        <w:ind w:left="0"/>
      </w:pPr>
      <w:r>
        <w:rPr>
          <w:rFonts w:ascii="Aptos" w:hAnsi="Aptos" w:eastAsia="Aptos"/>
          <w:b w:val="0"/>
          <w:i w:val="0"/>
          <w:color w:val="0A1628"/>
          <w:sz w:val="20"/>
        </w:rPr>
        <w:t>Outstanding amount.</w:t>
      </w:r>
    </w:p>
    <w:p>
      <w:r>
        <w:rPr>
          <w:rFonts w:ascii="Aptos" w:hAnsi="Aptos" w:eastAsia="Aptos"/>
          <w:b w:val="0"/>
          <w:i w:val="0"/>
          <w:color w:val="0A1628"/>
          <w:sz w:val="20"/>
        </w:rPr>
        <w:t>Required controls:</w:t>
      </w:r>
    </w:p>
    <w:p>
      <w:pPr>
        <w:pStyle w:val="ListBullet"/>
        <w:ind w:left="0"/>
      </w:pPr>
      <w:r>
        <w:rPr>
          <w:rFonts w:ascii="Aptos" w:hAnsi="Aptos" w:eastAsia="Aptos"/>
          <w:b w:val="0"/>
          <w:i w:val="0"/>
          <w:color w:val="0A1628"/>
          <w:sz w:val="20"/>
        </w:rPr>
        <w:t>Maker-checker approval.</w:t>
      </w:r>
    </w:p>
    <w:p>
      <w:pPr>
        <w:pStyle w:val="ListBullet"/>
        <w:ind w:left="0"/>
      </w:pPr>
      <w:r>
        <w:rPr>
          <w:rFonts w:ascii="Aptos" w:hAnsi="Aptos" w:eastAsia="Aptos"/>
          <w:b w:val="0"/>
          <w:i w:val="0"/>
          <w:color w:val="0A1628"/>
          <w:sz w:val="20"/>
        </w:rPr>
        <w:t>Provider invoice attachment.</w:t>
      </w:r>
    </w:p>
    <w:p>
      <w:pPr>
        <w:pStyle w:val="ListBullet"/>
        <w:ind w:left="0"/>
      </w:pPr>
      <w:r>
        <w:rPr>
          <w:rFonts w:ascii="Aptos" w:hAnsi="Aptos" w:eastAsia="Aptos"/>
          <w:b w:val="0"/>
          <w:i w:val="0"/>
          <w:color w:val="0A1628"/>
          <w:sz w:val="20"/>
        </w:rPr>
        <w:t>Manifest reconciliation.</w:t>
      </w:r>
    </w:p>
    <w:p>
      <w:pPr>
        <w:pStyle w:val="ListBullet"/>
        <w:ind w:left="0"/>
      </w:pPr>
      <w:r>
        <w:rPr>
          <w:rFonts w:ascii="Aptos" w:hAnsi="Aptos" w:eastAsia="Aptos"/>
          <w:b w:val="0"/>
          <w:i w:val="0"/>
          <w:color w:val="0A1628"/>
          <w:sz w:val="20"/>
        </w:rPr>
        <w:t>Way-level POD validation.</w:t>
      </w:r>
    </w:p>
    <w:p>
      <w:pPr>
        <w:pStyle w:val="ListBullet"/>
        <w:ind w:left="0"/>
      </w:pPr>
      <w:r>
        <w:rPr>
          <w:rFonts w:ascii="Aptos" w:hAnsi="Aptos" w:eastAsia="Aptos"/>
          <w:b w:val="0"/>
          <w:i w:val="0"/>
          <w:color w:val="0A1628"/>
          <w:sz w:val="20"/>
        </w:rPr>
        <w:t>Duplicate charge detection.</w:t>
      </w:r>
    </w:p>
    <w:p>
      <w:pPr>
        <w:pStyle w:val="ListBullet"/>
        <w:ind w:left="0"/>
      </w:pPr>
      <w:r>
        <w:rPr>
          <w:rFonts w:ascii="Aptos" w:hAnsi="Aptos" w:eastAsia="Aptos"/>
          <w:b w:val="0"/>
          <w:i w:val="0"/>
          <w:color w:val="0A1628"/>
          <w:sz w:val="20"/>
        </w:rPr>
        <w:t>Rate-snapshot comparison.</w:t>
      </w:r>
    </w:p>
    <w:p>
      <w:pPr>
        <w:pStyle w:val="ListBullet"/>
        <w:ind w:left="0"/>
      </w:pPr>
      <w:r>
        <w:rPr>
          <w:rFonts w:ascii="Aptos" w:hAnsi="Aptos" w:eastAsia="Aptos"/>
          <w:b w:val="0"/>
          <w:i w:val="0"/>
          <w:color w:val="0A1628"/>
          <w:sz w:val="20"/>
        </w:rPr>
        <w:t>COD remittance evidence.</w:t>
      </w:r>
    </w:p>
    <w:p>
      <w:pPr>
        <w:pStyle w:val="ListBullet"/>
        <w:ind w:left="0"/>
      </w:pPr>
      <w:r>
        <w:rPr>
          <w:rFonts w:ascii="Aptos" w:hAnsi="Aptos" w:eastAsia="Aptos"/>
          <w:b w:val="0"/>
          <w:i w:val="0"/>
          <w:color w:val="0A1628"/>
          <w:sz w:val="20"/>
        </w:rPr>
        <w:t>Payment/remittance reference.</w:t>
      </w:r>
    </w:p>
    <w:p>
      <w:pPr>
        <w:pStyle w:val="ListBullet"/>
        <w:ind w:left="0"/>
      </w:pPr>
      <w:r>
        <w:rPr>
          <w:rFonts w:ascii="Aptos" w:hAnsi="Aptos" w:eastAsia="Aptos"/>
          <w:b w:val="0"/>
          <w:i w:val="0"/>
          <w:color w:val="0A1628"/>
          <w:sz w:val="20"/>
        </w:rPr>
        <w:t>Reopening through adjustment entries only.</w:t>
      </w:r>
    </w:p>
    <w:p>
      <w:pPr>
        <w:pStyle w:val="Heading3"/>
        <w:keepNext/>
      </w:pPr>
      <w:r>
        <w:rPr>
          <w:rFonts w:ascii="Aptos" w:hAnsi="Aptos" w:eastAsia="Aptos"/>
          <w:b w:val="0"/>
          <w:i w:val="0"/>
          <w:color w:val="0A1628"/>
          <w:sz w:val="20"/>
        </w:rPr>
        <w:t>8.16 Branch reconciliation</w:t>
      </w:r>
    </w:p>
    <w:p>
      <w:r>
        <w:rPr>
          <w:rFonts w:ascii="Aptos" w:hAnsi="Aptos" w:eastAsia="Aptos"/>
          <w:b w:val="0"/>
          <w:i w:val="0"/>
          <w:color w:val="0A1628"/>
          <w:sz w:val="20"/>
        </w:rPr>
        <w:t>Branches are internal operational units, not merchants. Branch reconciliation must be separate from merchant settlement and external partner settlement.</w:t>
      </w:r>
    </w:p>
    <w:p>
      <w:r>
        <w:rPr>
          <w:rFonts w:ascii="Aptos" w:hAnsi="Aptos" w:eastAsia="Aptos"/>
          <w:b w:val="0"/>
          <w:i w:val="0"/>
          <w:color w:val="0A1628"/>
          <w:sz w:val="20"/>
        </w:rPr>
        <w:t>Create branch reconciliation batches with:</w:t>
      </w:r>
    </w:p>
    <w:p>
      <w:pPr>
        <w:pStyle w:val="ListBullet"/>
        <w:ind w:left="0"/>
      </w:pPr>
      <w:r>
        <w:rPr>
          <w:rFonts w:ascii="Aptos" w:hAnsi="Aptos" w:eastAsia="Aptos"/>
          <w:b w:val="0"/>
          <w:i w:val="0"/>
          <w:color w:val="0A1628"/>
          <w:sz w:val="20"/>
        </w:rPr>
        <w:t>Branch code.</w:t>
      </w:r>
    </w:p>
    <w:p>
      <w:pPr>
        <w:pStyle w:val="ListBullet"/>
        <w:ind w:left="0"/>
      </w:pPr>
      <w:r>
        <w:rPr>
          <w:rFonts w:ascii="Aptos" w:hAnsi="Aptos" w:eastAsia="Aptos"/>
          <w:b w:val="0"/>
          <w:i w:val="0"/>
          <w:color w:val="0A1628"/>
          <w:sz w:val="20"/>
        </w:rPr>
        <w:t>Period.</w:t>
      </w:r>
    </w:p>
    <w:p>
      <w:pPr>
        <w:pStyle w:val="ListBullet"/>
        <w:ind w:left="0"/>
      </w:pPr>
      <w:r>
        <w:rPr>
          <w:rFonts w:ascii="Aptos" w:hAnsi="Aptos" w:eastAsia="Aptos"/>
          <w:b w:val="0"/>
          <w:i w:val="0"/>
          <w:color w:val="0A1628"/>
          <w:sz w:val="20"/>
        </w:rPr>
        <w:t>Ways received.</w:t>
      </w:r>
    </w:p>
    <w:p>
      <w:pPr>
        <w:pStyle w:val="ListBullet"/>
        <w:ind w:left="0"/>
      </w:pPr>
      <w:r>
        <w:rPr>
          <w:rFonts w:ascii="Aptos" w:hAnsi="Aptos" w:eastAsia="Aptos"/>
          <w:b w:val="0"/>
          <w:i w:val="0"/>
          <w:color w:val="0A1628"/>
          <w:sz w:val="20"/>
        </w:rPr>
        <w:t>Ways directly delivered.</w:t>
      </w:r>
    </w:p>
    <w:p>
      <w:pPr>
        <w:pStyle w:val="ListBullet"/>
        <w:ind w:left="0"/>
      </w:pPr>
      <w:r>
        <w:rPr>
          <w:rFonts w:ascii="Aptos" w:hAnsi="Aptos" w:eastAsia="Aptos"/>
          <w:b w:val="0"/>
          <w:i w:val="0"/>
          <w:color w:val="0A1628"/>
          <w:sz w:val="20"/>
        </w:rPr>
        <w:t>Ways outsourced locally.</w:t>
      </w:r>
    </w:p>
    <w:p>
      <w:pPr>
        <w:pStyle w:val="ListBullet"/>
        <w:ind w:left="0"/>
      </w:pPr>
      <w:r>
        <w:rPr>
          <w:rFonts w:ascii="Aptos" w:hAnsi="Aptos" w:eastAsia="Aptos"/>
          <w:b w:val="0"/>
          <w:i w:val="0"/>
          <w:color w:val="0A1628"/>
          <w:sz w:val="20"/>
        </w:rPr>
        <w:t>COD collected by branch.</w:t>
      </w:r>
    </w:p>
    <w:p>
      <w:pPr>
        <w:pStyle w:val="ListBullet"/>
        <w:ind w:left="0"/>
      </w:pPr>
      <w:r>
        <w:rPr>
          <w:rFonts w:ascii="Aptos" w:hAnsi="Aptos" w:eastAsia="Aptos"/>
          <w:b w:val="0"/>
          <w:i w:val="0"/>
          <w:color w:val="0A1628"/>
          <w:sz w:val="20"/>
        </w:rPr>
        <w:t>COD received from local partners.</w:t>
      </w:r>
    </w:p>
    <w:p>
      <w:pPr>
        <w:pStyle w:val="ListBullet"/>
        <w:ind w:left="0"/>
      </w:pPr>
      <w:r>
        <w:rPr>
          <w:rFonts w:ascii="Aptos" w:hAnsi="Aptos" w:eastAsia="Aptos"/>
          <w:b w:val="0"/>
          <w:i w:val="0"/>
          <w:color w:val="0A1628"/>
          <w:sz w:val="20"/>
        </w:rPr>
        <w:t>COD deposited or transferred to headquarters.</w:t>
      </w:r>
    </w:p>
    <w:p>
      <w:pPr>
        <w:pStyle w:val="ListBullet"/>
        <w:ind w:left="0"/>
      </w:pPr>
      <w:r>
        <w:rPr>
          <w:rFonts w:ascii="Aptos" w:hAnsi="Aptos" w:eastAsia="Aptos"/>
          <w:b w:val="0"/>
          <w:i w:val="0"/>
          <w:color w:val="0A1628"/>
          <w:sz w:val="20"/>
        </w:rPr>
        <w:t>Approved customer refunds.</w:t>
      </w:r>
    </w:p>
    <w:p>
      <w:pPr>
        <w:pStyle w:val="ListBullet"/>
        <w:ind w:left="0"/>
      </w:pPr>
      <w:r>
        <w:rPr>
          <w:rFonts w:ascii="Aptos" w:hAnsi="Aptos" w:eastAsia="Aptos"/>
          <w:b w:val="0"/>
          <w:i w:val="0"/>
          <w:color w:val="0A1628"/>
          <w:sz w:val="20"/>
        </w:rPr>
        <w:t>Approved branch cash expenses.</w:t>
      </w:r>
    </w:p>
    <w:p>
      <w:pPr>
        <w:pStyle w:val="ListBullet"/>
        <w:ind w:left="0"/>
      </w:pPr>
      <w:r>
        <w:rPr>
          <w:rFonts w:ascii="Aptos" w:hAnsi="Aptos" w:eastAsia="Aptos"/>
          <w:b w:val="0"/>
          <w:i w:val="0"/>
          <w:color w:val="0A1628"/>
          <w:sz w:val="20"/>
        </w:rPr>
        <w:t>Partner fees paid by branch.</w:t>
      </w:r>
    </w:p>
    <w:p>
      <w:pPr>
        <w:pStyle w:val="ListBullet"/>
        <w:ind w:left="0"/>
      </w:pPr>
      <w:r>
        <w:rPr>
          <w:rFonts w:ascii="Aptos" w:hAnsi="Aptos" w:eastAsia="Aptos"/>
          <w:b w:val="0"/>
          <w:i w:val="0"/>
          <w:color w:val="0A1628"/>
          <w:sz w:val="20"/>
        </w:rPr>
        <w:t>Partner fees payable by headquarters.</w:t>
      </w:r>
    </w:p>
    <w:p>
      <w:pPr>
        <w:pStyle w:val="ListBullet"/>
        <w:ind w:left="0"/>
      </w:pPr>
      <w:r>
        <w:rPr>
          <w:rFonts w:ascii="Aptos" w:hAnsi="Aptos" w:eastAsia="Aptos"/>
          <w:b w:val="0"/>
          <w:i w:val="0"/>
          <w:color w:val="0A1628"/>
          <w:sz w:val="20"/>
        </w:rPr>
        <w:t>Internal cost allocation.</w:t>
      </w:r>
    </w:p>
    <w:p>
      <w:pPr>
        <w:pStyle w:val="ListBullet"/>
        <w:ind w:left="0"/>
      </w:pPr>
      <w:r>
        <w:rPr>
          <w:rFonts w:ascii="Aptos" w:hAnsi="Aptos" w:eastAsia="Aptos"/>
          <w:b w:val="0"/>
          <w:i w:val="0"/>
          <w:color w:val="0A1628"/>
          <w:sz w:val="20"/>
        </w:rPr>
        <w:t>Cash shortage or overage.</w:t>
      </w:r>
    </w:p>
    <w:p>
      <w:pPr>
        <w:pStyle w:val="ListBullet"/>
        <w:ind w:left="0"/>
      </w:pPr>
      <w:r>
        <w:rPr>
          <w:rFonts w:ascii="Aptos" w:hAnsi="Aptos" w:eastAsia="Aptos"/>
          <w:b w:val="0"/>
          <w:i w:val="0"/>
          <w:color w:val="0A1628"/>
          <w:sz w:val="20"/>
        </w:rPr>
        <w:t>Outstanding branch balance.</w:t>
      </w:r>
    </w:p>
    <w:p>
      <w:r>
        <w:rPr>
          <w:rFonts w:ascii="Aptos" w:hAnsi="Aptos" w:eastAsia="Aptos"/>
          <w:b w:val="0"/>
          <w:i w:val="0"/>
          <w:color w:val="0A1628"/>
          <w:sz w:val="20"/>
        </w:rPr>
        <w:t>Core calculation: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branch_cash_accountability</w:t>
              <w:br/>
              <w:t xml:space="preserve">  = branch_customer_collections</w:t>
              <w:br/>
              <w:t xml:space="preserve">  + partner_cod_received_by_branch</w:t>
              <w:br/>
              <w:t xml:space="preserve">  - approved_customer_refunds</w:t>
              <w:br/>
              <w:t xml:space="preserve">  - approved_cash_adjustments</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branch_cash_outstanding_to_head_office</w:t>
              <w:br/>
              <w:t xml:space="preserve">  = branch_cash_accountability</w:t>
              <w:br/>
              <w:t xml:space="preserve">  - bank_deposits</w:t>
              <w:br/>
              <w:t xml:space="preserve">  - transfers_to_head_office</w:t>
              <w:br/>
              <w:t xml:space="preserve">  - approved_branch_cash_expenses</w:t>
            </w:r>
          </w:p>
        </w:tc>
      </w:tr>
    </w:tbl>
    <w:p>
      <w:pPr>
        <w:spacing w:after="0"/>
      </w:pPr>
    </w:p>
    <w:p>
      <w:r>
        <w:rPr>
          <w:rFonts w:ascii="Aptos" w:hAnsi="Aptos" w:eastAsia="Aptos"/>
          <w:b w:val="0"/>
          <w:i w:val="0"/>
          <w:color w:val="0A1628"/>
          <w:sz w:val="20"/>
        </w:rPr>
        <w:t>Do not deduct branch operating costs from merchant settlement unless the merchant contract independently authorizes such a charge.</w:t>
      </w:r>
    </w:p>
    <w:p>
      <w:r>
        <w:rPr>
          <w:rFonts w:ascii="Aptos" w:hAnsi="Aptos" w:eastAsia="Aptos"/>
          <w:b w:val="0"/>
          <w:i w:val="0"/>
          <w:color w:val="0A1628"/>
          <w:sz w:val="20"/>
        </w:rPr>
        <w:t>When a branch assigns a parcel to a third party, store both:</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managing_branch = branch code</w:t>
              <w:br/>
              <w:t>executing_provider = external provider</w:t>
              <w:br/>
              <w:t>fulfillment_mode = BRANCH_THIRD_PARTY</w:t>
            </w:r>
          </w:p>
        </w:tc>
      </w:tr>
    </w:tbl>
    <w:p>
      <w:pPr>
        <w:spacing w:after="0"/>
      </w:pPr>
    </w:p>
    <w:p>
      <w:r>
        <w:rPr>
          <w:rFonts w:ascii="Aptos" w:hAnsi="Aptos" w:eastAsia="Aptos"/>
          <w:b w:val="0"/>
          <w:i w:val="0"/>
          <w:color w:val="0A1628"/>
          <w:sz w:val="20"/>
        </w:rPr>
        <w:t>The partner settlement owner must be configurable as either headquarters or branch. A Way must never be paid twice by both offices.</w:t>
      </w:r>
    </w:p>
    <w:p>
      <w:pPr>
        <w:pStyle w:val="Heading3"/>
        <w:keepNext/>
      </w:pPr>
      <w:r>
        <w:rPr>
          <w:rFonts w:ascii="Aptos" w:hAnsi="Aptos" w:eastAsia="Aptos"/>
          <w:b w:val="0"/>
          <w:i w:val="0"/>
          <w:color w:val="0A1628"/>
          <w:sz w:val="20"/>
        </w:rPr>
        <w:t>8.17 Accounting and reconciliation entries</w:t>
      </w:r>
    </w:p>
    <w:p>
      <w:r>
        <w:rPr>
          <w:rFonts w:ascii="Aptos" w:hAnsi="Aptos" w:eastAsia="Aptos"/>
          <w:b w:val="0"/>
          <w:i w:val="0"/>
          <w:color w:val="0A1628"/>
          <w:sz w:val="20"/>
        </w:rPr>
        <w:t>Recommended ledger transaction types: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CUSTOMER_COLLECTION_RECEIVABLE</w:t>
              <w:br/>
              <w:t>CUSTOMER_COLLECTION_RECEIVED</w:t>
              <w:br/>
              <w:t>MERCHANT_PAYABLE</w:t>
              <w:br/>
              <w:t>BRITIUM_DELIVERY_REVENUE</w:t>
              <w:br/>
              <w:t>OUTSOURCED_DELIVERY_EXPENSE</w:t>
              <w:br/>
              <w:t>PARTNER_PAYABLE</w:t>
              <w:br/>
              <w:t>PARTNER_COD_RECEIVABLE</w:t>
              <w:br/>
              <w:t>PARTNER_COD_REMITTANCE</w:t>
              <w:br/>
              <w:t>BRANCH_CASH_RECEIVABLE</w:t>
              <w:br/>
              <w:t>BRANCH_CASH_TRANSFER</w:t>
              <w:br/>
              <w:t>BRANCH_EXPENSE</w:t>
              <w:br/>
              <w:t>SLA_CREDIT</w:t>
              <w:br/>
              <w:t>LOSS_OR_DAMAGE_CLAIM</w:t>
              <w:br/>
              <w:t>SETTLEMENT_ADJUSTMENT</w:t>
            </w:r>
          </w:p>
        </w:tc>
      </w:tr>
    </w:tbl>
    <w:p>
      <w:pPr>
        <w:spacing w:after="0"/>
      </w:pPr>
    </w:p>
    <w:p>
      <w:r>
        <w:rPr>
          <w:rFonts w:ascii="Aptos" w:hAnsi="Aptos" w:eastAsia="Aptos"/>
          <w:b w:val="0"/>
          <w:i w:val="0"/>
          <w:color w:val="0A1628"/>
          <w:sz w:val="20"/>
        </w:rPr>
        <w:t>Example: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 collection                 31,000 MMK</w:t>
              <w:br/>
              <w:t>Merchant settlement                 26,500 MMK</w:t>
              <w:br/>
              <w:t>Britium delivery revenue             4,500 MMK</w:t>
              <w:br/>
              <w:t>Approved partner delivery cost       5,000 MMK</w:t>
            </w:r>
          </w:p>
        </w:tc>
      </w:tr>
    </w:tbl>
    <w:p>
      <w:pPr>
        <w:spacing w:after="0"/>
      </w:pPr>
    </w:p>
    <w:p>
      <w:r>
        <w:rPr>
          <w:rFonts w:ascii="Aptos" w:hAnsi="Aptos" w:eastAsia="Aptos"/>
          <w:b w:val="0"/>
          <w:i w:val="0"/>
          <w:color w:val="0A1628"/>
          <w:sz w:val="20"/>
        </w:rPr>
        <w:t>Customer/merchant reconciliation remains: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31,000 = 26,500 + 4,500</w:t>
            </w:r>
          </w:p>
        </w:tc>
      </w:tr>
    </w:tbl>
    <w:p>
      <w:pPr>
        <w:spacing w:after="0"/>
      </w:pPr>
    </w:p>
    <w:p>
      <w:r>
        <w:rPr>
          <w:rFonts w:ascii="Aptos" w:hAnsi="Aptos" w:eastAsia="Aptos"/>
          <w:b w:val="0"/>
          <w:i w:val="0"/>
          <w:color w:val="0A1628"/>
          <w:sz w:val="20"/>
        </w:rPr>
        <w:t>Britium fulfillment margin is: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4,500 - 5,000 = (500) MMK</w:t>
            </w:r>
          </w:p>
        </w:tc>
      </w:tr>
    </w:tbl>
    <w:p>
      <w:pPr>
        <w:spacing w:after="0"/>
      </w:pPr>
    </w:p>
    <w:p>
      <w:r>
        <w:rPr>
          <w:rFonts w:ascii="Aptos" w:hAnsi="Aptos" w:eastAsia="Aptos"/>
          <w:b w:val="0"/>
          <w:i w:val="0"/>
          <w:color w:val="0A1628"/>
          <w:sz w:val="20"/>
        </w:rPr>
        <w:t>The negative 500 MMK is a company margin result. It must not alter the receiver collection or merchant settlement after the parcel was accepted under the approved tariff and instruction.</w:t>
      </w:r>
    </w:p>
    <w:p>
      <w:pPr>
        <w:pStyle w:val="Heading3"/>
        <w:keepNext/>
      </w:pPr>
      <w:r>
        <w:rPr>
          <w:rFonts w:ascii="Aptos" w:hAnsi="Aptos" w:eastAsia="Aptos"/>
          <w:b w:val="0"/>
          <w:i w:val="0"/>
          <w:color w:val="0A1628"/>
          <w:sz w:val="20"/>
        </w:rPr>
        <w:t>8.18 Required backend services and RPCs</w:t>
      </w:r>
    </w:p>
    <w:p>
      <w:r>
        <w:rPr>
          <w:rFonts w:ascii="Aptos" w:hAnsi="Aptos" w:eastAsia="Aptos"/>
          <w:b w:val="0"/>
          <w:i w:val="0"/>
          <w:color w:val="0A1628"/>
          <w:sz w:val="20"/>
        </w:rPr>
        <w:t>Recommended versioned interfaces: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be_network_fulfillment_snapshot_v55</w:t>
              <w:br/>
              <w:t>be_network_fulfillment_route_quote_v55</w:t>
              <w:br/>
              <w:t>be_network_fulfillment_assign_v55</w:t>
              <w:br/>
              <w:t>be_network_fulfillment_reassign_v55</w:t>
              <w:br/>
              <w:t>be_network_manifest_create_v55</w:t>
              <w:br/>
              <w:t>be_network_manifest_accept_v55</w:t>
              <w:br/>
              <w:t>be_network_tracking_event_ingest_v55</w:t>
              <w:br/>
              <w:t>be_network_tracking_sync_v55</w:t>
              <w:br/>
              <w:t>be_network_pod_submit_v55</w:t>
              <w:br/>
              <w:t>be_network_pod_review_v55</w:t>
              <w:br/>
              <w:t>be_network_exception_resolve_v55</w:t>
              <w:br/>
              <w:t>be_network_cod_handover_v55</w:t>
              <w:br/>
              <w:t>be_partner_tariff_quote_v55</w:t>
              <w:br/>
              <w:t>be_partner_settlement_create_v55</w:t>
              <w:br/>
              <w:t>be_partner_settlement_submit_v55</w:t>
              <w:br/>
              <w:t>be_partner_settlement_approve_v55</w:t>
              <w:br/>
              <w:t>be_partner_settlement_record_remittance_v55</w:t>
              <w:br/>
              <w:t>be_partner_settlement_record_payment_v55</w:t>
              <w:br/>
              <w:t>be_branch_reconciliation_create_v55</w:t>
              <w:br/>
              <w:t>be_branch_reconciliation_submit_v55</w:t>
              <w:br/>
              <w:t>be_branch_reconciliation_approve_v55</w:t>
              <w:br/>
              <w:t>be_branch_reconciliation_record_transfer_v55</w:t>
            </w:r>
          </w:p>
        </w:tc>
      </w:tr>
    </w:tbl>
    <w:p>
      <w:pPr>
        <w:spacing w:after="0"/>
      </w:pPr>
    </w:p>
    <w:p>
      <w:r>
        <w:rPr>
          <w:rFonts w:ascii="Aptos" w:hAnsi="Aptos" w:eastAsia="Aptos"/>
          <w:b w:val="0"/>
          <w:i w:val="0"/>
          <w:color w:val="0A1628"/>
          <w:sz w:val="20"/>
        </w:rPr>
        <w:t>Each response must include:</w:t>
      </w:r>
    </w:p>
    <w:p>
      <w:pPr>
        <w:pStyle w:val="ListBullet"/>
        <w:ind w:left="0"/>
      </w:pPr>
      <w:r>
        <w:rPr>
          <w:rFonts w:ascii="Aptos" w:hAnsi="Aptos" w:eastAsia="Aptos"/>
          <w:b w:val="0"/>
          <w:i w:val="0"/>
          <w:color w:val="0A1628"/>
          <w:sz w:val="20"/>
        </w:rPr>
        <w:t>Build/version.</w:t>
      </w:r>
    </w:p>
    <w:p>
      <w:pPr>
        <w:pStyle w:val="ListBullet"/>
        <w:ind w:left="0"/>
      </w:pPr>
      <w:r>
        <w:rPr>
          <w:rFonts w:ascii="Aptos" w:hAnsi="Aptos" w:eastAsia="Aptos"/>
          <w:b w:val="0"/>
          <w:i w:val="0"/>
          <w:color w:val="0A1628"/>
          <w:sz w:val="20"/>
        </w:rPr>
        <w:t>Actor.</w:t>
      </w:r>
    </w:p>
    <w:p>
      <w:pPr>
        <w:pStyle w:val="ListBullet"/>
        <w:ind w:left="0"/>
      </w:pPr>
      <w:r>
        <w:rPr>
          <w:rFonts w:ascii="Aptos" w:hAnsi="Aptos" w:eastAsia="Aptos"/>
          <w:b w:val="0"/>
          <w:i w:val="0"/>
          <w:color w:val="0A1628"/>
          <w:sz w:val="20"/>
        </w:rPr>
        <w:t>Provider/branch.</w:t>
      </w:r>
    </w:p>
    <w:p>
      <w:pPr>
        <w:pStyle w:val="ListBullet"/>
        <w:ind w:left="0"/>
      </w:pPr>
      <w:r>
        <w:rPr>
          <w:rFonts w:ascii="Aptos" w:hAnsi="Aptos" w:eastAsia="Aptos"/>
          <w:b w:val="0"/>
          <w:i w:val="0"/>
          <w:color w:val="0A1628"/>
          <w:sz w:val="20"/>
        </w:rPr>
        <w:t>Effective tariff version.</w:t>
      </w:r>
    </w:p>
    <w:p>
      <w:pPr>
        <w:pStyle w:val="ListBullet"/>
        <w:ind w:left="0"/>
      </w:pPr>
      <w:r>
        <w:rPr>
          <w:rFonts w:ascii="Aptos" w:hAnsi="Aptos" w:eastAsia="Aptos"/>
          <w:b w:val="0"/>
          <w:i w:val="0"/>
          <w:color w:val="0A1628"/>
          <w:sz w:val="20"/>
        </w:rPr>
        <w:t>Calculated values.</w:t>
      </w:r>
    </w:p>
    <w:p>
      <w:pPr>
        <w:pStyle w:val="ListBullet"/>
        <w:ind w:left="0"/>
      </w:pPr>
      <w:r>
        <w:rPr>
          <w:rFonts w:ascii="Aptos" w:hAnsi="Aptos" w:eastAsia="Aptos"/>
          <w:b w:val="0"/>
          <w:i w:val="0"/>
          <w:color w:val="0A1628"/>
          <w:sz w:val="20"/>
        </w:rPr>
        <w:t>Validation errors.</w:t>
      </w:r>
    </w:p>
    <w:p>
      <w:pPr>
        <w:pStyle w:val="ListBullet"/>
        <w:ind w:left="0"/>
      </w:pPr>
      <w:r>
        <w:rPr>
          <w:rFonts w:ascii="Aptos" w:hAnsi="Aptos" w:eastAsia="Aptos"/>
          <w:b w:val="0"/>
          <w:i w:val="0"/>
          <w:color w:val="0A1628"/>
          <w:sz w:val="20"/>
        </w:rPr>
        <w:t>Warnings.</w:t>
      </w:r>
    </w:p>
    <w:p>
      <w:pPr>
        <w:pStyle w:val="ListBullet"/>
        <w:ind w:left="0"/>
      </w:pPr>
      <w:r>
        <w:rPr>
          <w:rFonts w:ascii="Aptos" w:hAnsi="Aptos" w:eastAsia="Aptos"/>
          <w:b w:val="0"/>
          <w:i w:val="0"/>
          <w:color w:val="0A1628"/>
          <w:sz w:val="20"/>
        </w:rPr>
        <w:t>Idempotency result.</w:t>
      </w:r>
    </w:p>
    <w:p>
      <w:pPr>
        <w:pStyle w:val="ListBullet"/>
        <w:ind w:left="0"/>
      </w:pPr>
      <w:r>
        <w:rPr>
          <w:rFonts w:ascii="Aptos" w:hAnsi="Aptos" w:eastAsia="Aptos"/>
          <w:b w:val="0"/>
          <w:i w:val="0"/>
          <w:color w:val="0A1628"/>
          <w:sz w:val="20"/>
        </w:rPr>
        <w:t>Audit event ID.</w:t>
      </w:r>
    </w:p>
    <w:p>
      <w:pPr>
        <w:pStyle w:val="Heading3"/>
        <w:keepNext/>
      </w:pPr>
      <w:r>
        <w:rPr>
          <w:rFonts w:ascii="Aptos" w:hAnsi="Aptos" w:eastAsia="Aptos"/>
          <w:b w:val="0"/>
          <w:i w:val="0"/>
          <w:color w:val="0A1628"/>
          <w:sz w:val="20"/>
        </w:rPr>
        <w:t>8.19 Required changes to existing screens</w:t>
      </w:r>
    </w:p>
    <w:p>
      <w:pPr>
        <w:pStyle w:val="Heading4"/>
        <w:keepNext/>
      </w:pPr>
      <w:r>
        <w:rPr>
          <w:rFonts w:ascii="Aptos" w:hAnsi="Aptos" w:eastAsia="Aptos"/>
          <w:b w:val="0"/>
          <w:i w:val="0"/>
          <w:color w:val="0A1628"/>
          <w:sz w:val="20"/>
        </w:rPr>
        <w:t>Data Entry</w:t>
      </w:r>
    </w:p>
    <w:p>
      <w:r>
        <w:rPr>
          <w:rFonts w:ascii="Aptos" w:hAnsi="Aptos" w:eastAsia="Aptos"/>
          <w:b w:val="0"/>
          <w:i w:val="0"/>
          <w:color w:val="0A1628"/>
          <w:sz w:val="20"/>
        </w:rPr>
        <w:t>After destination selection, display a backend routing preview:</w:t>
      </w:r>
    </w:p>
    <w:p>
      <w:pPr>
        <w:pStyle w:val="ListBullet"/>
        <w:ind w:left="0"/>
      </w:pPr>
      <w:r>
        <w:rPr>
          <w:rFonts w:ascii="Aptos" w:hAnsi="Aptos" w:eastAsia="Aptos"/>
          <w:b w:val="0"/>
          <w:i w:val="0"/>
          <w:color w:val="0A1628"/>
          <w:sz w:val="20"/>
        </w:rPr>
        <w:t>Britium reachability.</w:t>
      </w:r>
    </w:p>
    <w:p>
      <w:pPr>
        <w:pStyle w:val="ListBullet"/>
        <w:ind w:left="0"/>
      </w:pPr>
      <w:r>
        <w:rPr>
          <w:rFonts w:ascii="Aptos" w:hAnsi="Aptos" w:eastAsia="Aptos"/>
          <w:b w:val="0"/>
          <w:i w:val="0"/>
          <w:color w:val="0A1628"/>
          <w:sz w:val="20"/>
        </w:rPr>
        <w:t>Managing branch.</w:t>
      </w:r>
    </w:p>
    <w:p>
      <w:pPr>
        <w:pStyle w:val="ListBullet"/>
        <w:ind w:left="0"/>
      </w:pPr>
      <w:r>
        <w:rPr>
          <w:rFonts w:ascii="Aptos" w:hAnsi="Aptos" w:eastAsia="Aptos"/>
          <w:b w:val="0"/>
          <w:i w:val="0"/>
          <w:color w:val="0A1628"/>
          <w:sz w:val="20"/>
        </w:rPr>
        <w:t>Proposed execution mode.</w:t>
      </w:r>
    </w:p>
    <w:p>
      <w:pPr>
        <w:pStyle w:val="ListBullet"/>
        <w:ind w:left="0"/>
      </w:pPr>
      <w:r>
        <w:rPr>
          <w:rFonts w:ascii="Aptos" w:hAnsi="Aptos" w:eastAsia="Aptos"/>
          <w:b w:val="0"/>
          <w:i w:val="0"/>
          <w:color w:val="0A1628"/>
          <w:sz w:val="20"/>
        </w:rPr>
        <w:t>Proposed provider.</w:t>
      </w:r>
    </w:p>
    <w:p>
      <w:pPr>
        <w:pStyle w:val="ListBullet"/>
        <w:ind w:left="0"/>
      </w:pPr>
      <w:r>
        <w:rPr>
          <w:rFonts w:ascii="Aptos" w:hAnsi="Aptos" w:eastAsia="Aptos"/>
          <w:b w:val="0"/>
          <w:i w:val="0"/>
          <w:color w:val="0A1628"/>
          <w:sz w:val="20"/>
        </w:rPr>
        <w:t>Expected delivery date.</w:t>
      </w:r>
    </w:p>
    <w:p>
      <w:pPr>
        <w:pStyle w:val="ListBullet"/>
        <w:ind w:left="0"/>
      </w:pPr>
      <w:r>
        <w:rPr>
          <w:rFonts w:ascii="Aptos" w:hAnsi="Aptos" w:eastAsia="Aptos"/>
          <w:b w:val="0"/>
          <w:i w:val="0"/>
          <w:color w:val="0A1628"/>
          <w:sz w:val="20"/>
        </w:rPr>
        <w:t>Whether partner COD is supported.</w:t>
      </w:r>
    </w:p>
    <w:p>
      <w:r>
        <w:rPr>
          <w:rFonts w:ascii="Aptos" w:hAnsi="Aptos" w:eastAsia="Aptos"/>
          <w:b w:val="0"/>
          <w:i w:val="0"/>
          <w:color w:val="0A1628"/>
          <w:sz w:val="20"/>
        </w:rPr>
        <w:t>The Data Entry employee must not manually type partner tariffs.</w:t>
      </w:r>
    </w:p>
    <w:p>
      <w:pPr>
        <w:pStyle w:val="Heading4"/>
        <w:keepNext/>
      </w:pPr>
      <w:r>
        <w:rPr>
          <w:rFonts w:ascii="Aptos" w:hAnsi="Aptos" w:eastAsia="Aptos"/>
          <w:b w:val="0"/>
          <w:i w:val="0"/>
          <w:color w:val="0A1628"/>
          <w:sz w:val="20"/>
        </w:rPr>
        <w:t>Waybill</w:t>
      </w:r>
    </w:p>
    <w:p>
      <w:r>
        <w:rPr>
          <w:rFonts w:ascii="Aptos" w:hAnsi="Aptos" w:eastAsia="Aptos"/>
          <w:b w:val="0"/>
          <w:i w:val="0"/>
          <w:color w:val="0A1628"/>
          <w:sz w:val="20"/>
        </w:rPr>
        <w:t>Print:</w:t>
      </w:r>
    </w:p>
    <w:p>
      <w:pPr>
        <w:pStyle w:val="ListBullet"/>
        <w:ind w:left="0"/>
      </w:pPr>
      <w:r>
        <w:rPr>
          <w:rFonts w:ascii="Aptos" w:hAnsi="Aptos" w:eastAsia="Aptos"/>
          <w:b w:val="0"/>
          <w:i w:val="0"/>
          <w:color w:val="0A1628"/>
          <w:sz w:val="20"/>
        </w:rPr>
        <w:t>Britium Way ID.</w:t>
      </w:r>
    </w:p>
    <w:p>
      <w:pPr>
        <w:pStyle w:val="ListBullet"/>
        <w:ind w:left="0"/>
      </w:pPr>
      <w:r>
        <w:rPr>
          <w:rFonts w:ascii="Aptos" w:hAnsi="Aptos" w:eastAsia="Aptos"/>
          <w:b w:val="0"/>
          <w:i w:val="0"/>
          <w:color w:val="0A1628"/>
          <w:sz w:val="20"/>
        </w:rPr>
        <w:t>Receiver collection amount.</w:t>
      </w:r>
    </w:p>
    <w:p>
      <w:pPr>
        <w:pStyle w:val="ListBullet"/>
        <w:ind w:left="0"/>
      </w:pPr>
      <w:r>
        <w:rPr>
          <w:rFonts w:ascii="Aptos" w:hAnsi="Aptos" w:eastAsia="Aptos"/>
          <w:b w:val="0"/>
          <w:i w:val="0"/>
          <w:color w:val="0A1628"/>
          <w:sz w:val="20"/>
        </w:rPr>
        <w:t>Destination.</w:t>
      </w:r>
    </w:p>
    <w:p>
      <w:pPr>
        <w:pStyle w:val="ListBullet"/>
        <w:ind w:left="0"/>
      </w:pPr>
      <w:r>
        <w:rPr>
          <w:rFonts w:ascii="Aptos" w:hAnsi="Aptos" w:eastAsia="Aptos"/>
          <w:b w:val="0"/>
          <w:i w:val="0"/>
          <w:color w:val="0A1628"/>
          <w:sz w:val="20"/>
        </w:rPr>
        <w:t>Service instruction.</w:t>
      </w:r>
    </w:p>
    <w:p>
      <w:pPr>
        <w:pStyle w:val="ListBullet"/>
        <w:ind w:left="0"/>
      </w:pPr>
      <w:r>
        <w:rPr>
          <w:rFonts w:ascii="Aptos" w:hAnsi="Aptos" w:eastAsia="Aptos"/>
          <w:b w:val="0"/>
          <w:i w:val="0"/>
          <w:color w:val="0A1628"/>
          <w:sz w:val="20"/>
        </w:rPr>
        <w:t>Partner barcode/reference only when assigned.</w:t>
      </w:r>
    </w:p>
    <w:p>
      <w:r>
        <w:rPr>
          <w:rFonts w:ascii="Aptos" w:hAnsi="Aptos" w:eastAsia="Aptos"/>
          <w:b w:val="0"/>
          <w:i w:val="0"/>
          <w:color w:val="0A1628"/>
          <w:sz w:val="20"/>
        </w:rPr>
        <w:t>Do not print internal partner cost, merchant settlement, or margin.</w:t>
      </w:r>
    </w:p>
    <w:p>
      <w:pPr>
        <w:pStyle w:val="Heading4"/>
        <w:keepNext/>
      </w:pPr>
      <w:r>
        <w:rPr>
          <w:rFonts w:ascii="Aptos" w:hAnsi="Aptos" w:eastAsia="Aptos"/>
          <w:b w:val="0"/>
          <w:i w:val="0"/>
          <w:color w:val="0A1628"/>
          <w:sz w:val="20"/>
        </w:rPr>
        <w:t>Final Synchronization</w:t>
      </w:r>
    </w:p>
    <w:p>
      <w:r>
        <w:rPr>
          <w:rFonts w:ascii="Aptos" w:hAnsi="Aptos" w:eastAsia="Aptos"/>
          <w:b w:val="0"/>
          <w:i w:val="0"/>
          <w:color w:val="0A1628"/>
          <w:sz w:val="20"/>
        </w:rPr>
        <w:t>Add:</w:t>
      </w:r>
    </w:p>
    <w:p>
      <w:pPr>
        <w:pStyle w:val="ListBullet"/>
        <w:ind w:left="0"/>
      </w:pPr>
      <w:r>
        <w:rPr>
          <w:rFonts w:ascii="Aptos" w:hAnsi="Aptos" w:eastAsia="Aptos"/>
          <w:b w:val="0"/>
          <w:i w:val="0"/>
          <w:color w:val="0A1628"/>
          <w:sz w:val="20"/>
        </w:rPr>
        <w:t>Fulfillment mode.</w:t>
      </w:r>
    </w:p>
    <w:p>
      <w:pPr>
        <w:pStyle w:val="ListBullet"/>
        <w:ind w:left="0"/>
      </w:pPr>
      <w:r>
        <w:rPr>
          <w:rFonts w:ascii="Aptos" w:hAnsi="Aptos" w:eastAsia="Aptos"/>
          <w:b w:val="0"/>
          <w:i w:val="0"/>
          <w:color w:val="0A1628"/>
          <w:sz w:val="20"/>
        </w:rPr>
        <w:t>Managing branch.</w:t>
      </w:r>
    </w:p>
    <w:p>
      <w:pPr>
        <w:pStyle w:val="ListBullet"/>
        <w:ind w:left="0"/>
      </w:pPr>
      <w:r>
        <w:rPr>
          <w:rFonts w:ascii="Aptos" w:hAnsi="Aptos" w:eastAsia="Aptos"/>
          <w:b w:val="0"/>
          <w:i w:val="0"/>
          <w:color w:val="0A1628"/>
          <w:sz w:val="20"/>
        </w:rPr>
        <w:t>Executing provider.</w:t>
      </w:r>
    </w:p>
    <w:p>
      <w:pPr>
        <w:pStyle w:val="ListBullet"/>
        <w:ind w:left="0"/>
      </w:pPr>
      <w:r>
        <w:rPr>
          <w:rFonts w:ascii="Aptos" w:hAnsi="Aptos" w:eastAsia="Aptos"/>
          <w:b w:val="0"/>
          <w:i w:val="0"/>
          <w:color w:val="0A1628"/>
          <w:sz w:val="20"/>
        </w:rPr>
        <w:t>Provider tracking ID.</w:t>
      </w:r>
    </w:p>
    <w:p>
      <w:pPr>
        <w:pStyle w:val="ListBullet"/>
        <w:ind w:left="0"/>
      </w:pPr>
      <w:r>
        <w:rPr>
          <w:rFonts w:ascii="Aptos" w:hAnsi="Aptos" w:eastAsia="Aptos"/>
          <w:b w:val="0"/>
          <w:i w:val="0"/>
          <w:color w:val="0A1628"/>
          <w:sz w:val="20"/>
        </w:rPr>
        <w:t>Partner delivered timestamp.</w:t>
      </w:r>
    </w:p>
    <w:p>
      <w:pPr>
        <w:pStyle w:val="ListBullet"/>
        <w:ind w:left="0"/>
      </w:pPr>
      <w:r>
        <w:rPr>
          <w:rFonts w:ascii="Aptos" w:hAnsi="Aptos" w:eastAsia="Aptos"/>
          <w:b w:val="0"/>
          <w:i w:val="0"/>
          <w:color w:val="0A1628"/>
          <w:sz w:val="20"/>
        </w:rPr>
        <w:t>POD status.</w:t>
      </w:r>
    </w:p>
    <w:p>
      <w:pPr>
        <w:pStyle w:val="ListBullet"/>
        <w:ind w:left="0"/>
      </w:pPr>
      <w:r>
        <w:rPr>
          <w:rFonts w:ascii="Aptos" w:hAnsi="Aptos" w:eastAsia="Aptos"/>
          <w:b w:val="0"/>
          <w:i w:val="0"/>
          <w:color w:val="0A1628"/>
          <w:sz w:val="20"/>
        </w:rPr>
        <w:t>COD remittance status.</w:t>
      </w:r>
    </w:p>
    <w:p>
      <w:r>
        <w:rPr>
          <w:rFonts w:ascii="Aptos" w:hAnsi="Aptos" w:eastAsia="Aptos"/>
          <w:b w:val="0"/>
          <w:i w:val="0"/>
          <w:color w:val="0A1628"/>
          <w:sz w:val="20"/>
        </w:rPr>
        <w:t>Provider-delivered status alone must not certify the financial record when POD or COD reconciliation is still required.</w:t>
      </w:r>
    </w:p>
    <w:p>
      <w:pPr>
        <w:pStyle w:val="Heading4"/>
        <w:keepNext/>
      </w:pPr>
      <w:r>
        <w:rPr>
          <w:rFonts w:ascii="Aptos" w:hAnsi="Aptos" w:eastAsia="Aptos"/>
          <w:b w:val="0"/>
          <w:i w:val="0"/>
          <w:color w:val="0A1628"/>
          <w:sz w:val="20"/>
        </w:rPr>
        <w:t>Financial Settlement</w:t>
      </w:r>
    </w:p>
    <w:p>
      <w:r>
        <w:rPr>
          <w:rFonts w:ascii="Aptos" w:hAnsi="Aptos" w:eastAsia="Aptos"/>
          <w:b w:val="0"/>
          <w:i w:val="0"/>
          <w:color w:val="0A1628"/>
          <w:sz w:val="20"/>
        </w:rPr>
        <w:t>Add tabs: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Merchant Settlements</w:t>
              <w:br/>
              <w:t>Partner Settlements</w:t>
              <w:br/>
              <w:t>Branch Reconciliation</w:t>
              <w:br/>
              <w:t>COD Custody</w:t>
              <w:br/>
              <w:t>Network Financial Exceptions</w:t>
            </w:r>
          </w:p>
        </w:tc>
      </w:tr>
    </w:tbl>
    <w:p>
      <w:pPr>
        <w:spacing w:after="0"/>
      </w:pPr>
    </w:p>
    <w:p>
      <w:r>
        <w:rPr>
          <w:rFonts w:ascii="Aptos" w:hAnsi="Aptos" w:eastAsia="Aptos"/>
          <w:b w:val="0"/>
          <w:i w:val="0"/>
          <w:color w:val="0A1628"/>
          <w:sz w:val="20"/>
        </w:rPr>
        <w:t>Merchant, partner, and branch batches must remain separate financial entities.</w:t>
      </w:r>
    </w:p>
    <w:p>
      <w:pPr>
        <w:pStyle w:val="Heading4"/>
        <w:keepNext/>
      </w:pPr>
      <w:r>
        <w:rPr>
          <w:rFonts w:ascii="Aptos" w:hAnsi="Aptos" w:eastAsia="Aptos"/>
          <w:b w:val="0"/>
          <w:i w:val="0"/>
          <w:color w:val="0A1628"/>
          <w:sz w:val="20"/>
        </w:rPr>
        <w:t>Merchant Portal</w:t>
      </w:r>
    </w:p>
    <w:p>
      <w:r>
        <w:rPr>
          <w:rFonts w:ascii="Aptos" w:hAnsi="Aptos" w:eastAsia="Aptos"/>
          <w:b w:val="0"/>
          <w:i w:val="0"/>
          <w:color w:val="0A1628"/>
          <w:sz w:val="20"/>
        </w:rPr>
        <w:t>Show the parcel's tracking timeline and delivery outcome using Britium-neutral wording. Do not expose partner tariff, partner invoice, branch cash, or internal provider-performance notes.</w:t>
      </w:r>
    </w:p>
    <w:p>
      <w:pPr>
        <w:pStyle w:val="Heading4"/>
        <w:keepNext/>
      </w:pPr>
      <w:r>
        <w:rPr>
          <w:rFonts w:ascii="Aptos" w:hAnsi="Aptos" w:eastAsia="Aptos"/>
          <w:b w:val="0"/>
          <w:i w:val="0"/>
          <w:color w:val="0A1628"/>
          <w:sz w:val="20"/>
        </w:rPr>
        <w:t>Optional Partner Portal</w:t>
      </w:r>
    </w:p>
    <w:p>
      <w:r>
        <w:rPr>
          <w:rFonts w:ascii="Aptos" w:hAnsi="Aptos" w:eastAsia="Aptos"/>
          <w:b w:val="0"/>
          <w:i w:val="0"/>
          <w:color w:val="0A1628"/>
          <w:sz w:val="20"/>
        </w:rPr>
        <w:t>A partner may access only its assigned parcels, manifests, POD submissions, COD statements, invoices, disputes, and payment status.</w:t>
      </w:r>
    </w:p>
    <w:p>
      <w:pPr>
        <w:pStyle w:val="Heading3"/>
        <w:keepNext/>
      </w:pPr>
      <w:r>
        <w:rPr>
          <w:rFonts w:ascii="Aptos" w:hAnsi="Aptos" w:eastAsia="Aptos"/>
          <w:b w:val="0"/>
          <w:i w:val="0"/>
          <w:color w:val="0A1628"/>
          <w:sz w:val="20"/>
        </w:rPr>
        <w:t>8.20 Role and permission requirements</w:t>
      </w:r>
    </w:p>
    <w:p>
      <w:r>
        <w:rPr>
          <w:rFonts w:ascii="Aptos" w:hAnsi="Aptos" w:eastAsia="Aptos"/>
          <w:b w:val="0"/>
          <w:i w:val="0"/>
          <w:color w:val="0A1628"/>
          <w:sz w:val="20"/>
        </w:rPr>
        <w:t>Recommended permissions: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network.route.view</w:t>
              <w:br/>
              <w:t>network.route.assign</w:t>
              <w:br/>
              <w:t>network.manifest.create</w:t>
              <w:br/>
              <w:t>network.manifest.accept</w:t>
              <w:br/>
              <w:t>network.tracking.manage</w:t>
              <w:br/>
              <w:t>network.pod.review</w:t>
              <w:br/>
              <w:t>network.exception.resolve</w:t>
              <w:br/>
              <w:t>network.coverage.manage</w:t>
              <w:br/>
              <w:t>network.contract.manage</w:t>
              <w:br/>
              <w:t>finance.partner_settlement.create</w:t>
              <w:br/>
              <w:t>finance.partner_settlement.review</w:t>
              <w:br/>
              <w:t>finance.partner_settlement.approve</w:t>
              <w:br/>
              <w:t>finance.partner_settlement.pay</w:t>
              <w:br/>
              <w:t>finance.branch_reconciliation.create</w:t>
              <w:br/>
              <w:t>finance.branch_reconciliation.approve</w:t>
              <w:br/>
              <w:t>finance.cod_custody.review</w:t>
              <w:br/>
              <w:t>partner.portal.access</w:t>
              <w:br/>
              <w:t>branch.network.manage</w:t>
            </w:r>
          </w:p>
        </w:tc>
      </w:tr>
    </w:tbl>
    <w:p>
      <w:pPr>
        <w:spacing w:after="0"/>
      </w:pPr>
    </w:p>
    <w:p>
      <w:r>
        <w:rPr>
          <w:rFonts w:ascii="Aptos" w:hAnsi="Aptos" w:eastAsia="Aptos"/>
          <w:b w:val="0"/>
          <w:i w:val="0"/>
          <w:color w:val="0A1628"/>
          <w:sz w:val="20"/>
        </w:rPr>
        <w:t xml:space="preserve">A provider user must be restricted to its own </w:t>
      </w:r>
      <w:r>
        <w:rPr>
          <w:rFonts w:ascii="Consolas" w:hAnsi="Consolas" w:eastAsia="Consolas"/>
          <w:b w:val="0"/>
          <w:i w:val="0"/>
          <w:color w:val="0A1628"/>
          <w:sz w:val="17"/>
          <w:shd w:fill="EEF2F6"/>
        </w:rPr>
        <w:t>provider_id</w:t>
      </w:r>
      <w:r>
        <w:rPr>
          <w:rFonts w:ascii="Aptos" w:hAnsi="Aptos" w:eastAsia="Aptos"/>
          <w:b w:val="0"/>
          <w:i w:val="0"/>
          <w:color w:val="0A1628"/>
          <w:sz w:val="20"/>
        </w:rPr>
        <w:t>. A branch user must be restricted to the assigned branch unless explicitly granted cross-branch authority.</w:t>
      </w:r>
    </w:p>
    <w:p>
      <w:pPr>
        <w:pStyle w:val="Heading3"/>
        <w:keepNext/>
      </w:pPr>
      <w:r>
        <w:rPr>
          <w:rFonts w:ascii="Aptos" w:hAnsi="Aptos" w:eastAsia="Aptos"/>
          <w:b w:val="0"/>
          <w:i w:val="0"/>
          <w:color w:val="0A1628"/>
          <w:sz w:val="20"/>
        </w:rPr>
        <w:t>8.21 Routing examples</w:t>
      </w:r>
    </w:p>
    <w:p>
      <w:pPr>
        <w:pStyle w:val="Heading4"/>
        <w:keepNext/>
      </w:pPr>
      <w:r>
        <w:rPr>
          <w:rFonts w:ascii="Aptos" w:hAnsi="Aptos" w:eastAsia="Aptos"/>
          <w:b w:val="0"/>
          <w:i w:val="0"/>
          <w:color w:val="0A1628"/>
          <w:sz w:val="20"/>
        </w:rPr>
        <w:t>Mandalay</w:t>
      </w:r>
    </w:p>
    <w:p>
      <w:r>
        <w:rPr>
          <w:rFonts w:ascii="Aptos" w:hAnsi="Aptos" w:eastAsia="Aptos"/>
          <w:b w:val="0"/>
          <w:i w:val="0"/>
          <w:color w:val="0A1628"/>
          <w:sz w:val="20"/>
        </w:rPr>
        <w:t>Current default policy: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managing_branch = MDY</w:t>
              <w:br/>
              <w:t>fulfillment_mode = BRANCH_THIRD_PARTY</w:t>
              <w:br/>
              <w:t>executing_provider = DK_DELIVERY</w:t>
            </w:r>
          </w:p>
        </w:tc>
      </w:tr>
    </w:tbl>
    <w:p>
      <w:pPr>
        <w:spacing w:after="0"/>
      </w:pPr>
    </w:p>
    <w:p>
      <w:r>
        <w:rPr>
          <w:rFonts w:ascii="Aptos" w:hAnsi="Aptos" w:eastAsia="Aptos"/>
          <w:b w:val="0"/>
          <w:i w:val="0"/>
          <w:color w:val="0A1628"/>
          <w:sz w:val="20"/>
        </w:rPr>
        <w:t>This is a configurable current rule, not a hardcoded permanent rule.</w:t>
      </w:r>
    </w:p>
    <w:p>
      <w:pPr>
        <w:pStyle w:val="Heading4"/>
        <w:keepNext/>
      </w:pPr>
      <w:r>
        <w:rPr>
          <w:rFonts w:ascii="Aptos" w:hAnsi="Aptos" w:eastAsia="Aptos"/>
          <w:b w:val="0"/>
          <w:i w:val="0"/>
          <w:color w:val="0A1628"/>
          <w:sz w:val="20"/>
        </w:rPr>
        <w:t>Nay Pyi Taw</w:t>
      </w:r>
    </w:p>
    <w:p>
      <w:r>
        <w:rPr>
          <w:rFonts w:ascii="Aptos" w:hAnsi="Aptos" w:eastAsia="Aptos"/>
          <w:b w:val="0"/>
          <w:i w:val="0"/>
          <w:color w:val="0A1628"/>
          <w:sz w:val="20"/>
        </w:rPr>
        <w:t>Current default policy: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managing_branch = NPT</w:t>
              <w:br/>
              <w:t>fulfillment_mode = BRANCH_DIRECT</w:t>
              <w:br/>
              <w:t>executing_provider = BRITIUM_NPT_BRANCH</w:t>
            </w:r>
          </w:p>
        </w:tc>
      </w:tr>
    </w:tbl>
    <w:p>
      <w:pPr>
        <w:spacing w:after="0"/>
      </w:pPr>
    </w:p>
    <w:p>
      <w:r>
        <w:rPr>
          <w:rFonts w:ascii="Aptos" w:hAnsi="Aptos" w:eastAsia="Aptos"/>
          <w:b w:val="0"/>
          <w:i w:val="0"/>
          <w:color w:val="0A1628"/>
          <w:sz w:val="20"/>
        </w:rPr>
        <w:t>When the branch outsources a specific township or capacity overflow:</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managing_branch = NPT</w:t>
              <w:br/>
              <w:t>fulfillment_mode = BRANCH_THIRD_PARTY</w:t>
              <w:br/>
              <w:t>executing_provider = configured provider</w:t>
            </w:r>
          </w:p>
        </w:tc>
      </w:tr>
    </w:tbl>
    <w:p>
      <w:pPr>
        <w:spacing w:after="0"/>
      </w:pPr>
    </w:p>
    <w:p>
      <w:pPr>
        <w:pStyle w:val="Heading4"/>
        <w:keepNext/>
      </w:pPr>
      <w:r>
        <w:rPr>
          <w:rFonts w:ascii="Aptos" w:hAnsi="Aptos" w:eastAsia="Aptos"/>
          <w:b w:val="0"/>
          <w:i w:val="0"/>
          <w:color w:val="0A1628"/>
          <w:sz w:val="20"/>
        </w:rPr>
        <w:t>Other non-direct destinations</w:t>
      </w:r>
    </w:p>
    <w:p>
      <w:r>
        <w:rPr>
          <w:rFonts w:ascii="Aptos" w:hAnsi="Aptos" w:eastAsia="Aptos"/>
          <w:b w:val="0"/>
          <w:i w:val="0"/>
          <w:color w:val="0A1628"/>
          <w:sz w:val="20"/>
        </w:rPr>
        <w:t>Current configurable preference: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1. ROYAL_EXPRESS</w:t>
              <w:br/>
              <w:t>2. ARLU_POST / NINJA_VAN / SAFE_DELIVERY according to coverage and contract</w:t>
              <w:br/>
              <w:t>3. MANUAL_ROUTING_REQUIRED when no provider is valid</w:t>
            </w:r>
          </w:p>
        </w:tc>
      </w:tr>
    </w:tbl>
    <w:p>
      <w:pPr>
        <w:spacing w:after="0"/>
      </w:pPr>
    </w:p>
    <w:p>
      <w:r>
        <w:rPr>
          <w:rFonts w:ascii="Aptos" w:hAnsi="Aptos" w:eastAsia="Aptos"/>
          <w:b w:val="0"/>
          <w:i w:val="0"/>
          <w:color w:val="0A1628"/>
          <w:sz w:val="20"/>
        </w:rPr>
        <w:t>The order between fallback providers must be configured by destination and service type rather than globally assumed.</w:t>
      </w:r>
    </w:p>
    <w:p>
      <w:pPr>
        <w:pStyle w:val="Heading3"/>
        <w:keepNext/>
      </w:pPr>
      <w:r>
        <w:rPr>
          <w:rFonts w:ascii="Aptos" w:hAnsi="Aptos" w:eastAsia="Aptos"/>
          <w:b w:val="0"/>
          <w:i w:val="0"/>
          <w:color w:val="0A1628"/>
          <w:sz w:val="20"/>
        </w:rPr>
        <w:t>8.22 Acceptance criteria</w:t>
      </w:r>
    </w:p>
    <w:p>
      <w:pPr>
        <w:pStyle w:val="ListBullet"/>
        <w:ind w:left="0"/>
      </w:pPr>
      <w:r>
        <w:rPr>
          <w:rFonts w:ascii="Aptos" w:hAnsi="Aptos" w:eastAsia="Aptos"/>
          <w:b w:val="0"/>
          <w:i w:val="0"/>
          <w:color w:val="0A1628"/>
          <w:sz w:val="20"/>
        </w:rPr>
        <w:t>Every non-direct Way has one managing branch and one executing provider.</w:t>
      </w:r>
    </w:p>
    <w:p>
      <w:pPr>
        <w:pStyle w:val="ListBullet"/>
        <w:ind w:left="0"/>
      </w:pPr>
      <w:r>
        <w:rPr>
          <w:rFonts w:ascii="Aptos" w:hAnsi="Aptos" w:eastAsia="Aptos"/>
          <w:b w:val="0"/>
          <w:i w:val="0"/>
          <w:color w:val="0A1628"/>
          <w:sz w:val="20"/>
        </w:rPr>
        <w:t>Every external handover has a manifest and line-level acceptance.</w:t>
      </w:r>
    </w:p>
    <w:p>
      <w:pPr>
        <w:pStyle w:val="ListBullet"/>
        <w:ind w:left="0"/>
      </w:pPr>
      <w:r>
        <w:rPr>
          <w:rFonts w:ascii="Aptos" w:hAnsi="Aptos" w:eastAsia="Aptos"/>
          <w:b w:val="0"/>
          <w:i w:val="0"/>
          <w:color w:val="0A1628"/>
          <w:sz w:val="20"/>
        </w:rPr>
        <w:t>Britium Way ID remains canonical across all providers.</w:t>
      </w:r>
    </w:p>
    <w:p>
      <w:pPr>
        <w:pStyle w:val="ListBullet"/>
        <w:ind w:left="0"/>
      </w:pPr>
      <w:r>
        <w:rPr>
          <w:rFonts w:ascii="Aptos" w:hAnsi="Aptos" w:eastAsia="Aptos"/>
          <w:b w:val="0"/>
          <w:i w:val="0"/>
          <w:color w:val="0A1628"/>
          <w:sz w:val="20"/>
        </w:rPr>
        <w:t>Partner tracking events are deduplicated and auditable.</w:t>
      </w:r>
    </w:p>
    <w:p>
      <w:pPr>
        <w:pStyle w:val="ListBullet"/>
        <w:ind w:left="0"/>
      </w:pPr>
      <w:r>
        <w:rPr>
          <w:rFonts w:ascii="Aptos" w:hAnsi="Aptos" w:eastAsia="Aptos"/>
          <w:b w:val="0"/>
          <w:i w:val="0"/>
          <w:color w:val="0A1628"/>
          <w:sz w:val="20"/>
        </w:rPr>
        <w:t>A delivered outsourced Way has validated POD or an authorized waiver.</w:t>
      </w:r>
    </w:p>
    <w:p>
      <w:pPr>
        <w:pStyle w:val="ListBullet"/>
        <w:ind w:left="0"/>
      </w:pPr>
      <w:r>
        <w:rPr>
          <w:rFonts w:ascii="Aptos" w:hAnsi="Aptos" w:eastAsia="Aptos"/>
          <w:b w:val="0"/>
          <w:i w:val="0"/>
          <w:color w:val="0A1628"/>
          <w:sz w:val="20"/>
        </w:rPr>
        <w:t>COD custody can be identified at any time.</w:t>
      </w:r>
    </w:p>
    <w:p>
      <w:pPr>
        <w:pStyle w:val="ListBullet"/>
        <w:ind w:left="0"/>
      </w:pPr>
      <w:r>
        <w:rPr>
          <w:rFonts w:ascii="Aptos" w:hAnsi="Aptos" w:eastAsia="Aptos"/>
          <w:b w:val="0"/>
          <w:i w:val="0"/>
          <w:color w:val="0A1628"/>
          <w:sz w:val="20"/>
        </w:rPr>
        <w:t>Customer collection, merchant settlement, Britium revenue, provider cost, and branch cash remain separate.</w:t>
      </w:r>
    </w:p>
    <w:p>
      <w:pPr>
        <w:pStyle w:val="ListBullet"/>
        <w:ind w:left="0"/>
      </w:pPr>
      <w:r>
        <w:rPr>
          <w:rFonts w:ascii="Aptos" w:hAnsi="Aptos" w:eastAsia="Aptos"/>
          <w:b w:val="0"/>
          <w:i w:val="0"/>
          <w:color w:val="0A1628"/>
          <w:sz w:val="20"/>
        </w:rPr>
        <w:t>Partner settlement uses stored contract/tariff snapshots.</w:t>
      </w:r>
    </w:p>
    <w:p>
      <w:pPr>
        <w:pStyle w:val="ListBullet"/>
        <w:ind w:left="0"/>
      </w:pPr>
      <w:r>
        <w:rPr>
          <w:rFonts w:ascii="Aptos" w:hAnsi="Aptos" w:eastAsia="Aptos"/>
          <w:b w:val="0"/>
          <w:i w:val="0"/>
          <w:color w:val="0A1628"/>
          <w:sz w:val="20"/>
        </w:rPr>
        <w:t>A provider invoice cannot charge the same Way twice.</w:t>
      </w:r>
    </w:p>
    <w:p>
      <w:pPr>
        <w:pStyle w:val="ListBullet"/>
        <w:ind w:left="0"/>
      </w:pPr>
      <w:r>
        <w:rPr>
          <w:rFonts w:ascii="Aptos" w:hAnsi="Aptos" w:eastAsia="Aptos"/>
          <w:b w:val="0"/>
          <w:i w:val="0"/>
          <w:color w:val="0A1628"/>
          <w:sz w:val="20"/>
        </w:rPr>
        <w:t>A branch and headquarters cannot both pay the same partner charge.</w:t>
      </w:r>
    </w:p>
    <w:p>
      <w:pPr>
        <w:pStyle w:val="ListBullet"/>
        <w:ind w:left="0"/>
      </w:pPr>
      <w:r>
        <w:rPr>
          <w:rFonts w:ascii="Aptos" w:hAnsi="Aptos" w:eastAsia="Aptos"/>
          <w:b w:val="0"/>
          <w:i w:val="0"/>
          <w:color w:val="0A1628"/>
          <w:sz w:val="20"/>
        </w:rPr>
        <w:t>Mandalay can default to DK Delivery through configuration.</w:t>
      </w:r>
    </w:p>
    <w:p>
      <w:pPr>
        <w:pStyle w:val="ListBullet"/>
        <w:ind w:left="0"/>
      </w:pPr>
      <w:r>
        <w:rPr>
          <w:rFonts w:ascii="Aptos" w:hAnsi="Aptos" w:eastAsia="Aptos"/>
          <w:b w:val="0"/>
          <w:i w:val="0"/>
          <w:color w:val="0A1628"/>
          <w:sz w:val="20"/>
        </w:rPr>
        <w:t>Nay Pyi Taw can be monitored as a branch-managed flow.</w:t>
      </w:r>
    </w:p>
    <w:p>
      <w:pPr>
        <w:pStyle w:val="ListBullet"/>
        <w:ind w:left="0"/>
      </w:pPr>
      <w:r>
        <w:rPr>
          <w:rFonts w:ascii="Aptos" w:hAnsi="Aptos" w:eastAsia="Aptos"/>
          <w:b w:val="0"/>
          <w:i w:val="0"/>
          <w:color w:val="0A1628"/>
          <w:sz w:val="20"/>
        </w:rPr>
        <w:t>Royal Express, Arlu Post, Ninja Van, and Safe Delivery Services can be configured by destination, priority, and effective date.</w:t>
      </w:r>
    </w:p>
    <w:p>
      <w:pPr>
        <w:pStyle w:val="ListBullet"/>
        <w:ind w:left="0"/>
      </w:pPr>
      <w:r>
        <w:rPr>
          <w:rFonts w:ascii="Aptos" w:hAnsi="Aptos" w:eastAsia="Aptos"/>
          <w:b w:val="0"/>
          <w:i w:val="0"/>
          <w:color w:val="0A1628"/>
          <w:sz w:val="20"/>
        </w:rPr>
        <w:t>Out-of-reach parcels without a valid route are blocked and shown in the routing queue.</w:t>
      </w:r>
    </w:p>
    <w:p>
      <w:pPr>
        <w:pStyle w:val="ListBullet"/>
        <w:ind w:left="0"/>
      </w:pPr>
      <w:r>
        <w:rPr>
          <w:rFonts w:ascii="Aptos" w:hAnsi="Aptos" w:eastAsia="Aptos"/>
          <w:b w:val="0"/>
          <w:i w:val="0"/>
          <w:color w:val="0A1628"/>
          <w:sz w:val="20"/>
        </w:rPr>
        <w:t>Partner and branch financial totals reconcile to Way-level records and COD custody events.</w:t>
      </w:r>
    </w:p>
    <w:p>
      <w:pPr>
        <w:pStyle w:val="Heading2"/>
        <w:keepNext/>
      </w:pPr>
      <w:r>
        <w:rPr>
          <w:rFonts w:ascii="Aptos" w:hAnsi="Aptos" w:eastAsia="Aptos"/>
          <w:b w:val="0"/>
          <w:i w:val="0"/>
          <w:color w:val="0A1628"/>
          <w:sz w:val="20"/>
        </w:rPr>
        <w:t>9. Naypyitaw Branch &lt;-&gt; Head Office Settlement</w:t>
      </w:r>
    </w:p>
    <w:p>
      <w:r>
        <w:rPr>
          <w:rFonts w:ascii="Aptos" w:hAnsi="Aptos" w:eastAsia="Aptos"/>
          <w:b w:val="0"/>
          <w:i w:val="0"/>
          <w:color w:val="0A1628"/>
          <w:sz w:val="20"/>
        </w:rPr>
      </w:r>
      <w:r>
        <w:rPr>
          <w:rFonts w:ascii="Aptos" w:hAnsi="Aptos" w:eastAsia="Aptos"/>
          <w:b/>
          <w:i w:val="0"/>
          <w:color w:val="0A1628"/>
          <w:sz w:val="20"/>
        </w:rPr>
        <w:t>Active scope:</w:t>
      </w:r>
      <w:r>
        <w:rPr>
          <w:rFonts w:ascii="Aptos" w:hAnsi="Aptos" w:eastAsia="Aptos"/>
          <w:b w:val="0"/>
          <w:i w:val="0"/>
          <w:color w:val="0A1628"/>
          <w:sz w:val="20"/>
        </w:rPr>
        <w:t xml:space="preserve"> Naypyitaw (</w:t>
      </w:r>
      <w:r>
        <w:rPr>
          <w:rFonts w:ascii="Consolas" w:hAnsi="Consolas" w:eastAsia="Consolas"/>
          <w:b w:val="0"/>
          <w:i w:val="0"/>
          <w:color w:val="0A1628"/>
          <w:sz w:val="17"/>
          <w:shd w:fill="EEF2F6"/>
        </w:rPr>
        <w:t>NPT</w:t>
      </w:r>
      <w:r>
        <w:rPr>
          <w:rFonts w:ascii="Aptos" w:hAnsi="Aptos" w:eastAsia="Aptos"/>
          <w:b w:val="0"/>
          <w:i w:val="0"/>
          <w:color w:val="0A1628"/>
          <w:sz w:val="20"/>
        </w:rPr>
        <w:t>) only. Mandalay and partner settlements use their own contracts and must not inherit this rule.</w:t>
      </w:r>
    </w:p>
    <w:p>
      <w:r>
        <w:rPr>
          <w:rFonts w:ascii="Aptos" w:hAnsi="Aptos" w:eastAsia="Aptos"/>
          <w:b w:val="0"/>
          <w:i w:val="0"/>
          <w:color w:val="0A1628"/>
          <w:sz w:val="20"/>
        </w:rPr>
      </w:r>
      <w:r>
        <w:rPr>
          <w:rFonts w:ascii="Aptos" w:hAnsi="Aptos" w:eastAsia="Aptos"/>
          <w:b/>
          <w:i w:val="0"/>
          <w:color w:val="0A1628"/>
          <w:sz w:val="20"/>
        </w:rPr>
        <w:t>Business-rule interpretation requiring approval:</w:t>
      </w:r>
      <w:r>
        <w:rPr>
          <w:rFonts w:ascii="Aptos" w:hAnsi="Aptos" w:eastAsia="Aptos"/>
          <w:b w:val="0"/>
          <w:i w:val="0"/>
          <w:color w:val="0A1628"/>
          <w:sz w:val="20"/>
        </w:rPr>
        <w:t xml:space="preserve"> The phrase "every branch pays 10% gross revenue management fee to Head Office" is implemented as 10% of the branch's allocated 55% or 45% gross share. If management intends 10% of total delivery revenue instead, the rule version must be changed before activation.</w:t>
      </w:r>
    </w:p>
    <w:p>
      <w:pPr>
        <w:pStyle w:val="Heading3"/>
        <w:keepNext/>
      </w:pPr>
      <w:r>
        <w:rPr>
          <w:rFonts w:ascii="Aptos" w:hAnsi="Aptos" w:eastAsia="Aptos"/>
          <w:b w:val="0"/>
          <w:i w:val="0"/>
          <w:color w:val="0A1628"/>
          <w:sz w:val="20"/>
        </w:rPr>
        <w:t>9.1 Objective</w:t>
      </w:r>
    </w:p>
    <w:p>
      <w:r>
        <w:rPr>
          <w:rFonts w:ascii="Aptos" w:hAnsi="Aptos" w:eastAsia="Aptos"/>
          <w:b w:val="0"/>
          <w:i w:val="0"/>
          <w:color w:val="0A1628"/>
          <w:sz w:val="20"/>
        </w:rPr>
        <w:t>Replace the current per-shipment finance-lock behavior with a backend-authoritative Branch &lt;-&gt; Head Office settlement workflow that separately controls:</w:t>
      </w:r>
    </w:p>
    <w:p>
      <w:pPr>
        <w:pStyle w:val="ListNumber"/>
        <w:ind w:left="0"/>
      </w:pPr>
      <w:r>
        <w:rPr>
          <w:rFonts w:ascii="Aptos" w:hAnsi="Aptos" w:eastAsia="Aptos"/>
          <w:b w:val="0"/>
          <w:i w:val="0"/>
          <w:color w:val="0A1628"/>
          <w:sz w:val="20"/>
        </w:rPr>
        <w:t>Customer COD custody and remittance.</w:t>
      </w:r>
    </w:p>
    <w:p>
      <w:pPr>
        <w:pStyle w:val="ListNumber"/>
        <w:ind w:left="0"/>
      </w:pPr>
      <w:r>
        <w:rPr>
          <w:rFonts w:ascii="Aptos" w:hAnsi="Aptos" w:eastAsia="Aptos"/>
          <w:b w:val="0"/>
          <w:i w:val="0"/>
          <w:color w:val="0A1628"/>
          <w:sz w:val="20"/>
        </w:rPr>
        <w:t>Merchant payable amounts.</w:t>
      </w:r>
    </w:p>
    <w:p>
      <w:pPr>
        <w:pStyle w:val="ListNumber"/>
        <w:ind w:left="0"/>
      </w:pPr>
      <w:r>
        <w:rPr>
          <w:rFonts w:ascii="Aptos" w:hAnsi="Aptos" w:eastAsia="Aptos"/>
          <w:b w:val="0"/>
          <w:i w:val="0"/>
          <w:color w:val="0A1628"/>
          <w:sz w:val="20"/>
        </w:rPr>
        <w:t>Delivery-fee revenue sharing.</w:t>
      </w:r>
    </w:p>
    <w:p>
      <w:pPr>
        <w:pStyle w:val="ListNumber"/>
        <w:ind w:left="0"/>
      </w:pPr>
      <w:r>
        <w:rPr>
          <w:rFonts w:ascii="Aptos" w:hAnsi="Aptos" w:eastAsia="Aptos"/>
          <w:b w:val="0"/>
          <w:i w:val="0"/>
          <w:color w:val="0A1628"/>
          <w:sz w:val="20"/>
        </w:rPr>
        <w:t>Head Office management fees.</w:t>
      </w:r>
    </w:p>
    <w:p>
      <w:pPr>
        <w:pStyle w:val="ListNumber"/>
        <w:ind w:left="0"/>
      </w:pPr>
      <w:r>
        <w:rPr>
          <w:rFonts w:ascii="Aptos" w:hAnsi="Aptos" w:eastAsia="Aptos"/>
          <w:b w:val="0"/>
          <w:i w:val="0"/>
          <w:color w:val="0A1628"/>
          <w:sz w:val="20"/>
        </w:rPr>
        <w:t>Branch penalties and approved adjustments.</w:t>
      </w:r>
    </w:p>
    <w:p>
      <w:pPr>
        <w:pStyle w:val="ListNumber"/>
        <w:ind w:left="0"/>
      </w:pPr>
      <w:r>
        <w:rPr>
          <w:rFonts w:ascii="Aptos" w:hAnsi="Aptos" w:eastAsia="Aptos"/>
          <w:b w:val="0"/>
          <w:i w:val="0"/>
          <w:color w:val="0A1628"/>
          <w:sz w:val="20"/>
        </w:rPr>
        <w:t>Prepaid delivery-fee settlement.</w:t>
      </w:r>
    </w:p>
    <w:p>
      <w:pPr>
        <w:pStyle w:val="ListNumber"/>
        <w:ind w:left="0"/>
      </w:pPr>
      <w:r>
        <w:rPr>
          <w:rFonts w:ascii="Aptos" w:hAnsi="Aptos" w:eastAsia="Aptos"/>
          <w:b w:val="0"/>
          <w:i w:val="0"/>
          <w:color w:val="0A1628"/>
          <w:sz w:val="20"/>
        </w:rPr>
        <w:t>Settlement batches, approval, payment and audit history.</w:t>
      </w:r>
    </w:p>
    <w:p>
      <w:r>
        <w:rPr>
          <w:rFonts w:ascii="Aptos" w:hAnsi="Aptos" w:eastAsia="Aptos"/>
          <w:b w:val="0"/>
          <w:i w:val="0"/>
          <w:color w:val="0A1628"/>
          <w:sz w:val="20"/>
        </w:rPr>
        <w:t>The initial production release applies only to Naypyitaw branch transactions.</w:t>
      </w:r>
    </w:p>
    <w:p>
      <w:pPr>
        <w:pStyle w:val="Heading3"/>
        <w:keepNext/>
      </w:pPr>
      <w:r>
        <w:rPr>
          <w:rFonts w:ascii="Aptos" w:hAnsi="Aptos" w:eastAsia="Aptos"/>
          <w:b w:val="0"/>
          <w:i w:val="0"/>
          <w:color w:val="0A1628"/>
          <w:sz w:val="20"/>
        </w:rPr>
        <w:t>9.2 Current Business Rules</w:t>
      </w:r>
    </w:p>
    <w:p>
      <w:r>
        <w:rPr>
          <w:rFonts w:ascii="Aptos" w:hAnsi="Aptos" w:eastAsia="Aptos"/>
          <w:b w:val="0"/>
          <w:i w:val="0"/>
          <w:color w:val="0A1628"/>
          <w:sz w:val="20"/>
        </w:rPr>
        <w:t xml:space="preserve">For an eligible inter-office delivery charge </w:t>
      </w:r>
      <w:r>
        <w:rPr>
          <w:rFonts w:ascii="Consolas" w:hAnsi="Consolas" w:eastAsia="Consolas"/>
          <w:b w:val="0"/>
          <w:i w:val="0"/>
          <w:color w:val="0A1628"/>
          <w:sz w:val="17"/>
          <w:shd w:fill="EEF2F6"/>
        </w:rPr>
        <w:t>D</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Highway drop-off / sender-side gross share: </w:t>
      </w:r>
      <w:r>
        <w:rPr>
          <w:rFonts w:ascii="Consolas" w:hAnsi="Consolas" w:eastAsia="Consolas"/>
          <w:b w:val="0"/>
          <w:i w:val="0"/>
          <w:color w:val="0A1628"/>
          <w:sz w:val="17"/>
          <w:shd w:fill="EEF2F6"/>
        </w:rPr>
        <w:t>55% x D</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Receiver / last-mile-side gross share: </w:t>
      </w:r>
      <w:r>
        <w:rPr>
          <w:rFonts w:ascii="Consolas" w:hAnsi="Consolas" w:eastAsia="Consolas"/>
          <w:b w:val="0"/>
          <w:i w:val="0"/>
          <w:color w:val="0A1628"/>
          <w:sz w:val="17"/>
          <w:shd w:fill="EEF2F6"/>
        </w:rPr>
        <w:t>45% x D</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Every branch pays Head Office a management fee equal to </w:t>
      </w:r>
      <w:r>
        <w:rPr>
          <w:rFonts w:ascii="Consolas" w:hAnsi="Consolas" w:eastAsia="Consolas"/>
          <w:b w:val="0"/>
          <w:i w:val="0"/>
          <w:color w:val="0A1628"/>
          <w:sz w:val="17"/>
          <w:shd w:fill="EEF2F6"/>
        </w:rPr>
        <w:t>10%</w:t>
      </w:r>
      <w:r>
        <w:rPr>
          <w:rFonts w:ascii="Aptos" w:hAnsi="Aptos" w:eastAsia="Aptos"/>
          <w:b w:val="0"/>
          <w:i w:val="0"/>
          <w:color w:val="0A1628"/>
          <w:sz w:val="20"/>
        </w:rPr>
        <w:t xml:space="preserve"> of that branch's allocated gross share.</w:t>
      </w:r>
    </w:p>
    <w:p>
      <w:pPr>
        <w:pStyle w:val="ListBullet"/>
        <w:ind w:left="0"/>
      </w:pPr>
      <w:r>
        <w:rPr>
          <w:rFonts w:ascii="Aptos" w:hAnsi="Aptos" w:eastAsia="Aptos"/>
          <w:b w:val="0"/>
          <w:i w:val="0"/>
          <w:color w:val="0A1628"/>
          <w:sz w:val="20"/>
        </w:rPr>
        <w:t>Head Office does not charge itself a management fee when Head Office performs one side of the movement.</w:t>
      </w:r>
    </w:p>
    <w:p>
      <w:pPr>
        <w:pStyle w:val="ListBullet"/>
        <w:ind w:left="0"/>
      </w:pPr>
      <w:r>
        <w:rPr>
          <w:rFonts w:ascii="Aptos" w:hAnsi="Aptos" w:eastAsia="Aptos"/>
          <w:b w:val="0"/>
          <w:i w:val="0"/>
          <w:color w:val="0A1628"/>
          <w:sz w:val="20"/>
        </w:rPr>
        <w:t>Cargo damage, loss, wrong handoff and other approved penalties are deducted from the responsible branch.</w:t>
      </w:r>
    </w:p>
    <w:p>
      <w:pPr>
        <w:pStyle w:val="Heading4"/>
        <w:keepNext/>
      </w:pPr>
      <w:r>
        <w:rPr>
          <w:rFonts w:ascii="Aptos" w:hAnsi="Aptos" w:eastAsia="Aptos"/>
          <w:b w:val="0"/>
          <w:i w:val="0"/>
          <w:color w:val="0A1628"/>
          <w:sz w:val="20"/>
        </w:rPr>
        <w:t>9.2.1 Entity-aware management-fee rule</w:t>
      </w:r>
    </w:p>
    <w:p>
      <w:r>
        <w:rPr>
          <w:rFonts w:ascii="Aptos" w:hAnsi="Aptos" w:eastAsia="Aptos"/>
          <w:b w:val="0"/>
          <w:i w:val="0"/>
          <w:color w:val="0A1628"/>
          <w:sz w:val="20"/>
        </w:rPr>
        <w:t>For each operational side: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management_fee =</w:t>
              <w:br/>
              <w:t xml:space="preserve">  allocated_gross_share x 10%</w:t>
              <w:br/>
              <w:t xml:space="preserve">  when the operational party is a BRANCH</w:t>
              <w:br/>
              <w:br/>
              <w:t>management_fee = 0</w:t>
              <w:br/>
              <w:t xml:space="preserve">  when the operational party is HEAD_OFFICE</w:t>
            </w:r>
          </w:p>
        </w:tc>
      </w:tr>
    </w:tbl>
    <w:p>
      <w:pPr>
        <w:spacing w:after="0"/>
      </w:pPr>
    </w:p>
    <w:p>
      <w:r>
        <w:rPr>
          <w:rFonts w:ascii="Aptos" w:hAnsi="Aptos" w:eastAsia="Aptos"/>
          <w:b w:val="0"/>
          <w:i w:val="0"/>
          <w:color w:val="0A1628"/>
          <w:sz w:val="20"/>
        </w:rPr>
        <w:t>This prevents Head Office from paying a fee to itself.</w:t>
      </w:r>
    </w:p>
    <w:p>
      <w:pPr>
        <w:pStyle w:val="Heading4"/>
        <w:keepNext/>
      </w:pPr>
      <w:r>
        <w:rPr>
          <w:rFonts w:ascii="Aptos" w:hAnsi="Aptos" w:eastAsia="Aptos"/>
          <w:b w:val="0"/>
          <w:i w:val="0"/>
          <w:color w:val="0A1628"/>
          <w:sz w:val="20"/>
        </w:rPr>
        <w:t>9.2.2 Branch net share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branch_net_share =</w:t>
              <w:br/>
              <w:t xml:space="preserve">  branch_gross_share</w:t>
              <w:br/>
              <w:t xml:space="preserve">  - branch_management_fee</w:t>
              <w:br/>
              <w:t xml:space="preserve">  - approved_penalties</w:t>
              <w:br/>
              <w:t xml:space="preserve">  - approved_deductions</w:t>
              <w:br/>
              <w:t xml:space="preserve">  + approved_credits</w:t>
            </w:r>
          </w:p>
        </w:tc>
      </w:tr>
    </w:tbl>
    <w:p>
      <w:pPr>
        <w:spacing w:after="0"/>
      </w:pPr>
    </w:p>
    <w:p>
      <w:pPr>
        <w:pStyle w:val="Heading4"/>
        <w:keepNext/>
      </w:pPr>
      <w:r>
        <w:rPr>
          <w:rFonts w:ascii="Aptos" w:hAnsi="Aptos" w:eastAsia="Aptos"/>
          <w:b w:val="0"/>
          <w:i w:val="0"/>
          <w:color w:val="0A1628"/>
          <w:sz w:val="20"/>
        </w:rPr>
        <w:t>9.2.3 Head Office settlement revenue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head_office_settlement_revenue =</w:t>
              <w:br/>
              <w:t xml:space="preserve">  head_office_operational_share</w:t>
              <w:br/>
              <w:t xml:space="preserve">  + management_fees_from_branches</w:t>
              <w:br/>
              <w:t xml:space="preserve">  + approved_penalties_payable_to_head_office</w:t>
              <w:br/>
              <w:t xml:space="preserve">  - approved_head_office_credits_to_branch</w:t>
            </w:r>
          </w:p>
        </w:tc>
      </w:tr>
    </w:tbl>
    <w:p>
      <w:pPr>
        <w:spacing w:after="0"/>
      </w:pPr>
    </w:p>
    <w:p>
      <w:pPr>
        <w:pStyle w:val="Heading3"/>
        <w:keepNext/>
      </w:pPr>
      <w:r>
        <w:rPr>
          <w:rFonts w:ascii="Aptos" w:hAnsi="Aptos" w:eastAsia="Aptos"/>
          <w:b w:val="0"/>
          <w:i w:val="0"/>
          <w:color w:val="0A1628"/>
          <w:sz w:val="20"/>
        </w:rPr>
        <w:t>9.3 Naypyitaw Route Scenarios</w:t>
      </w:r>
    </w:p>
    <w:p>
      <w:pPr>
        <w:pStyle w:val="Heading4"/>
        <w:keepNext/>
      </w:pPr>
      <w:r>
        <w:rPr>
          <w:rFonts w:ascii="Aptos" w:hAnsi="Aptos" w:eastAsia="Aptos"/>
          <w:b w:val="0"/>
          <w:i w:val="0"/>
          <w:color w:val="0A1628"/>
          <w:sz w:val="20"/>
        </w:rPr>
        <w:t>9.3.1 Head Office sends; Naypyitaw performs last mile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sender_party_type      = HEAD_OFFICE</w:t>
              <w:br/>
              <w:t>sender_party_code      = YGN-HQ</w:t>
              <w:br/>
              <w:t>receiver_party_type    = BRANCH</w:t>
              <w:br/>
              <w:t>receiver_party_code    = NPT</w:t>
            </w:r>
          </w:p>
        </w:tc>
      </w:tr>
    </w:tbl>
    <w:p>
      <w:pPr>
        <w:spacing w:after="0"/>
      </w:pPr>
    </w:p>
    <w:p>
      <w:r>
        <w:rPr>
          <w:rFonts w:ascii="Aptos" w:hAnsi="Aptos" w:eastAsia="Aptos"/>
          <w:b w:val="0"/>
          <w:i w:val="0"/>
          <w:color w:val="0A1628"/>
          <w:sz w:val="20"/>
        </w:rPr>
        <w:t xml:space="preserve">For delivery charge </w:t>
      </w:r>
      <w:r>
        <w:rPr>
          <w:rFonts w:ascii="Consolas" w:hAnsi="Consolas" w:eastAsia="Consolas"/>
          <w:b w:val="0"/>
          <w:i w:val="0"/>
          <w:color w:val="0A1628"/>
          <w:sz w:val="17"/>
          <w:shd w:fill="EEF2F6"/>
        </w:rPr>
        <w:t>D</w:t>
      </w:r>
      <w:r>
        <w:rPr>
          <w:rFonts w:ascii="Aptos" w:hAnsi="Aptos" w:eastAsia="Aptos"/>
          <w:b w:val="0"/>
          <w:i w:val="0"/>
          <w:color w:val="0A1628"/>
          <w:sz w:val="20"/>
        </w:rPr>
        <w: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HQ sender gross share       = 55% x D</w:t>
              <w:br/>
              <w:t>NPT last-mile gross share   = 45% x D</w:t>
              <w:br/>
              <w:t>NPT management fee          = 10% x NPT gross share</w:t>
              <w:br/>
              <w:t>NPT net operational share   = 90% x NPT gross share</w:t>
              <w:br/>
              <w:t>HQ total before adjustments = HQ sender share + NPT management fee</w:t>
            </w:r>
          </w:p>
        </w:tc>
      </w:tr>
    </w:tbl>
    <w:p>
      <w:pPr>
        <w:spacing w:after="0"/>
      </w:pPr>
    </w:p>
    <w:p>
      <w:r>
        <w:rPr>
          <w:rFonts w:ascii="Aptos" w:hAnsi="Aptos" w:eastAsia="Aptos"/>
          <w:b w:val="0"/>
          <w:i w:val="0"/>
          <w:color w:val="0A1628"/>
          <w:sz w:val="20"/>
        </w:rPr>
        <w:t xml:space="preserve">Example for </w:t>
      </w:r>
      <w:r>
        <w:rPr>
          <w:rFonts w:ascii="Consolas" w:hAnsi="Consolas" w:eastAsia="Consolas"/>
          <w:b w:val="0"/>
          <w:i w:val="0"/>
          <w:color w:val="0A1628"/>
          <w:sz w:val="17"/>
          <w:shd w:fill="EEF2F6"/>
        </w:rPr>
        <w:t>D = 6,000 MMK</w:t>
      </w:r>
      <w:r>
        <w:rPr>
          <w:rFonts w:ascii="Aptos" w:hAnsi="Aptos" w:eastAsia="Aptos"/>
          <w:b w:val="0"/>
          <w:i w:val="0"/>
          <w:color w:val="0A1628"/>
          <w:sz w:val="20"/>
        </w:rPr>
        <w: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HQ sender gross share       = 3,300</w:t>
              <w:br/>
              <w:t>NPT last-mile gross share   = 2,700</w:t>
              <w:br/>
              <w:t>NPT management fee          =   270</w:t>
              <w:br/>
              <w:t>NPT net share               = 2,430</w:t>
              <w:br/>
              <w:t>HQ settlement revenue       = 3,570</w:t>
              <w:br/>
              <w:t>Total                       = 6,000</w:t>
            </w:r>
          </w:p>
        </w:tc>
      </w:tr>
    </w:tbl>
    <w:p>
      <w:pPr>
        <w:spacing w:after="0"/>
      </w:pPr>
    </w:p>
    <w:p>
      <w:pPr>
        <w:pStyle w:val="Heading4"/>
        <w:keepNext/>
      </w:pPr>
      <w:r>
        <w:rPr>
          <w:rFonts w:ascii="Aptos" w:hAnsi="Aptos" w:eastAsia="Aptos"/>
          <w:b w:val="0"/>
          <w:i w:val="0"/>
          <w:color w:val="0A1628"/>
          <w:sz w:val="20"/>
        </w:rPr>
        <w:t>9.3.2 Naypyitaw sends; Head Office performs last mile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sender_party_type      = BRANCH</w:t>
              <w:br/>
              <w:t>sender_party_code      = NPT</w:t>
              <w:br/>
              <w:t>receiver_party_type    = HEAD_OFFICE</w:t>
              <w:br/>
              <w:t>receiver_party_code    = YGN-HQ</w:t>
            </w:r>
          </w:p>
        </w:tc>
      </w:tr>
    </w:tbl>
    <w:p>
      <w:pPr>
        <w:spacing w:after="0"/>
      </w:pPr>
    </w:p>
    <w:p>
      <w:r>
        <w:rPr>
          <w:rFonts w:ascii="Aptos" w:hAnsi="Aptos" w:eastAsia="Aptos"/>
          <w:b w:val="0"/>
          <w:i w:val="0"/>
          <w:color w:val="0A1628"/>
          <w:sz w:val="20"/>
        </w:rPr>
        <w:t xml:space="preserve">For delivery charge </w:t>
      </w:r>
      <w:r>
        <w:rPr>
          <w:rFonts w:ascii="Consolas" w:hAnsi="Consolas" w:eastAsia="Consolas"/>
          <w:b w:val="0"/>
          <w:i w:val="0"/>
          <w:color w:val="0A1628"/>
          <w:sz w:val="17"/>
          <w:shd w:fill="EEF2F6"/>
        </w:rPr>
        <w:t>D</w:t>
      </w:r>
      <w:r>
        <w:rPr>
          <w:rFonts w:ascii="Aptos" w:hAnsi="Aptos" w:eastAsia="Aptos"/>
          <w:b w:val="0"/>
          <w:i w:val="0"/>
          <w:color w:val="0A1628"/>
          <w:sz w:val="20"/>
        </w:rPr>
        <w: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NPT sender gross share      = 55% x D</w:t>
              <w:br/>
              <w:t>HQ last-mile gross share    = 45% x D</w:t>
              <w:br/>
              <w:t>NPT management fee          = 10% x NPT gross share</w:t>
              <w:br/>
              <w:t>NPT net operational share   = 90% x NPT gross share</w:t>
              <w:br/>
              <w:t>HQ total before adjustments = HQ last-mile share + NPT management fee</w:t>
            </w:r>
          </w:p>
        </w:tc>
      </w:tr>
    </w:tbl>
    <w:p>
      <w:pPr>
        <w:spacing w:after="0"/>
      </w:pPr>
    </w:p>
    <w:p>
      <w:r>
        <w:rPr>
          <w:rFonts w:ascii="Aptos" w:hAnsi="Aptos" w:eastAsia="Aptos"/>
          <w:b w:val="0"/>
          <w:i w:val="0"/>
          <w:color w:val="0A1628"/>
          <w:sz w:val="20"/>
        </w:rPr>
        <w:t xml:space="preserve">Example for </w:t>
      </w:r>
      <w:r>
        <w:rPr>
          <w:rFonts w:ascii="Consolas" w:hAnsi="Consolas" w:eastAsia="Consolas"/>
          <w:b w:val="0"/>
          <w:i w:val="0"/>
          <w:color w:val="0A1628"/>
          <w:sz w:val="17"/>
          <w:shd w:fill="EEF2F6"/>
        </w:rPr>
        <w:t>D = 6,000 MMK</w:t>
      </w:r>
      <w:r>
        <w:rPr>
          <w:rFonts w:ascii="Aptos" w:hAnsi="Aptos" w:eastAsia="Aptos"/>
          <w:b w:val="0"/>
          <w:i w:val="0"/>
          <w:color w:val="0A1628"/>
          <w:sz w:val="20"/>
        </w:rPr>
        <w: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NPT sender gross share      = 3,300</w:t>
              <w:br/>
              <w:t>HQ last-mile gross share    = 2,700</w:t>
              <w:br/>
              <w:t>NPT management fee          =   330</w:t>
              <w:br/>
              <w:t>NPT net share               = 2,970</w:t>
              <w:br/>
              <w:t>HQ settlement revenue       = 3,030</w:t>
              <w:br/>
              <w:t>Total                       = 6,000</w:t>
            </w:r>
          </w:p>
        </w:tc>
      </w:tr>
    </w:tbl>
    <w:p>
      <w:pPr>
        <w:spacing w:after="0"/>
      </w:pPr>
    </w:p>
    <w:p>
      <w:pPr>
        <w:pStyle w:val="Heading4"/>
        <w:keepNext/>
      </w:pPr>
      <w:r>
        <w:rPr>
          <w:rFonts w:ascii="Aptos" w:hAnsi="Aptos" w:eastAsia="Aptos"/>
          <w:b w:val="0"/>
          <w:i w:val="0"/>
          <w:color w:val="0A1628"/>
          <w:sz w:val="20"/>
        </w:rPr>
        <w:t>9.3.3 Future branch-to-branch scenario</w:t>
      </w:r>
    </w:p>
    <w:p>
      <w:r>
        <w:rPr>
          <w:rFonts w:ascii="Aptos" w:hAnsi="Aptos" w:eastAsia="Aptos"/>
          <w:b w:val="0"/>
          <w:i w:val="0"/>
          <w:color w:val="0A1628"/>
          <w:sz w:val="20"/>
        </w:rPr>
        <w:t>When two non-HQ branches participate, both branch shares incur the 10% management fee.</w:t>
      </w:r>
    </w:p>
    <w:p>
      <w:r>
        <w:rPr>
          <w:rFonts w:ascii="Aptos" w:hAnsi="Aptos" w:eastAsia="Aptos"/>
          <w:b w:val="0"/>
          <w:i w:val="0"/>
          <w:color w:val="0A1628"/>
          <w:sz w:val="20"/>
        </w:rPr>
        <w:t xml:space="preserve">For delivery charge </w:t>
      </w:r>
      <w:r>
        <w:rPr>
          <w:rFonts w:ascii="Consolas" w:hAnsi="Consolas" w:eastAsia="Consolas"/>
          <w:b w:val="0"/>
          <w:i w:val="0"/>
          <w:color w:val="0A1628"/>
          <w:sz w:val="17"/>
          <w:shd w:fill="EEF2F6"/>
        </w:rPr>
        <w:t>D</w:t>
      </w:r>
      <w:r>
        <w:rPr>
          <w:rFonts w:ascii="Aptos" w:hAnsi="Aptos" w:eastAsia="Aptos"/>
          <w:b w:val="0"/>
          <w:i w:val="0"/>
          <w:color w:val="0A1628"/>
          <w:sz w:val="20"/>
        </w:rPr>
        <w: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sender branch net     = 55% x D x 90%</w:t>
              <w:br/>
              <w:t>receiver branch net   = 45% x D x 90%</w:t>
              <w:br/>
              <w:t>HQ management fee     = 10% x (55% x D) + 10% x (45% x D)</w:t>
              <w:br/>
              <w:t xml:space="preserve">                      = 10% x D</w:t>
            </w:r>
          </w:p>
        </w:tc>
      </w:tr>
    </w:tbl>
    <w:p>
      <w:pPr>
        <w:spacing w:after="0"/>
      </w:pPr>
    </w:p>
    <w:p>
      <w:r>
        <w:rPr>
          <w:rFonts w:ascii="Aptos" w:hAnsi="Aptos" w:eastAsia="Aptos"/>
          <w:b w:val="0"/>
          <w:i w:val="0"/>
          <w:color w:val="0A1628"/>
          <w:sz w:val="20"/>
        </w:rPr>
        <w:t>This rule must be available in the engine but disabled from production selection until another branch settlement agreement is approved.</w:t>
      </w:r>
    </w:p>
    <w:p>
      <w:pPr>
        <w:pStyle w:val="Heading3"/>
        <w:keepNext/>
      </w:pPr>
      <w:r>
        <w:rPr>
          <w:rFonts w:ascii="Aptos" w:hAnsi="Aptos" w:eastAsia="Aptos"/>
          <w:b w:val="0"/>
          <w:i w:val="0"/>
          <w:color w:val="0A1628"/>
          <w:sz w:val="20"/>
        </w:rPr>
        <w:t>9.4 Revenue Basis</w:t>
      </w:r>
    </w:p>
    <w:p>
      <w:r>
        <w:rPr>
          <w:rFonts w:ascii="Aptos" w:hAnsi="Aptos" w:eastAsia="Aptos"/>
          <w:b w:val="0"/>
          <w:i w:val="0"/>
          <w:color w:val="0A1628"/>
          <w:sz w:val="20"/>
        </w:rPr>
        <w:t xml:space="preserve">The 55/45 split must use the approved </w:t>
      </w:r>
      <w:r>
        <w:rPr>
          <w:rFonts w:ascii="Aptos" w:hAnsi="Aptos" w:eastAsia="Aptos"/>
          <w:b/>
          <w:i w:val="0"/>
          <w:color w:val="0A1628"/>
          <w:sz w:val="20"/>
        </w:rPr>
        <w:t>branch-shareable delivery revenue</w:t>
      </w:r>
      <w:r>
        <w:rPr>
          <w:rFonts w:ascii="Aptos" w:hAnsi="Aptos" w:eastAsia="Aptos"/>
          <w:b w:val="0"/>
          <w:i w:val="0"/>
          <w:color w:val="0A1628"/>
          <w:sz w:val="20"/>
        </w:rPr>
        <w:t>, not the full receiver collection and not the item price.</w:t>
      </w:r>
    </w:p>
    <w:p>
      <w:r>
        <w:rPr>
          <w:rFonts w:ascii="Aptos" w:hAnsi="Aptos" w:eastAsia="Aptos"/>
          <w:b w:val="0"/>
          <w:i w:val="0"/>
          <w:color w:val="0A1628"/>
          <w:sz w:val="20"/>
        </w:rPr>
        <w:t>Recommended field: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shareable_delivery_revenue_mmk</w:t>
            </w:r>
          </w:p>
        </w:tc>
      </w:tr>
    </w:tbl>
    <w:p>
      <w:pPr>
        <w:spacing w:after="0"/>
      </w:pPr>
    </w:p>
    <w:p>
      <w:r>
        <w:rPr>
          <w:rFonts w:ascii="Aptos" w:hAnsi="Aptos" w:eastAsia="Aptos"/>
          <w:b w:val="0"/>
          <w:i w:val="0"/>
          <w:color w:val="0A1628"/>
          <w:sz w:val="20"/>
        </w:rPr>
        <w:t>Default calculation: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shareable_delivery_revenue_mmk =</w:t>
              <w:br/>
              <w:t xml:space="preserve">  net_system_delivery_charge</w:t>
              <w:br/>
              <w:t xml:space="preserve">  + branch_shareable_surcharges</w:t>
            </w:r>
          </w:p>
        </w:tc>
      </w:tr>
    </w:tbl>
    <w:p>
      <w:pPr>
        <w:spacing w:after="0"/>
      </w:pPr>
    </w:p>
    <w:p>
      <w:r>
        <w:rPr>
          <w:rFonts w:ascii="Aptos" w:hAnsi="Aptos" w:eastAsia="Aptos"/>
          <w:b w:val="0"/>
          <w:i w:val="0"/>
          <w:color w:val="0A1628"/>
          <w:sz w:val="20"/>
        </w:rPr>
        <w:t>The following must be explicitly configured as shareable or non-shareable:</w:t>
      </w:r>
    </w:p>
    <w:p>
      <w:pPr>
        <w:pStyle w:val="ListBullet"/>
        <w:ind w:left="0"/>
      </w:pPr>
      <w:r>
        <w:rPr>
          <w:rFonts w:ascii="Aptos" w:hAnsi="Aptos" w:eastAsia="Aptos"/>
          <w:b w:val="0"/>
          <w:i w:val="0"/>
          <w:color w:val="0A1628"/>
          <w:sz w:val="20"/>
        </w:rPr>
        <w:t>Extra-weight surcharge.</w:t>
      </w:r>
    </w:p>
    <w:p>
      <w:pPr>
        <w:pStyle w:val="ListBullet"/>
        <w:ind w:left="0"/>
      </w:pPr>
      <w:r>
        <w:rPr>
          <w:rFonts w:ascii="Aptos" w:hAnsi="Aptos" w:eastAsia="Aptos"/>
          <w:b w:val="0"/>
          <w:i w:val="0"/>
          <w:color w:val="0A1628"/>
          <w:sz w:val="20"/>
        </w:rPr>
        <w:t>CBM surcharge.</w:t>
      </w:r>
    </w:p>
    <w:p>
      <w:pPr>
        <w:pStyle w:val="ListBullet"/>
        <w:ind w:left="0"/>
      </w:pPr>
      <w:r>
        <w:rPr>
          <w:rFonts w:ascii="Aptos" w:hAnsi="Aptos" w:eastAsia="Aptos"/>
          <w:b w:val="0"/>
          <w:i w:val="0"/>
          <w:color w:val="0A1628"/>
          <w:sz w:val="20"/>
        </w:rPr>
        <w:t>Remote-area surcharge.</w:t>
      </w:r>
    </w:p>
    <w:p>
      <w:pPr>
        <w:pStyle w:val="ListBullet"/>
        <w:ind w:left="0"/>
      </w:pPr>
      <w:r>
        <w:rPr>
          <w:rFonts w:ascii="Aptos" w:hAnsi="Aptos" w:eastAsia="Aptos"/>
          <w:b w:val="0"/>
          <w:i w:val="0"/>
          <w:color w:val="0A1628"/>
          <w:sz w:val="20"/>
        </w:rPr>
        <w:t>Redelivery charge.</w:t>
      </w:r>
    </w:p>
    <w:p>
      <w:pPr>
        <w:pStyle w:val="ListBullet"/>
        <w:ind w:left="0"/>
      </w:pPr>
      <w:r>
        <w:rPr>
          <w:rFonts w:ascii="Aptos" w:hAnsi="Aptos" w:eastAsia="Aptos"/>
          <w:b w:val="0"/>
          <w:i w:val="0"/>
          <w:color w:val="0A1628"/>
          <w:sz w:val="20"/>
        </w:rPr>
        <w:t>Return charge.</w:t>
      </w:r>
    </w:p>
    <w:p>
      <w:pPr>
        <w:pStyle w:val="ListBullet"/>
        <w:ind w:left="0"/>
      </w:pPr>
      <w:r>
        <w:rPr>
          <w:rFonts w:ascii="Aptos" w:hAnsi="Aptos" w:eastAsia="Aptos"/>
          <w:b w:val="0"/>
          <w:i w:val="0"/>
          <w:color w:val="0A1628"/>
          <w:sz w:val="20"/>
        </w:rPr>
        <w:t>Handling charge.</w:t>
      </w:r>
    </w:p>
    <w:p>
      <w:pPr>
        <w:pStyle w:val="ListBullet"/>
        <w:ind w:left="0"/>
      </w:pPr>
      <w:r>
        <w:rPr>
          <w:rFonts w:ascii="Aptos" w:hAnsi="Aptos" w:eastAsia="Aptos"/>
          <w:b w:val="0"/>
          <w:i w:val="0"/>
          <w:color w:val="0A1628"/>
          <w:sz w:val="20"/>
        </w:rPr>
        <w:t>Insurance.</w:t>
      </w:r>
    </w:p>
    <w:p>
      <w:pPr>
        <w:pStyle w:val="ListBullet"/>
        <w:ind w:left="0"/>
      </w:pPr>
      <w:r>
        <w:rPr>
          <w:rFonts w:ascii="Aptos" w:hAnsi="Aptos" w:eastAsia="Aptos"/>
          <w:b w:val="0"/>
          <w:i w:val="0"/>
          <w:color w:val="0A1628"/>
          <w:sz w:val="20"/>
        </w:rPr>
        <w:t>Merchant-declared delivery excess.</w:t>
      </w:r>
    </w:p>
    <w:p>
      <w:pPr>
        <w:pStyle w:val="ListBullet"/>
        <w:ind w:left="0"/>
      </w:pPr>
      <w:r>
        <w:rPr>
          <w:rFonts w:ascii="Aptos" w:hAnsi="Aptos" w:eastAsia="Aptos"/>
          <w:b w:val="0"/>
          <w:i w:val="0"/>
          <w:color w:val="0A1628"/>
          <w:sz w:val="20"/>
        </w:rPr>
        <w:t>Company-owned additional customer charge.</w:t>
      </w:r>
    </w:p>
    <w:p>
      <w:r>
        <w:rPr>
          <w:rFonts w:ascii="Aptos" w:hAnsi="Aptos" w:eastAsia="Aptos"/>
          <w:b w:val="0"/>
          <w:i w:val="0"/>
          <w:color w:val="0A1628"/>
          <w:sz w:val="20"/>
        </w:rPr>
        <w:t xml:space="preserve">Until configuration is approved, only </w:t>
      </w:r>
      <w:r>
        <w:rPr>
          <w:rFonts w:ascii="Consolas" w:hAnsi="Consolas" w:eastAsia="Consolas"/>
          <w:b w:val="0"/>
          <w:i w:val="0"/>
          <w:color w:val="0A1628"/>
          <w:sz w:val="17"/>
          <w:shd w:fill="EEF2F6"/>
        </w:rPr>
        <w:t>net_system_delivery_charge</w:t>
      </w:r>
      <w:r>
        <w:rPr>
          <w:rFonts w:ascii="Aptos" w:hAnsi="Aptos" w:eastAsia="Aptos"/>
          <w:b w:val="0"/>
          <w:i w:val="0"/>
          <w:color w:val="0A1628"/>
          <w:sz w:val="20"/>
        </w:rPr>
        <w:t xml:space="preserve"> is shareable.</w:t>
      </w:r>
    </w:p>
    <w:p>
      <w:r>
        <w:rPr>
          <w:rFonts w:ascii="Aptos" w:hAnsi="Aptos" w:eastAsia="Aptos"/>
          <w:b w:val="0"/>
          <w:i w:val="0"/>
          <w:color w:val="0A1628"/>
          <w:sz w:val="20"/>
        </w:rPr>
        <w:t>Merchant-declared delivery excess or shortfall remains part of merchant settlement and must not automatically enter the branch 55/45 revenue split.</w:t>
      </w:r>
    </w:p>
    <w:p>
      <w:pPr>
        <w:pStyle w:val="Heading3"/>
        <w:keepNext/>
      </w:pPr>
      <w:r>
        <w:rPr>
          <w:rFonts w:ascii="Aptos" w:hAnsi="Aptos" w:eastAsia="Aptos"/>
          <w:b w:val="0"/>
          <w:i w:val="0"/>
          <w:color w:val="0A1628"/>
          <w:sz w:val="20"/>
        </w:rPr>
        <w:t>9.5 COD Settlement</w:t>
      </w:r>
    </w:p>
    <w:p>
      <w:r>
        <w:rPr>
          <w:rFonts w:ascii="Aptos" w:hAnsi="Aptos" w:eastAsia="Aptos"/>
          <w:b w:val="0"/>
          <w:i w:val="0"/>
          <w:color w:val="0A1628"/>
          <w:sz w:val="20"/>
        </w:rPr>
        <w:t>COD settlement and delivery-revenue sharing are separate calculations.</w:t>
      </w:r>
    </w:p>
    <w:p>
      <w:pPr>
        <w:pStyle w:val="Heading4"/>
        <w:keepNext/>
      </w:pPr>
      <w:r>
        <w:rPr>
          <w:rFonts w:ascii="Aptos" w:hAnsi="Aptos" w:eastAsia="Aptos"/>
          <w:b w:val="0"/>
          <w:i w:val="0"/>
          <w:color w:val="0A1628"/>
          <w:sz w:val="20"/>
        </w:rPr>
        <w:t>9.5.1 Gross COD custody</w:t>
      </w:r>
    </w:p>
    <w:p>
      <w:r>
        <w:rPr>
          <w:rFonts w:ascii="Aptos" w:hAnsi="Aptos" w:eastAsia="Aptos"/>
          <w:b w:val="0"/>
          <w:i w:val="0"/>
          <w:color w:val="0A1628"/>
          <w:sz w:val="20"/>
        </w:rPr>
        <w:t>Store: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customer_total_collected</w:t>
              <w:br/>
              <w:t>item_price_component</w:t>
              <w:br/>
              <w:t>merchant_delivery_component</w:t>
              <w:br/>
              <w:t>additional_customer_charge</w:t>
              <w:br/>
              <w:t>cod_custody_holder</w:t>
              <w:br/>
              <w:t>cod_collected_at</w:t>
              <w:br/>
              <w:t>cod_remitted_amount</w:t>
              <w:br/>
              <w:t>cod_remitted_at</w:t>
              <w:br/>
              <w:t>cod_remittance_reference</w:t>
              <w:br/>
              <w:t>cod_shortage</w:t>
              <w:br/>
              <w:t>cod_overage</w:t>
            </w:r>
          </w:p>
        </w:tc>
      </w:tr>
    </w:tbl>
    <w:p>
      <w:pPr>
        <w:spacing w:after="0"/>
      </w:pPr>
    </w:p>
    <w:p>
      <w:pPr>
        <w:pStyle w:val="Heading4"/>
        <w:keepNext/>
      </w:pPr>
      <w:r>
        <w:rPr>
          <w:rFonts w:ascii="Aptos" w:hAnsi="Aptos" w:eastAsia="Aptos"/>
          <w:b w:val="0"/>
          <w:i w:val="0"/>
          <w:color w:val="0A1628"/>
          <w:sz w:val="20"/>
        </w:rPr>
        <w:t>9.5.2 Merchant payable</w:t>
      </w:r>
    </w:p>
    <w:p>
      <w:r>
        <w:rPr>
          <w:rFonts w:ascii="Aptos" w:hAnsi="Aptos" w:eastAsia="Aptos"/>
          <w:b w:val="0"/>
          <w:i w:val="0"/>
          <w:color w:val="0A1628"/>
          <w:sz w:val="20"/>
        </w:rPr>
        <w:t>Use the existing backend merchant-settlement result: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merchant_final_settlement_amount</w:t>
            </w:r>
          </w:p>
        </w:tc>
      </w:tr>
    </w:tbl>
    <w:p>
      <w:pPr>
        <w:spacing w:after="0"/>
      </w:pPr>
    </w:p>
    <w:p>
      <w:r>
        <w:rPr>
          <w:rFonts w:ascii="Aptos" w:hAnsi="Aptos" w:eastAsia="Aptos"/>
          <w:b w:val="0"/>
          <w:i w:val="0"/>
          <w:color w:val="0A1628"/>
          <w:sz w:val="20"/>
        </w:rPr>
        <w:t>The branch share must never be deducted from the merchant's item amount.</w:t>
      </w:r>
    </w:p>
    <w:p>
      <w:pPr>
        <w:pStyle w:val="Heading4"/>
        <w:keepNext/>
      </w:pPr>
      <w:r>
        <w:rPr>
          <w:rFonts w:ascii="Aptos" w:hAnsi="Aptos" w:eastAsia="Aptos"/>
          <w:b w:val="0"/>
          <w:i w:val="0"/>
          <w:color w:val="0A1628"/>
          <w:sz w:val="20"/>
        </w:rPr>
        <w:t>9.5.3 COD remittance requirement</w:t>
      </w:r>
    </w:p>
    <w:p>
      <w:r>
        <w:rPr>
          <w:rFonts w:ascii="Aptos" w:hAnsi="Aptos" w:eastAsia="Aptos"/>
          <w:b w:val="0"/>
          <w:i w:val="0"/>
          <w:color w:val="0A1628"/>
          <w:sz w:val="20"/>
        </w:rPr>
        <w:t>A branch settlement batch cannot be finalized unless: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branch_recorded_customer_collection</w:t>
              <w:br/>
              <w:t>= head_office_confirmed_remittance</w:t>
              <w:br/>
              <w:t>+ approved_refunds</w:t>
              <w:br/>
              <w:t>+ approved_shortages</w:t>
              <w:br/>
              <w:t>- approved_overages</w:t>
            </w:r>
          </w:p>
        </w:tc>
      </w:tr>
    </w:tbl>
    <w:p>
      <w:pPr>
        <w:spacing w:after="0"/>
      </w:pPr>
    </w:p>
    <w:p>
      <w:r>
        <w:rPr>
          <w:rFonts w:ascii="Aptos" w:hAnsi="Aptos" w:eastAsia="Aptos"/>
          <w:b w:val="0"/>
          <w:i w:val="0"/>
          <w:color w:val="0A1628"/>
          <w:sz w:val="20"/>
        </w:rPr>
        <w:t xml:space="preserve">Any difference opens </w:t>
      </w:r>
      <w:r>
        <w:rPr>
          <w:rFonts w:ascii="Consolas" w:hAnsi="Consolas" w:eastAsia="Consolas"/>
          <w:b w:val="0"/>
          <w:i w:val="0"/>
          <w:color w:val="0A1628"/>
          <w:sz w:val="17"/>
          <w:shd w:fill="EEF2F6"/>
        </w:rPr>
        <w:t>COD_REMITTANCE_MISMATCH</w:t>
      </w:r>
      <w:r>
        <w:rPr>
          <w:rFonts w:ascii="Aptos" w:hAnsi="Aptos" w:eastAsia="Aptos"/>
          <w:b w:val="0"/>
          <w:i w:val="0"/>
          <w:color w:val="0A1628"/>
          <w:sz w:val="20"/>
        </w:rPr>
        <w:t>.</w:t>
      </w:r>
    </w:p>
    <w:p>
      <w:pPr>
        <w:pStyle w:val="Heading4"/>
        <w:keepNext/>
      </w:pPr>
      <w:r>
        <w:rPr>
          <w:rFonts w:ascii="Aptos" w:hAnsi="Aptos" w:eastAsia="Aptos"/>
          <w:b w:val="0"/>
          <w:i w:val="0"/>
          <w:color w:val="0A1628"/>
          <w:sz w:val="20"/>
        </w:rPr>
        <w:t>9.5.4 Netting policy</w:t>
      </w:r>
    </w:p>
    <w:p>
      <w:r>
        <w:rPr>
          <w:rFonts w:ascii="Aptos" w:hAnsi="Aptos" w:eastAsia="Aptos"/>
          <w:b w:val="0"/>
          <w:i w:val="0"/>
          <w:color w:val="0A1628"/>
          <w:sz w:val="20"/>
        </w:rPr>
        <w:t>Phase 1 should use gross accounting:</w:t>
      </w:r>
    </w:p>
    <w:p>
      <w:pPr>
        <w:pStyle w:val="ListBullet"/>
        <w:ind w:left="0"/>
      </w:pPr>
      <w:r>
        <w:rPr>
          <w:rFonts w:ascii="Aptos" w:hAnsi="Aptos" w:eastAsia="Aptos"/>
          <w:b w:val="0"/>
          <w:i w:val="0"/>
          <w:color w:val="0A1628"/>
          <w:sz w:val="20"/>
        </w:rPr>
        <w:t>Branch remits the full COD/customer collection owed to Head Office.</w:t>
      </w:r>
    </w:p>
    <w:p>
      <w:pPr>
        <w:pStyle w:val="ListBullet"/>
        <w:ind w:left="0"/>
      </w:pPr>
      <w:r>
        <w:rPr>
          <w:rFonts w:ascii="Aptos" w:hAnsi="Aptos" w:eastAsia="Aptos"/>
          <w:b w:val="0"/>
          <w:i w:val="0"/>
          <w:color w:val="0A1628"/>
          <w:sz w:val="20"/>
        </w:rPr>
        <w:t>Head Office separately pays the approved branch net revenue share.</w:t>
      </w:r>
    </w:p>
    <w:p>
      <w:r>
        <w:rPr>
          <w:rFonts w:ascii="Aptos" w:hAnsi="Aptos" w:eastAsia="Aptos"/>
          <w:b w:val="0"/>
          <w:i w:val="0"/>
          <w:color w:val="0A1628"/>
          <w:sz w:val="20"/>
        </w:rPr>
        <w:t>Do not silently net branch revenue against COD remittance.</w:t>
      </w:r>
    </w:p>
    <w:p>
      <w:r>
        <w:rPr>
          <w:rFonts w:ascii="Aptos" w:hAnsi="Aptos" w:eastAsia="Aptos"/>
          <w:b w:val="0"/>
          <w:i w:val="0"/>
          <w:color w:val="0A1628"/>
          <w:sz w:val="20"/>
        </w:rPr>
        <w:t>If net settlement is introduced later, it must be an explicit batch-level method with separate gross ledger entries.</w:t>
      </w:r>
    </w:p>
    <w:p>
      <w:pPr>
        <w:pStyle w:val="Heading3"/>
        <w:keepNext/>
      </w:pPr>
      <w:r>
        <w:rPr>
          <w:rFonts w:ascii="Aptos" w:hAnsi="Aptos" w:eastAsia="Aptos"/>
          <w:b w:val="0"/>
          <w:i w:val="0"/>
          <w:color w:val="0A1628"/>
          <w:sz w:val="20"/>
        </w:rPr>
        <w:t>9.6 Prepaid Settlement</w:t>
      </w:r>
    </w:p>
    <w:p>
      <w:r>
        <w:rPr>
          <w:rFonts w:ascii="Aptos" w:hAnsi="Aptos" w:eastAsia="Aptos"/>
          <w:b w:val="0"/>
          <w:i w:val="0"/>
          <w:color w:val="0A1628"/>
          <w:sz w:val="20"/>
        </w:rPr>
        <w:t>For prepaid parcels: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customer_total_collected_at_delivery = 0</w:t>
            </w:r>
          </w:p>
        </w:tc>
      </w:tr>
    </w:tbl>
    <w:p>
      <w:pPr>
        <w:spacing w:after="0"/>
      </w:pPr>
    </w:p>
    <w:p>
      <w:r>
        <w:rPr>
          <w:rFonts w:ascii="Aptos" w:hAnsi="Aptos" w:eastAsia="Aptos"/>
          <w:b w:val="0"/>
          <w:i w:val="0"/>
          <w:color w:val="0A1628"/>
          <w:sz w:val="20"/>
        </w:rPr>
        <w:t>The delivery fee remains eligible for the 55/45 split when:</w:t>
      </w:r>
    </w:p>
    <w:p>
      <w:pPr>
        <w:pStyle w:val="ListBullet"/>
        <w:ind w:left="0"/>
      </w:pPr>
      <w:r>
        <w:rPr>
          <w:rFonts w:ascii="Aptos" w:hAnsi="Aptos" w:eastAsia="Aptos"/>
          <w:b w:val="0"/>
          <w:i w:val="0"/>
          <w:color w:val="0A1628"/>
          <w:sz w:val="20"/>
        </w:rPr>
        <w:t>The parcel is delivered.</w:t>
      </w:r>
    </w:p>
    <w:p>
      <w:pPr>
        <w:pStyle w:val="ListBullet"/>
        <w:ind w:left="0"/>
      </w:pPr>
      <w:r>
        <w:rPr>
          <w:rFonts w:ascii="Aptos" w:hAnsi="Aptos" w:eastAsia="Aptos"/>
          <w:b w:val="0"/>
          <w:i w:val="0"/>
          <w:color w:val="0A1628"/>
          <w:sz w:val="20"/>
        </w:rPr>
        <w:t>The fee was successfully collected or recognized by Britium.</w:t>
      </w:r>
    </w:p>
    <w:p>
      <w:pPr>
        <w:pStyle w:val="ListBullet"/>
        <w:ind w:left="0"/>
      </w:pPr>
      <w:r>
        <w:rPr>
          <w:rFonts w:ascii="Aptos" w:hAnsi="Aptos" w:eastAsia="Aptos"/>
          <w:b w:val="0"/>
          <w:i w:val="0"/>
          <w:color w:val="0A1628"/>
          <w:sz w:val="20"/>
        </w:rPr>
        <w:t>The parcel has valid route-side assignments.</w:t>
      </w:r>
    </w:p>
    <w:p>
      <w:pPr>
        <w:pStyle w:val="ListBullet"/>
        <w:ind w:left="0"/>
      </w:pPr>
      <w:r>
        <w:rPr>
          <w:rFonts w:ascii="Aptos" w:hAnsi="Aptos" w:eastAsia="Aptos"/>
          <w:b w:val="0"/>
          <w:i w:val="0"/>
          <w:color w:val="0A1628"/>
          <w:sz w:val="20"/>
        </w:rPr>
        <w:t>No financial hold is open.</w:t>
      </w:r>
    </w:p>
    <w:p>
      <w:r>
        <w:rPr>
          <w:rFonts w:ascii="Aptos" w:hAnsi="Aptos" w:eastAsia="Aptos"/>
          <w:b w:val="0"/>
          <w:i w:val="0"/>
          <w:color w:val="0A1628"/>
          <w:sz w:val="20"/>
        </w:rPr>
        <w:t>The settlement screen must show:</w:t>
      </w:r>
    </w:p>
    <w:p>
      <w:pPr>
        <w:pStyle w:val="ListBullet"/>
        <w:ind w:left="0"/>
      </w:pPr>
      <w:r>
        <w:rPr>
          <w:rFonts w:ascii="Aptos" w:hAnsi="Aptos" w:eastAsia="Aptos"/>
          <w:b w:val="0"/>
          <w:i w:val="0"/>
          <w:color w:val="0A1628"/>
          <w:sz w:val="20"/>
        </w:rPr>
        <w:t>Prepaid delivery revenue.</w:t>
      </w:r>
    </w:p>
    <w:p>
      <w:pPr>
        <w:pStyle w:val="ListBullet"/>
        <w:ind w:left="0"/>
      </w:pPr>
      <w:r>
        <w:rPr>
          <w:rFonts w:ascii="Aptos" w:hAnsi="Aptos" w:eastAsia="Aptos"/>
          <w:b w:val="0"/>
          <w:i w:val="0"/>
          <w:color w:val="0A1628"/>
          <w:sz w:val="20"/>
        </w:rPr>
        <w:t>Sender gross share.</w:t>
      </w:r>
    </w:p>
    <w:p>
      <w:pPr>
        <w:pStyle w:val="ListBullet"/>
        <w:ind w:left="0"/>
      </w:pPr>
      <w:r>
        <w:rPr>
          <w:rFonts w:ascii="Aptos" w:hAnsi="Aptos" w:eastAsia="Aptos"/>
          <w:b w:val="0"/>
          <w:i w:val="0"/>
          <w:color w:val="0A1628"/>
          <w:sz w:val="20"/>
        </w:rPr>
        <w:t>Receiver gross share.</w:t>
      </w:r>
    </w:p>
    <w:p>
      <w:pPr>
        <w:pStyle w:val="ListBullet"/>
        <w:ind w:left="0"/>
      </w:pPr>
      <w:r>
        <w:rPr>
          <w:rFonts w:ascii="Aptos" w:hAnsi="Aptos" w:eastAsia="Aptos"/>
          <w:b w:val="0"/>
          <w:i w:val="0"/>
          <w:color w:val="0A1628"/>
          <w:sz w:val="20"/>
        </w:rPr>
        <w:t>Branch management fee.</w:t>
      </w:r>
    </w:p>
    <w:p>
      <w:pPr>
        <w:pStyle w:val="ListBullet"/>
        <w:ind w:left="0"/>
      </w:pPr>
      <w:r>
        <w:rPr>
          <w:rFonts w:ascii="Aptos" w:hAnsi="Aptos" w:eastAsia="Aptos"/>
          <w:b w:val="0"/>
          <w:i w:val="0"/>
          <w:color w:val="0A1628"/>
          <w:sz w:val="20"/>
        </w:rPr>
        <w:t>Branch net share.</w:t>
      </w:r>
    </w:p>
    <w:p>
      <w:pPr>
        <w:pStyle w:val="ListBullet"/>
        <w:ind w:left="0"/>
      </w:pPr>
      <w:r>
        <w:rPr>
          <w:rFonts w:ascii="Aptos" w:hAnsi="Aptos" w:eastAsia="Aptos"/>
          <w:b w:val="0"/>
          <w:i w:val="0"/>
          <w:color w:val="0A1628"/>
          <w:sz w:val="20"/>
        </w:rPr>
        <w:t>Penalties and adjustments.</w:t>
      </w:r>
    </w:p>
    <w:p>
      <w:pPr>
        <w:pStyle w:val="ListBullet"/>
        <w:ind w:left="0"/>
      </w:pPr>
      <w:r>
        <w:rPr>
          <w:rFonts w:ascii="Aptos" w:hAnsi="Aptos" w:eastAsia="Aptos"/>
          <w:b w:val="0"/>
          <w:i w:val="0"/>
          <w:color w:val="0A1628"/>
          <w:sz w:val="20"/>
        </w:rPr>
        <w:t>Final Head Office payable or receivable.</w:t>
      </w:r>
    </w:p>
    <w:p>
      <w:pPr>
        <w:pStyle w:val="Heading3"/>
        <w:keepNext/>
      </w:pPr>
      <w:r>
        <w:rPr>
          <w:rFonts w:ascii="Aptos" w:hAnsi="Aptos" w:eastAsia="Aptos"/>
          <w:b w:val="0"/>
          <w:i w:val="0"/>
          <w:color w:val="0A1628"/>
          <w:sz w:val="20"/>
        </w:rPr>
        <w:t>9.7 Penalties</w:t>
      </w:r>
    </w:p>
    <w:p>
      <w:r>
        <w:rPr>
          <w:rFonts w:ascii="Aptos" w:hAnsi="Aptos" w:eastAsia="Aptos"/>
          <w:b w:val="0"/>
          <w:i w:val="0"/>
          <w:color w:val="0A1628"/>
          <w:sz w:val="20"/>
        </w:rPr>
        <w:t>Supported penalty types: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CARGO_DAMAGE</w:t>
              <w:br/>
              <w:t>CARGO_LOSS</w:t>
              <w:br/>
              <w:t>WRONG_HANDOFF</w:t>
              <w:br/>
              <w:t>MISSING_POD</w:t>
              <w:br/>
              <w:t>LATE_COD_REMITTANCE</w:t>
              <w:br/>
              <w:t>COD_SHORTAGE</w:t>
              <w:br/>
              <w:t>UNAUTHORIZED_CHARGE</w:t>
              <w:br/>
              <w:t>SLA_BREACH</w:t>
              <w:br/>
              <w:t>RETURN_PROCESS_FAILURE</w:t>
              <w:br/>
              <w:t>OTHER</w:t>
            </w:r>
          </w:p>
        </w:tc>
      </w:tr>
    </w:tbl>
    <w:p>
      <w:pPr>
        <w:spacing w:after="0"/>
      </w:pPr>
    </w:p>
    <w:p>
      <w:r>
        <w:rPr>
          <w:rFonts w:ascii="Aptos" w:hAnsi="Aptos" w:eastAsia="Aptos"/>
          <w:b w:val="0"/>
          <w:i w:val="0"/>
          <w:color w:val="0A1628"/>
          <w:sz w:val="20"/>
        </w:rPr>
        <w:t>Each penalty requires:</w:t>
      </w:r>
    </w:p>
    <w:p>
      <w:pPr>
        <w:pStyle w:val="ListBullet"/>
        <w:ind w:left="0"/>
      </w:pPr>
      <w:r>
        <w:rPr>
          <w:rFonts w:ascii="Aptos" w:hAnsi="Aptos" w:eastAsia="Aptos"/>
          <w:b w:val="0"/>
          <w:i w:val="0"/>
          <w:color w:val="0A1628"/>
          <w:sz w:val="20"/>
        </w:rPr>
        <w:t>Responsible party.</w:t>
      </w:r>
    </w:p>
    <w:p>
      <w:pPr>
        <w:pStyle w:val="ListBullet"/>
        <w:ind w:left="0"/>
      </w:pPr>
      <w:r>
        <w:rPr>
          <w:rFonts w:ascii="Aptos" w:hAnsi="Aptos" w:eastAsia="Aptos"/>
          <w:b w:val="0"/>
          <w:i w:val="0"/>
          <w:color w:val="0A1628"/>
          <w:sz w:val="20"/>
        </w:rPr>
        <w:t>Way ID.</w:t>
      </w:r>
    </w:p>
    <w:p>
      <w:pPr>
        <w:pStyle w:val="ListBullet"/>
        <w:ind w:left="0"/>
      </w:pPr>
      <w:r>
        <w:rPr>
          <w:rFonts w:ascii="Aptos" w:hAnsi="Aptos" w:eastAsia="Aptos"/>
          <w:b w:val="0"/>
          <w:i w:val="0"/>
          <w:color w:val="0A1628"/>
          <w:sz w:val="20"/>
        </w:rPr>
        <w:t>Settlement batch or period.</w:t>
      </w:r>
    </w:p>
    <w:p>
      <w:pPr>
        <w:pStyle w:val="ListBullet"/>
        <w:ind w:left="0"/>
      </w:pPr>
      <w:r>
        <w:rPr>
          <w:rFonts w:ascii="Aptos" w:hAnsi="Aptos" w:eastAsia="Aptos"/>
          <w:b w:val="0"/>
          <w:i w:val="0"/>
          <w:color w:val="0A1628"/>
          <w:sz w:val="20"/>
        </w:rPr>
        <w:t>Penalty type.</w:t>
      </w:r>
    </w:p>
    <w:p>
      <w:pPr>
        <w:pStyle w:val="ListBullet"/>
        <w:ind w:left="0"/>
      </w:pPr>
      <w:r>
        <w:rPr>
          <w:rFonts w:ascii="Aptos" w:hAnsi="Aptos" w:eastAsia="Aptos"/>
          <w:b w:val="0"/>
          <w:i w:val="0"/>
          <w:color w:val="0A1628"/>
          <w:sz w:val="20"/>
        </w:rPr>
        <w:t>Claimed amount.</w:t>
      </w:r>
    </w:p>
    <w:p>
      <w:pPr>
        <w:pStyle w:val="ListBullet"/>
        <w:ind w:left="0"/>
      </w:pPr>
      <w:r>
        <w:rPr>
          <w:rFonts w:ascii="Aptos" w:hAnsi="Aptos" w:eastAsia="Aptos"/>
          <w:b w:val="0"/>
          <w:i w:val="0"/>
          <w:color w:val="0A1628"/>
          <w:sz w:val="20"/>
        </w:rPr>
        <w:t>Approved amount.</w:t>
      </w:r>
    </w:p>
    <w:p>
      <w:pPr>
        <w:pStyle w:val="ListBullet"/>
        <w:ind w:left="0"/>
      </w:pPr>
      <w:r>
        <w:rPr>
          <w:rFonts w:ascii="Aptos" w:hAnsi="Aptos" w:eastAsia="Aptos"/>
          <w:b w:val="0"/>
          <w:i w:val="0"/>
          <w:color w:val="0A1628"/>
          <w:sz w:val="20"/>
        </w:rPr>
        <w:t>Reason.</w:t>
      </w:r>
    </w:p>
    <w:p>
      <w:pPr>
        <w:pStyle w:val="ListBullet"/>
        <w:ind w:left="0"/>
      </w:pPr>
      <w:r>
        <w:rPr>
          <w:rFonts w:ascii="Aptos" w:hAnsi="Aptos" w:eastAsia="Aptos"/>
          <w:b w:val="0"/>
          <w:i w:val="0"/>
          <w:color w:val="0A1628"/>
          <w:sz w:val="20"/>
        </w:rPr>
        <w:t>Evidence.</w:t>
      </w:r>
    </w:p>
    <w:p>
      <w:pPr>
        <w:pStyle w:val="ListBullet"/>
        <w:ind w:left="0"/>
      </w:pPr>
      <w:r>
        <w:rPr>
          <w:rFonts w:ascii="Aptos" w:hAnsi="Aptos" w:eastAsia="Aptos"/>
          <w:b w:val="0"/>
          <w:i w:val="0"/>
          <w:color w:val="0A1628"/>
          <w:sz w:val="20"/>
        </w:rPr>
        <w:t>Requested by.</w:t>
      </w:r>
    </w:p>
    <w:p>
      <w:pPr>
        <w:pStyle w:val="ListBullet"/>
        <w:ind w:left="0"/>
      </w:pPr>
      <w:r>
        <w:rPr>
          <w:rFonts w:ascii="Aptos" w:hAnsi="Aptos" w:eastAsia="Aptos"/>
          <w:b w:val="0"/>
          <w:i w:val="0"/>
          <w:color w:val="0A1628"/>
          <w:sz w:val="20"/>
        </w:rPr>
        <w:t>Approved by.</w:t>
      </w:r>
    </w:p>
    <w:p>
      <w:pPr>
        <w:pStyle w:val="ListBullet"/>
        <w:ind w:left="0"/>
      </w:pPr>
      <w:r>
        <w:rPr>
          <w:rFonts w:ascii="Aptos" w:hAnsi="Aptos" w:eastAsia="Aptos"/>
          <w:b w:val="0"/>
          <w:i w:val="0"/>
          <w:color w:val="0A1628"/>
          <w:sz w:val="20"/>
        </w:rPr>
        <w:t>Dispute status.</w:t>
      </w:r>
    </w:p>
    <w:p>
      <w:pPr>
        <w:pStyle w:val="ListBullet"/>
        <w:ind w:left="0"/>
      </w:pPr>
      <w:r>
        <w:rPr>
          <w:rFonts w:ascii="Aptos" w:hAnsi="Aptos" w:eastAsia="Aptos"/>
          <w:b w:val="0"/>
          <w:i w:val="0"/>
          <w:color w:val="0A1628"/>
          <w:sz w:val="20"/>
        </w:rPr>
        <w:t>Effective date.</w:t>
      </w:r>
    </w:p>
    <w:p>
      <w:r>
        <w:rPr>
          <w:rFonts w:ascii="Aptos" w:hAnsi="Aptos" w:eastAsia="Aptos"/>
          <w:b w:val="0"/>
          <w:i w:val="0"/>
          <w:color w:val="0A1628"/>
          <w:sz w:val="20"/>
        </w:rPr>
        <w:t>A penalty must not overwrite the original shipment or revenue-share calculation. It must be a separate ledger adjustment.</w:t>
      </w:r>
    </w:p>
    <w:p>
      <w:pPr>
        <w:pStyle w:val="Heading3"/>
        <w:keepNext/>
      </w:pPr>
      <w:r>
        <w:rPr>
          <w:rFonts w:ascii="Aptos" w:hAnsi="Aptos" w:eastAsia="Aptos"/>
          <w:b w:val="0"/>
          <w:i w:val="0"/>
          <w:color w:val="0A1628"/>
          <w:sz w:val="20"/>
        </w:rPr>
        <w:t>9.8 Settlement Eligibility</w:t>
      </w:r>
    </w:p>
    <w:p>
      <w:r>
        <w:rPr>
          <w:rFonts w:ascii="Aptos" w:hAnsi="Aptos" w:eastAsia="Aptos"/>
          <w:b w:val="0"/>
          <w:i w:val="0"/>
          <w:color w:val="0A1628"/>
          <w:sz w:val="20"/>
        </w:rPr>
        <w:t>A parcel is eligible only when: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branch_code = NPT</w:t>
              <w:br/>
              <w:t>parcel_status = DELIVERED</w:t>
              <w:br/>
              <w:t>financial_validation_status = OK</w:t>
              <w:br/>
              <w:t>lineage_valid = true</w:t>
              <w:br/>
              <w:t>shareable_delivery_revenue_mmk is not null</w:t>
              <w:br/>
              <w:t>sender_party_code is not null</w:t>
              <w:br/>
              <w:t>receiver_party_code is not null</w:t>
              <w:br/>
              <w:t>pod_status = VERIFIED</w:t>
              <w:br/>
              <w:t>financial_hold = false</w:t>
              <w:br/>
              <w:t>branch_settlement_batch_id is null</w:t>
            </w:r>
          </w:p>
        </w:tc>
      </w:tr>
    </w:tbl>
    <w:p>
      <w:pPr>
        <w:spacing w:after="0"/>
      </w:pPr>
    </w:p>
    <w:p>
      <w:r>
        <w:rPr>
          <w:rFonts w:ascii="Aptos" w:hAnsi="Aptos" w:eastAsia="Aptos"/>
          <w:b w:val="0"/>
          <w:i w:val="0"/>
          <w:color w:val="0A1628"/>
          <w:sz w:val="20"/>
        </w:rPr>
        <w:t>For COD parcels also require: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cod_custody_status in (</w:t>
              <w:br/>
              <w:t xml:space="preserve">  BRANCH_CONFIRMED,</w:t>
              <w:br/>
              <w:t xml:space="preserve">  REMITTED_TO_HQ,</w:t>
              <w:br/>
              <w:t xml:space="preserve">  HQ_CONFIRMED</w:t>
              <w:br/>
              <w:t>)</w:t>
            </w:r>
          </w:p>
        </w:tc>
      </w:tr>
    </w:tbl>
    <w:p>
      <w:pPr>
        <w:spacing w:after="0"/>
      </w:pPr>
    </w:p>
    <w:p>
      <w:pPr>
        <w:pStyle w:val="Heading3"/>
        <w:keepNext/>
      </w:pPr>
      <w:r>
        <w:rPr>
          <w:rFonts w:ascii="Aptos" w:hAnsi="Aptos" w:eastAsia="Aptos"/>
          <w:b w:val="0"/>
          <w:i w:val="0"/>
          <w:color w:val="0A1628"/>
          <w:sz w:val="20"/>
        </w:rPr>
        <w:t>9.9 Settlement Batch</w:t>
      </w:r>
    </w:p>
    <w:p>
      <w:r>
        <w:rPr>
          <w:rFonts w:ascii="Aptos" w:hAnsi="Aptos" w:eastAsia="Aptos"/>
          <w:b w:val="0"/>
          <w:i w:val="0"/>
          <w:color w:val="0A1628"/>
          <w:sz w:val="20"/>
        </w:rPr>
        <w:t>Create one batch per branch and settlement period.</w:t>
      </w:r>
    </w:p>
    <w:p>
      <w:r>
        <w:rPr>
          <w:rFonts w:ascii="Aptos" w:hAnsi="Aptos" w:eastAsia="Aptos"/>
          <w:b w:val="0"/>
          <w:i w:val="0"/>
          <w:color w:val="0A1628"/>
          <w:sz w:val="20"/>
        </w:rPr>
        <w:t>Recommended batch number: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NPT-SET-YYYYMMDD-####</w:t>
            </w:r>
          </w:p>
        </w:tc>
      </w:tr>
    </w:tbl>
    <w:p>
      <w:pPr>
        <w:spacing w:after="0"/>
      </w:pPr>
    </w:p>
    <w:p>
      <w:r>
        <w:rPr>
          <w:rFonts w:ascii="Aptos" w:hAnsi="Aptos" w:eastAsia="Aptos"/>
          <w:b w:val="0"/>
          <w:i w:val="0"/>
          <w:color w:val="0A1628"/>
          <w:sz w:val="20"/>
        </w:rPr>
        <w:t>Statuses: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DRAFT</w:t>
              <w:br/>
              <w:t>UNDER_REVIEW</w:t>
              <w:br/>
              <w:t>PENDING_BRANCH_CONFIRMATION</w:t>
              <w:br/>
              <w:t>PENDING_HQ_APPROVAL</w:t>
              <w:br/>
              <w:t>APPROVED</w:t>
              <w:br/>
              <w:t>PAYMENT_PROCESSING</w:t>
              <w:br/>
              <w:t>PARTIALLY_SETTLED</w:t>
              <w:br/>
              <w:t>SETTLED</w:t>
              <w:br/>
              <w:t>DISPUTED</w:t>
              <w:br/>
              <w:t>REJECTED</w:t>
              <w:br/>
              <w:t>CANCELLED</w:t>
              <w:br/>
              <w:t>REOPENED</w:t>
            </w:r>
          </w:p>
        </w:tc>
      </w:tr>
    </w:tbl>
    <w:p>
      <w:pPr>
        <w:spacing w:after="0"/>
      </w:pPr>
    </w:p>
    <w:p>
      <w:r>
        <w:rPr>
          <w:rFonts w:ascii="Aptos" w:hAnsi="Aptos" w:eastAsia="Aptos"/>
          <w:b w:val="0"/>
          <w:i w:val="0"/>
          <w:color w:val="0A1628"/>
          <w:sz w:val="20"/>
        </w:rPr>
        <w:t>Batch totals: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total_parcels</w:t>
              <w:br/>
              <w:t>total_cod_collected</w:t>
              <w:br/>
              <w:t>total_cod_remitted</w:t>
              <w:br/>
              <w:t>total_prepaid_revenue</w:t>
              <w:br/>
              <w:t>total_shareable_delivery_revenue</w:t>
              <w:br/>
              <w:t>sender_gross_share</w:t>
              <w:br/>
              <w:t>receiver_gross_share</w:t>
              <w:br/>
              <w:t>branch_gross_share</w:t>
              <w:br/>
              <w:t>branch_management_fee</w:t>
              <w:br/>
              <w:t>branch_penalties</w:t>
              <w:br/>
              <w:t>branch_credits</w:t>
              <w:br/>
              <w:t>branch_deductions</w:t>
              <w:br/>
              <w:t>branch_net_share</w:t>
              <w:br/>
              <w:t>hq_operational_share</w:t>
              <w:br/>
              <w:t>hq_management_fee_revenue</w:t>
              <w:br/>
              <w:t>hq_net_receivable_or_payable</w:t>
            </w:r>
          </w:p>
        </w:tc>
      </w:tr>
    </w:tbl>
    <w:p>
      <w:pPr>
        <w:spacing w:after="0"/>
      </w:pPr>
    </w:p>
    <w:p>
      <w:pPr>
        <w:pStyle w:val="Heading3"/>
        <w:keepNext/>
      </w:pPr>
      <w:r>
        <w:rPr>
          <w:rFonts w:ascii="Aptos" w:hAnsi="Aptos" w:eastAsia="Aptos"/>
          <w:b w:val="0"/>
          <w:i w:val="0"/>
          <w:color w:val="0A1628"/>
          <w:sz w:val="20"/>
        </w:rPr>
        <w:t>9.10 Settlement Direction</w:t>
      </w:r>
    </w:p>
    <w:p>
      <w:r>
        <w:rPr>
          <w:rFonts w:ascii="Aptos" w:hAnsi="Aptos" w:eastAsia="Aptos"/>
          <w:b w:val="0"/>
          <w:i w:val="0"/>
          <w:color w:val="0A1628"/>
          <w:sz w:val="20"/>
        </w:rPr>
        <w:t>From Head Office's perspective: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if branch_net_share &gt; branch_cash_due_to_hq_adjustments:</w:t>
              <w:br/>
              <w:t xml:space="preserve">  settlement_direction = HQ_PAYS_BRANCH</w:t>
              <w:br/>
              <w:br/>
              <w:t>if branch_net_share &lt; branch_cash_due_to_hq_adjustments:</w:t>
              <w:br/>
              <w:t xml:space="preserve">  settlement_direction = BRANCH_PAYS_HQ</w:t>
              <w:br/>
              <w:br/>
              <w:t>if equal:</w:t>
              <w:br/>
              <w:t xml:space="preserve">  settlement_direction = NO_NET_PAYMENT</w:t>
            </w:r>
          </w:p>
        </w:tc>
      </w:tr>
    </w:tbl>
    <w:p>
      <w:pPr>
        <w:spacing w:after="0"/>
      </w:pPr>
    </w:p>
    <w:p>
      <w:r>
        <w:rPr>
          <w:rFonts w:ascii="Aptos" w:hAnsi="Aptos" w:eastAsia="Aptos"/>
          <w:b w:val="0"/>
          <w:i w:val="0"/>
          <w:color w:val="0A1628"/>
          <w:sz w:val="20"/>
        </w:rPr>
        <w:t>Gross COD remittance must still remain visible independently from this net direction.</w:t>
      </w:r>
    </w:p>
    <w:p>
      <w:pPr>
        <w:pStyle w:val="Heading3"/>
        <w:keepNext/>
      </w:pPr>
      <w:r>
        <w:rPr>
          <w:rFonts w:ascii="Aptos" w:hAnsi="Aptos" w:eastAsia="Aptos"/>
          <w:b w:val="0"/>
          <w:i w:val="0"/>
          <w:color w:val="0A1628"/>
          <w:sz w:val="20"/>
        </w:rPr>
        <w:t>9.11 Required Database Models</w:t>
      </w:r>
    </w:p>
    <w:p>
      <w:pPr>
        <w:pStyle w:val="Heading4"/>
        <w:keepNext/>
      </w:pPr>
      <w:r>
        <w:rPr>
          <w:rFonts w:ascii="Aptos" w:hAnsi="Aptos" w:eastAsia="Aptos"/>
          <w:b w:val="0"/>
          <w:i w:val="0"/>
          <w:color w:val="0A1628"/>
          <w:sz w:val="20"/>
        </w:rPr>
        <w:t>9.11.1 Rule master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be_branch_settlement_rule_master</w:t>
            </w:r>
          </w:p>
        </w:tc>
      </w:tr>
    </w:tbl>
    <w:p>
      <w:pPr>
        <w:spacing w:after="0"/>
      </w:pPr>
    </w:p>
    <w:p>
      <w:r>
        <w:rPr>
          <w:rFonts w:ascii="Aptos" w:hAnsi="Aptos" w:eastAsia="Aptos"/>
          <w:b w:val="0"/>
          <w:i w:val="0"/>
          <w:color w:val="0A1628"/>
          <w:sz w:val="20"/>
        </w:rPr>
        <w:t>Fields: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rule_id</w:t>
              <w:br/>
              <w:t>rule_code</w:t>
              <w:br/>
              <w:t>branch_code</w:t>
              <w:br/>
              <w:t>origin_party_type</w:t>
              <w:br/>
              <w:t>origin_party_code</w:t>
              <w:br/>
              <w:t>destination_party_type</w:t>
              <w:br/>
              <w:t>destination_party_code</w:t>
              <w:br/>
              <w:t>sender_share_percent</w:t>
              <w:br/>
              <w:t>receiver_share_percent</w:t>
              <w:br/>
              <w:t>branch_management_fee_percent</w:t>
              <w:br/>
              <w:t>share_extra_weight</w:t>
              <w:br/>
              <w:t>share_cbm</w:t>
              <w:br/>
              <w:t>share_other_surcharge</w:t>
              <w:br/>
              <w:t>effective_from</w:t>
              <w:br/>
              <w:t>effective_to</w:t>
              <w:br/>
              <w:t>status</w:t>
              <w:br/>
              <w:t>version</w:t>
              <w:br/>
              <w:t>approved_by</w:t>
              <w:br/>
              <w:t>approved_at</w:t>
            </w:r>
          </w:p>
        </w:tc>
      </w:tr>
    </w:tbl>
    <w:p>
      <w:pPr>
        <w:spacing w:after="0"/>
      </w:pPr>
    </w:p>
    <w:p>
      <w:r>
        <w:rPr>
          <w:rFonts w:ascii="Aptos" w:hAnsi="Aptos" w:eastAsia="Aptos"/>
          <w:b w:val="0"/>
          <w:i w:val="0"/>
          <w:color w:val="0A1628"/>
          <w:sz w:val="20"/>
        </w:rPr>
        <w:t>Seed only: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rule_code = NPT_INTEROFFICE_55_45_MGMT10_V1</w:t>
              <w:br/>
              <w:t>branch_code = NPT</w:t>
              <w:br/>
              <w:t>sender_share_percent = 55</w:t>
              <w:br/>
              <w:t>receiver_share_percent = 45</w:t>
              <w:br/>
              <w:t>branch_management_fee_percent = 10</w:t>
              <w:br/>
              <w:t>status = ACTIVE</w:t>
            </w:r>
          </w:p>
        </w:tc>
      </w:tr>
    </w:tbl>
    <w:p>
      <w:pPr>
        <w:spacing w:after="0"/>
      </w:pPr>
    </w:p>
    <w:p>
      <w:pPr>
        <w:pStyle w:val="Heading4"/>
        <w:keepNext/>
      </w:pPr>
      <w:r>
        <w:rPr>
          <w:rFonts w:ascii="Aptos" w:hAnsi="Aptos" w:eastAsia="Aptos"/>
          <w:b w:val="0"/>
          <w:i w:val="0"/>
          <w:color w:val="0A1628"/>
          <w:sz w:val="20"/>
        </w:rPr>
        <w:t>9.11.2 Parcel calculation snapshot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be_branch_settlement_parcel_snapshot</w:t>
            </w:r>
          </w:p>
        </w:tc>
      </w:tr>
    </w:tbl>
    <w:p>
      <w:pPr>
        <w:spacing w:after="0"/>
      </w:pPr>
    </w:p>
    <w:p>
      <w:r>
        <w:rPr>
          <w:rFonts w:ascii="Aptos" w:hAnsi="Aptos" w:eastAsia="Aptos"/>
          <w:b w:val="0"/>
          <w:i w:val="0"/>
          <w:color w:val="0A1628"/>
          <w:sz w:val="20"/>
        </w:rPr>
        <w:t>Fields: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way_id</w:t>
              <w:br/>
              <w:t>branch_code</w:t>
              <w:br/>
              <w:t>rule_id</w:t>
              <w:br/>
              <w:t>rule_version</w:t>
              <w:br/>
              <w:t>shareable_delivery_revenue_mmk</w:t>
              <w:br/>
              <w:t>sender_party_type</w:t>
              <w:br/>
              <w:t>sender_party_code</w:t>
              <w:br/>
              <w:t>receiver_party_type</w:t>
              <w:br/>
              <w:t>receiver_party_code</w:t>
              <w:br/>
              <w:t>sender_gross_share</w:t>
              <w:br/>
              <w:t>receiver_gross_share</w:t>
              <w:br/>
              <w:t>sender_management_fee</w:t>
              <w:br/>
              <w:t>receiver_management_fee</w:t>
              <w:br/>
              <w:t>branch_gross_share</w:t>
              <w:br/>
              <w:t>branch_management_fee</w:t>
              <w:br/>
              <w:t>branch_net_share_before_adjustments</w:t>
              <w:br/>
              <w:t>calculated_at</w:t>
            </w:r>
          </w:p>
        </w:tc>
      </w:tr>
    </w:tbl>
    <w:p>
      <w:pPr>
        <w:spacing w:after="0"/>
      </w:pPr>
    </w:p>
    <w:p>
      <w:pPr>
        <w:pStyle w:val="Heading4"/>
        <w:keepNext/>
      </w:pPr>
      <w:r>
        <w:rPr>
          <w:rFonts w:ascii="Aptos" w:hAnsi="Aptos" w:eastAsia="Aptos"/>
          <w:b w:val="0"/>
          <w:i w:val="0"/>
          <w:color w:val="0A1628"/>
          <w:sz w:val="20"/>
        </w:rPr>
        <w:t>9.11.3 Batch and lines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be_branch_settlement_batches</w:t>
              <w:br/>
              <w:t>be_branch_settlement_batch_lines</w:t>
              <w:br/>
              <w:t>be_branch_settlement_adjustments</w:t>
              <w:br/>
              <w:t>be_branch_cod_remittances</w:t>
              <w:br/>
              <w:t>be_branch_settlement_payments</w:t>
            </w:r>
          </w:p>
        </w:tc>
      </w:tr>
    </w:tbl>
    <w:p>
      <w:pPr>
        <w:spacing w:after="0"/>
      </w:pPr>
    </w:p>
    <w:p>
      <w:pPr>
        <w:pStyle w:val="Heading3"/>
        <w:keepNext/>
      </w:pPr>
      <w:r>
        <w:rPr>
          <w:rFonts w:ascii="Aptos" w:hAnsi="Aptos" w:eastAsia="Aptos"/>
          <w:b w:val="0"/>
          <w:i w:val="0"/>
          <w:color w:val="0A1628"/>
          <w:sz w:val="20"/>
        </w:rPr>
        <w:t>9.12 Required RPCs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be_branch_settlement_snapshot_v1</w:t>
              <w:br/>
              <w:t>be_branch_settlement_calculate_parcel_v1</w:t>
              <w:br/>
              <w:t>be_branch_settlement_create_batch_v1</w:t>
              <w:br/>
              <w:t>be_branch_settlement_add_parcels_v1</w:t>
              <w:br/>
              <w:t>be_branch_settlement_remove_parcel_v1</w:t>
              <w:br/>
              <w:t>be_branch_settlement_submit_v1</w:t>
              <w:br/>
              <w:t>be_branch_settlement_branch_confirm_v1</w:t>
              <w:br/>
              <w:t>be_branch_settlement_hq_approve_v1</w:t>
              <w:br/>
              <w:t>be_branch_settlement_reject_v1</w:t>
              <w:br/>
              <w:t>be_branch_settlement_record_cod_remittance_v1</w:t>
              <w:br/>
              <w:t>be_branch_settlement_confirm_cod_remittance_v1</w:t>
              <w:br/>
              <w:t>be_branch_settlement_add_adjustment_v1</w:t>
              <w:br/>
              <w:t>be_branch_settlement_record_payment_v1</w:t>
              <w:br/>
              <w:t>be_branch_settlement_reopen_v1</w:t>
            </w:r>
          </w:p>
        </w:tc>
      </w:tr>
    </w:tbl>
    <w:p>
      <w:pPr>
        <w:spacing w:after="0"/>
      </w:pPr>
    </w:p>
    <w:p>
      <w:r>
        <w:rPr>
          <w:rFonts w:ascii="Aptos" w:hAnsi="Aptos" w:eastAsia="Aptos"/>
          <w:b w:val="0"/>
          <w:i w:val="0"/>
          <w:color w:val="0A1628"/>
          <w:sz w:val="20"/>
        </w:rPr>
        <w:t>All mutations must be security-definer RPCs with authenticated role checks, branch scope, maker-checker controls and audit logging.</w:t>
      </w:r>
    </w:p>
    <w:p>
      <w:pPr>
        <w:pStyle w:val="Heading3"/>
        <w:keepNext/>
      </w:pPr>
      <w:r>
        <w:rPr>
          <w:rFonts w:ascii="Aptos" w:hAnsi="Aptos" w:eastAsia="Aptos"/>
          <w:b w:val="0"/>
          <w:i w:val="0"/>
          <w:color w:val="0A1628"/>
          <w:sz w:val="20"/>
        </w:rPr>
        <w:t>9.13 Screen Requirements</w:t>
      </w:r>
    </w:p>
    <w:p>
      <w:r>
        <w:rPr>
          <w:rFonts w:ascii="Aptos" w:hAnsi="Aptos" w:eastAsia="Aptos"/>
          <w:b w:val="0"/>
          <w:i w:val="0"/>
          <w:color w:val="0A1628"/>
          <w:sz w:val="20"/>
        </w:rPr>
        <w:t>Replace the current basic COD and Finance tabs with a dedicated screen: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Branch &lt;-&gt; Head Office Settlement</w:t>
            </w:r>
          </w:p>
        </w:tc>
      </w:tr>
    </w:tbl>
    <w:p>
      <w:pPr>
        <w:spacing w:after="0"/>
      </w:pPr>
    </w:p>
    <w:p>
      <w:r>
        <w:rPr>
          <w:rFonts w:ascii="Aptos" w:hAnsi="Aptos" w:eastAsia="Aptos"/>
          <w:b w:val="0"/>
          <w:i w:val="0"/>
          <w:color w:val="0A1628"/>
          <w:sz w:val="20"/>
        </w:rPr>
        <w:t>Phase 1 branch selector must be fixed to:</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Naypyitaw Branch (NPT)</w:t>
            </w:r>
          </w:p>
        </w:tc>
      </w:tr>
    </w:tbl>
    <w:p>
      <w:pPr>
        <w:spacing w:after="0"/>
      </w:pPr>
    </w:p>
    <w:p>
      <w:r>
        <w:rPr>
          <w:rFonts w:ascii="Aptos" w:hAnsi="Aptos" w:eastAsia="Aptos"/>
          <w:b w:val="0"/>
          <w:i w:val="0"/>
          <w:color w:val="0A1628"/>
          <w:sz w:val="20"/>
        </w:rPr>
        <w:t>Do not allow Mandalay or other branches to create settlement batches until an active rule exists.</w:t>
      </w:r>
    </w:p>
    <w:p>
      <w:r>
        <w:rPr>
          <w:rFonts w:ascii="Aptos" w:hAnsi="Aptos" w:eastAsia="Aptos"/>
          <w:b w:val="0"/>
          <w:i w:val="0"/>
          <w:color w:val="0A1628"/>
          <w:sz w:val="20"/>
        </w:rPr>
        <w:t>Tabs:</w:t>
      </w:r>
    </w:p>
    <w:p>
      <w:pPr>
        <w:pStyle w:val="ListBullet"/>
        <w:ind w:left="0"/>
      </w:pPr>
      <w:r>
        <w:rPr>
          <w:rFonts w:ascii="Aptos" w:hAnsi="Aptos" w:eastAsia="Aptos"/>
          <w:b w:val="0"/>
          <w:i w:val="0"/>
          <w:color w:val="0A1628"/>
          <w:sz w:val="20"/>
        </w:rPr>
        <w:t>Overview</w:t>
      </w:r>
    </w:p>
    <w:p>
      <w:pPr>
        <w:pStyle w:val="ListBullet"/>
        <w:ind w:left="0"/>
      </w:pPr>
      <w:r>
        <w:rPr>
          <w:rFonts w:ascii="Aptos" w:hAnsi="Aptos" w:eastAsia="Aptos"/>
          <w:b w:val="0"/>
          <w:i w:val="0"/>
          <w:color w:val="0A1628"/>
          <w:sz w:val="20"/>
        </w:rPr>
        <w:t>Eligible Parcels</w:t>
      </w:r>
    </w:p>
    <w:p>
      <w:pPr>
        <w:pStyle w:val="ListBullet"/>
        <w:ind w:left="0"/>
      </w:pPr>
      <w:r>
        <w:rPr>
          <w:rFonts w:ascii="Aptos" w:hAnsi="Aptos" w:eastAsia="Aptos"/>
          <w:b w:val="0"/>
          <w:i w:val="0"/>
          <w:color w:val="0A1628"/>
          <w:sz w:val="20"/>
        </w:rPr>
        <w:t>COD Remittance</w:t>
      </w:r>
    </w:p>
    <w:p>
      <w:pPr>
        <w:pStyle w:val="ListBullet"/>
        <w:ind w:left="0"/>
      </w:pPr>
      <w:r>
        <w:rPr>
          <w:rFonts w:ascii="Aptos" w:hAnsi="Aptos" w:eastAsia="Aptos"/>
          <w:b w:val="0"/>
          <w:i w:val="0"/>
          <w:color w:val="0A1628"/>
          <w:sz w:val="20"/>
        </w:rPr>
        <w:t>Prepaid Revenue</w:t>
      </w:r>
    </w:p>
    <w:p>
      <w:pPr>
        <w:pStyle w:val="ListBullet"/>
        <w:ind w:left="0"/>
      </w:pPr>
      <w:r>
        <w:rPr>
          <w:rFonts w:ascii="Aptos" w:hAnsi="Aptos" w:eastAsia="Aptos"/>
          <w:b w:val="0"/>
          <w:i w:val="0"/>
          <w:color w:val="0A1628"/>
          <w:sz w:val="20"/>
        </w:rPr>
        <w:t>Settlement Batches</w:t>
      </w:r>
    </w:p>
    <w:p>
      <w:pPr>
        <w:pStyle w:val="ListBullet"/>
        <w:ind w:left="0"/>
      </w:pPr>
      <w:r>
        <w:rPr>
          <w:rFonts w:ascii="Aptos" w:hAnsi="Aptos" w:eastAsia="Aptos"/>
          <w:b w:val="0"/>
          <w:i w:val="0"/>
          <w:color w:val="0A1628"/>
          <w:sz w:val="20"/>
        </w:rPr>
        <w:t>Penalties &amp; Adjustments</w:t>
      </w:r>
    </w:p>
    <w:p>
      <w:pPr>
        <w:pStyle w:val="ListBullet"/>
        <w:ind w:left="0"/>
      </w:pPr>
      <w:r>
        <w:rPr>
          <w:rFonts w:ascii="Aptos" w:hAnsi="Aptos" w:eastAsia="Aptos"/>
          <w:b w:val="0"/>
          <w:i w:val="0"/>
          <w:color w:val="0A1628"/>
          <w:sz w:val="20"/>
        </w:rPr>
        <w:t>Payments</w:t>
      </w:r>
    </w:p>
    <w:p>
      <w:pPr>
        <w:pStyle w:val="ListBullet"/>
        <w:ind w:left="0"/>
      </w:pPr>
      <w:r>
        <w:rPr>
          <w:rFonts w:ascii="Aptos" w:hAnsi="Aptos" w:eastAsia="Aptos"/>
          <w:b w:val="0"/>
          <w:i w:val="0"/>
          <w:color w:val="0A1628"/>
          <w:sz w:val="20"/>
        </w:rPr>
        <w:t>Disputes</w:t>
      </w:r>
    </w:p>
    <w:p>
      <w:pPr>
        <w:pStyle w:val="ListBullet"/>
        <w:ind w:left="0"/>
      </w:pPr>
      <w:r>
        <w:rPr>
          <w:rFonts w:ascii="Aptos" w:hAnsi="Aptos" w:eastAsia="Aptos"/>
          <w:b w:val="0"/>
          <w:i w:val="0"/>
          <w:color w:val="0A1628"/>
          <w:sz w:val="20"/>
        </w:rPr>
        <w:t>Audit Log</w:t>
      </w:r>
    </w:p>
    <w:p>
      <w:pPr>
        <w:pStyle w:val="ListBullet"/>
        <w:ind w:left="0"/>
      </w:pPr>
      <w:r>
        <w:rPr>
          <w:rFonts w:ascii="Aptos" w:hAnsi="Aptos" w:eastAsia="Aptos"/>
          <w:b w:val="0"/>
          <w:i w:val="0"/>
          <w:color w:val="0A1628"/>
          <w:sz w:val="20"/>
        </w:rPr>
        <w:t>Rule Configuration - HQ only</w:t>
      </w:r>
    </w:p>
    <w:p>
      <w:r>
        <w:rPr>
          <w:rFonts w:ascii="Aptos" w:hAnsi="Aptos" w:eastAsia="Aptos"/>
          <w:b w:val="0"/>
          <w:i w:val="0"/>
          <w:color w:val="0A1628"/>
          <w:sz w:val="20"/>
        </w:rPr>
        <w:t>KPIs:</w:t>
      </w:r>
    </w:p>
    <w:p>
      <w:pPr>
        <w:pStyle w:val="ListBullet"/>
        <w:ind w:left="0"/>
      </w:pPr>
      <w:r>
        <w:rPr>
          <w:rFonts w:ascii="Aptos" w:hAnsi="Aptos" w:eastAsia="Aptos"/>
          <w:b w:val="0"/>
          <w:i w:val="0"/>
          <w:color w:val="0A1628"/>
          <w:sz w:val="20"/>
        </w:rPr>
        <w:t>Delivered eligible ways</w:t>
      </w:r>
    </w:p>
    <w:p>
      <w:pPr>
        <w:pStyle w:val="ListBullet"/>
        <w:ind w:left="0"/>
      </w:pPr>
      <w:r>
        <w:rPr>
          <w:rFonts w:ascii="Aptos" w:hAnsi="Aptos" w:eastAsia="Aptos"/>
          <w:b w:val="0"/>
          <w:i w:val="0"/>
          <w:color w:val="0A1628"/>
          <w:sz w:val="20"/>
        </w:rPr>
        <w:t>Total COD collected</w:t>
      </w:r>
    </w:p>
    <w:p>
      <w:pPr>
        <w:pStyle w:val="ListBullet"/>
        <w:ind w:left="0"/>
      </w:pPr>
      <w:r>
        <w:rPr>
          <w:rFonts w:ascii="Aptos" w:hAnsi="Aptos" w:eastAsia="Aptos"/>
          <w:b w:val="0"/>
          <w:i w:val="0"/>
          <w:color w:val="0A1628"/>
          <w:sz w:val="20"/>
        </w:rPr>
        <w:t>COD remitted</w:t>
      </w:r>
    </w:p>
    <w:p>
      <w:pPr>
        <w:pStyle w:val="ListBullet"/>
        <w:ind w:left="0"/>
      </w:pPr>
      <w:r>
        <w:rPr>
          <w:rFonts w:ascii="Aptos" w:hAnsi="Aptos" w:eastAsia="Aptos"/>
          <w:b w:val="0"/>
          <w:i w:val="0"/>
          <w:color w:val="0A1628"/>
          <w:sz w:val="20"/>
        </w:rPr>
        <w:t>COD outstanding</w:t>
      </w:r>
    </w:p>
    <w:p>
      <w:pPr>
        <w:pStyle w:val="ListBullet"/>
        <w:ind w:left="0"/>
      </w:pPr>
      <w:r>
        <w:rPr>
          <w:rFonts w:ascii="Aptos" w:hAnsi="Aptos" w:eastAsia="Aptos"/>
          <w:b w:val="0"/>
          <w:i w:val="0"/>
          <w:color w:val="0A1628"/>
          <w:sz w:val="20"/>
        </w:rPr>
        <w:t>Shareable delivery revenue</w:t>
      </w:r>
    </w:p>
    <w:p>
      <w:pPr>
        <w:pStyle w:val="ListBullet"/>
        <w:ind w:left="0"/>
      </w:pPr>
      <w:r>
        <w:rPr>
          <w:rFonts w:ascii="Aptos" w:hAnsi="Aptos" w:eastAsia="Aptos"/>
          <w:b w:val="0"/>
          <w:i w:val="0"/>
          <w:color w:val="0A1628"/>
          <w:sz w:val="20"/>
        </w:rPr>
        <w:t>NPT gross share</w:t>
      </w:r>
    </w:p>
    <w:p>
      <w:pPr>
        <w:pStyle w:val="ListBullet"/>
        <w:ind w:left="0"/>
      </w:pPr>
      <w:r>
        <w:rPr>
          <w:rFonts w:ascii="Aptos" w:hAnsi="Aptos" w:eastAsia="Aptos"/>
          <w:b w:val="0"/>
          <w:i w:val="0"/>
          <w:color w:val="0A1628"/>
          <w:sz w:val="20"/>
        </w:rPr>
        <w:t>NPT management fee</w:t>
      </w:r>
    </w:p>
    <w:p>
      <w:pPr>
        <w:pStyle w:val="ListBullet"/>
        <w:ind w:left="0"/>
      </w:pPr>
      <w:r>
        <w:rPr>
          <w:rFonts w:ascii="Aptos" w:hAnsi="Aptos" w:eastAsia="Aptos"/>
          <w:b w:val="0"/>
          <w:i w:val="0"/>
          <w:color w:val="0A1628"/>
          <w:sz w:val="20"/>
        </w:rPr>
        <w:t>NPT penalties</w:t>
      </w:r>
    </w:p>
    <w:p>
      <w:pPr>
        <w:pStyle w:val="ListBullet"/>
        <w:ind w:left="0"/>
      </w:pPr>
      <w:r>
        <w:rPr>
          <w:rFonts w:ascii="Aptos" w:hAnsi="Aptos" w:eastAsia="Aptos"/>
          <w:b w:val="0"/>
          <w:i w:val="0"/>
          <w:color w:val="0A1628"/>
          <w:sz w:val="20"/>
        </w:rPr>
        <w:t>NPT net payable</w:t>
      </w:r>
    </w:p>
    <w:p>
      <w:pPr>
        <w:pStyle w:val="ListBullet"/>
        <w:ind w:left="0"/>
      </w:pPr>
      <w:r>
        <w:rPr>
          <w:rFonts w:ascii="Aptos" w:hAnsi="Aptos" w:eastAsia="Aptos"/>
          <w:b w:val="0"/>
          <w:i w:val="0"/>
          <w:color w:val="0A1628"/>
          <w:sz w:val="20"/>
        </w:rPr>
        <w:t>Head Office revenue</w:t>
      </w:r>
    </w:p>
    <w:p>
      <w:pPr>
        <w:pStyle w:val="ListBullet"/>
        <w:ind w:left="0"/>
      </w:pPr>
      <w:r>
        <w:rPr>
          <w:rFonts w:ascii="Aptos" w:hAnsi="Aptos" w:eastAsia="Aptos"/>
          <w:b w:val="0"/>
          <w:i w:val="0"/>
          <w:color w:val="0A1628"/>
          <w:sz w:val="20"/>
        </w:rPr>
        <w:t>Open exceptions</w:t>
      </w:r>
    </w:p>
    <w:p>
      <w:r>
        <w:rPr>
          <w:rFonts w:ascii="Aptos" w:hAnsi="Aptos" w:eastAsia="Aptos"/>
          <w:b w:val="0"/>
          <w:i w:val="0"/>
          <w:color w:val="0A1628"/>
          <w:sz w:val="20"/>
        </w:rPr>
        <w:t>Parcel table columns:</w:t>
      </w:r>
    </w:p>
    <w:p>
      <w:pPr>
        <w:pStyle w:val="ListBullet"/>
        <w:ind w:left="0"/>
      </w:pPr>
      <w:r>
        <w:rPr>
          <w:rFonts w:ascii="Aptos" w:hAnsi="Aptos" w:eastAsia="Aptos"/>
          <w:b w:val="0"/>
          <w:i w:val="0"/>
          <w:color w:val="0A1628"/>
          <w:sz w:val="20"/>
        </w:rPr>
        <w:t>Way ID</w:t>
      </w:r>
    </w:p>
    <w:p>
      <w:pPr>
        <w:pStyle w:val="ListBullet"/>
        <w:ind w:left="0"/>
      </w:pPr>
      <w:r>
        <w:rPr>
          <w:rFonts w:ascii="Aptos" w:hAnsi="Aptos" w:eastAsia="Aptos"/>
          <w:b w:val="0"/>
          <w:i w:val="0"/>
          <w:color w:val="0A1628"/>
          <w:sz w:val="20"/>
        </w:rPr>
        <w:t>Delivery date</w:t>
      </w:r>
    </w:p>
    <w:p>
      <w:pPr>
        <w:pStyle w:val="ListBullet"/>
        <w:ind w:left="0"/>
      </w:pPr>
      <w:r>
        <w:rPr>
          <w:rFonts w:ascii="Aptos" w:hAnsi="Aptos" w:eastAsia="Aptos"/>
          <w:b w:val="0"/>
          <w:i w:val="0"/>
          <w:color w:val="0A1628"/>
          <w:sz w:val="20"/>
        </w:rPr>
        <w:t>Payment type</w:t>
      </w:r>
    </w:p>
    <w:p>
      <w:pPr>
        <w:pStyle w:val="ListBullet"/>
        <w:ind w:left="0"/>
      </w:pPr>
      <w:r>
        <w:rPr>
          <w:rFonts w:ascii="Aptos" w:hAnsi="Aptos" w:eastAsia="Aptos"/>
          <w:b w:val="0"/>
          <w:i w:val="0"/>
          <w:color w:val="0A1628"/>
          <w:sz w:val="20"/>
        </w:rPr>
        <w:t>Direction</w:t>
      </w:r>
    </w:p>
    <w:p>
      <w:pPr>
        <w:pStyle w:val="ListBullet"/>
        <w:ind w:left="0"/>
      </w:pPr>
      <w:r>
        <w:rPr>
          <w:rFonts w:ascii="Aptos" w:hAnsi="Aptos" w:eastAsia="Aptos"/>
          <w:b w:val="0"/>
          <w:i w:val="0"/>
          <w:color w:val="0A1628"/>
          <w:sz w:val="20"/>
        </w:rPr>
        <w:t>Sender side</w:t>
      </w:r>
    </w:p>
    <w:p>
      <w:pPr>
        <w:pStyle w:val="ListBullet"/>
        <w:ind w:left="0"/>
      </w:pPr>
      <w:r>
        <w:rPr>
          <w:rFonts w:ascii="Aptos" w:hAnsi="Aptos" w:eastAsia="Aptos"/>
          <w:b w:val="0"/>
          <w:i w:val="0"/>
          <w:color w:val="0A1628"/>
          <w:sz w:val="20"/>
        </w:rPr>
        <w:t>Last-mile side</w:t>
      </w:r>
    </w:p>
    <w:p>
      <w:pPr>
        <w:pStyle w:val="ListBullet"/>
        <w:ind w:left="0"/>
      </w:pPr>
      <w:r>
        <w:rPr>
          <w:rFonts w:ascii="Aptos" w:hAnsi="Aptos" w:eastAsia="Aptos"/>
          <w:b w:val="0"/>
          <w:i w:val="0"/>
          <w:color w:val="0A1628"/>
          <w:sz w:val="20"/>
        </w:rPr>
        <w:t>Customer collection</w:t>
      </w:r>
    </w:p>
    <w:p>
      <w:pPr>
        <w:pStyle w:val="ListBullet"/>
        <w:ind w:left="0"/>
      </w:pPr>
      <w:r>
        <w:rPr>
          <w:rFonts w:ascii="Aptos" w:hAnsi="Aptos" w:eastAsia="Aptos"/>
          <w:b w:val="0"/>
          <w:i w:val="0"/>
          <w:color w:val="0A1628"/>
          <w:sz w:val="20"/>
        </w:rPr>
        <w:t>Shareable delivery revenue</w:t>
      </w:r>
    </w:p>
    <w:p>
      <w:pPr>
        <w:pStyle w:val="ListBullet"/>
        <w:ind w:left="0"/>
      </w:pPr>
      <w:r>
        <w:rPr>
          <w:rFonts w:ascii="Aptos" w:hAnsi="Aptos" w:eastAsia="Aptos"/>
          <w:b w:val="0"/>
          <w:i w:val="0"/>
          <w:color w:val="0A1628"/>
          <w:sz w:val="20"/>
        </w:rPr>
        <w:t>Sender 55% share</w:t>
      </w:r>
    </w:p>
    <w:p>
      <w:pPr>
        <w:pStyle w:val="ListBullet"/>
        <w:ind w:left="0"/>
      </w:pPr>
      <w:r>
        <w:rPr>
          <w:rFonts w:ascii="Aptos" w:hAnsi="Aptos" w:eastAsia="Aptos"/>
          <w:b w:val="0"/>
          <w:i w:val="0"/>
          <w:color w:val="0A1628"/>
          <w:sz w:val="20"/>
        </w:rPr>
        <w:t>Receiver 45% share</w:t>
      </w:r>
    </w:p>
    <w:p>
      <w:pPr>
        <w:pStyle w:val="ListBullet"/>
        <w:ind w:left="0"/>
      </w:pPr>
      <w:r>
        <w:rPr>
          <w:rFonts w:ascii="Aptos" w:hAnsi="Aptos" w:eastAsia="Aptos"/>
          <w:b w:val="0"/>
          <w:i w:val="0"/>
          <w:color w:val="0A1628"/>
          <w:sz w:val="20"/>
        </w:rPr>
        <w:t>NPT gross share</w:t>
      </w:r>
    </w:p>
    <w:p>
      <w:pPr>
        <w:pStyle w:val="ListBullet"/>
        <w:ind w:left="0"/>
      </w:pPr>
      <w:r>
        <w:rPr>
          <w:rFonts w:ascii="Aptos" w:hAnsi="Aptos" w:eastAsia="Aptos"/>
          <w:b w:val="0"/>
          <w:i w:val="0"/>
          <w:color w:val="0A1628"/>
          <w:sz w:val="20"/>
        </w:rPr>
        <w:t>NPT management fee</w:t>
      </w:r>
    </w:p>
    <w:p>
      <w:pPr>
        <w:pStyle w:val="ListBullet"/>
        <w:ind w:left="0"/>
      </w:pPr>
      <w:r>
        <w:rPr>
          <w:rFonts w:ascii="Aptos" w:hAnsi="Aptos" w:eastAsia="Aptos"/>
          <w:b w:val="0"/>
          <w:i w:val="0"/>
          <w:color w:val="0A1628"/>
          <w:sz w:val="20"/>
        </w:rPr>
        <w:t>Penalty</w:t>
      </w:r>
    </w:p>
    <w:p>
      <w:pPr>
        <w:pStyle w:val="ListBullet"/>
        <w:ind w:left="0"/>
      </w:pPr>
      <w:r>
        <w:rPr>
          <w:rFonts w:ascii="Aptos" w:hAnsi="Aptos" w:eastAsia="Aptos"/>
          <w:b w:val="0"/>
          <w:i w:val="0"/>
          <w:color w:val="0A1628"/>
          <w:sz w:val="20"/>
        </w:rPr>
        <w:t>NPT net share</w:t>
      </w:r>
    </w:p>
    <w:p>
      <w:pPr>
        <w:pStyle w:val="ListBullet"/>
        <w:ind w:left="0"/>
      </w:pPr>
      <w:r>
        <w:rPr>
          <w:rFonts w:ascii="Aptos" w:hAnsi="Aptos" w:eastAsia="Aptos"/>
          <w:b w:val="0"/>
          <w:i w:val="0"/>
          <w:color w:val="0A1628"/>
          <w:sz w:val="20"/>
        </w:rPr>
        <w:t>COD custody status</w:t>
      </w:r>
    </w:p>
    <w:p>
      <w:pPr>
        <w:pStyle w:val="ListBullet"/>
        <w:ind w:left="0"/>
      </w:pPr>
      <w:r>
        <w:rPr>
          <w:rFonts w:ascii="Aptos" w:hAnsi="Aptos" w:eastAsia="Aptos"/>
          <w:b w:val="0"/>
          <w:i w:val="0"/>
          <w:color w:val="0A1628"/>
          <w:sz w:val="20"/>
        </w:rPr>
        <w:t>Settlement status</w:t>
      </w:r>
    </w:p>
    <w:p>
      <w:pPr>
        <w:pStyle w:val="Heading3"/>
        <w:keepNext/>
      </w:pPr>
      <w:r>
        <w:rPr>
          <w:rFonts w:ascii="Aptos" w:hAnsi="Aptos" w:eastAsia="Aptos"/>
          <w:b w:val="0"/>
          <w:i w:val="0"/>
          <w:color w:val="0A1628"/>
          <w:sz w:val="20"/>
        </w:rPr>
        <w:t>9.14 Current Page Changes</w:t>
      </w:r>
    </w:p>
    <w:p>
      <w:r>
        <w:rPr>
          <w:rFonts w:ascii="Aptos" w:hAnsi="Aptos" w:eastAsia="Aptos"/>
          <w:b w:val="0"/>
          <w:i w:val="0"/>
          <w:color w:val="0A1628"/>
          <w:sz w:val="20"/>
        </w:rPr>
        <w:t>The existing page currently:</w:t>
      </w:r>
    </w:p>
    <w:p>
      <w:pPr>
        <w:pStyle w:val="ListBullet"/>
        <w:ind w:left="0"/>
      </w:pPr>
      <w:r>
        <w:rPr>
          <w:rFonts w:ascii="Aptos" w:hAnsi="Aptos" w:eastAsia="Aptos"/>
          <w:b w:val="0"/>
          <w:i w:val="0"/>
          <w:color w:val="0A1628"/>
          <w:sz w:val="20"/>
        </w:rPr>
        <w:t xml:space="preserve">Loads shipments directly from </w:t>
      </w:r>
      <w:r>
        <w:rPr>
          <w:rFonts w:ascii="Consolas" w:hAnsi="Consolas" w:eastAsia="Consolas"/>
          <w:b w:val="0"/>
          <w:i w:val="0"/>
          <w:color w:val="0A1628"/>
          <w:sz w:val="17"/>
          <w:shd w:fill="EEF2F6"/>
        </w:rPr>
        <w:t>branch_shipments</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Updates finance locks directly from the browser.</w:t>
      </w:r>
    </w:p>
    <w:p>
      <w:pPr>
        <w:pStyle w:val="ListBullet"/>
        <w:ind w:left="0"/>
      </w:pPr>
      <w:r>
        <w:rPr>
          <w:rFonts w:ascii="Aptos" w:hAnsi="Aptos" w:eastAsia="Aptos"/>
          <w:b w:val="0"/>
          <w:i w:val="0"/>
          <w:color w:val="0A1628"/>
          <w:sz w:val="20"/>
        </w:rPr>
        <w:t xml:space="preserve">Treats </w:t>
      </w:r>
      <w:r>
        <w:rPr>
          <w:rFonts w:ascii="Consolas" w:hAnsi="Consolas" w:eastAsia="Consolas"/>
          <w:b w:val="0"/>
          <w:i w:val="0"/>
          <w:color w:val="0A1628"/>
          <w:sz w:val="17"/>
          <w:shd w:fill="EEF2F6"/>
        </w:rPr>
        <w:t>finance_locked = 1</w:t>
      </w:r>
      <w:r>
        <w:rPr>
          <w:rFonts w:ascii="Aptos" w:hAnsi="Aptos" w:eastAsia="Aptos"/>
          <w:b w:val="0"/>
          <w:i w:val="0"/>
          <w:color w:val="0A1628"/>
          <w:sz w:val="20"/>
        </w:rPr>
        <w:t xml:space="preserve"> as settled.</w:t>
      </w:r>
    </w:p>
    <w:p>
      <w:pPr>
        <w:pStyle w:val="ListBullet"/>
        <w:ind w:left="0"/>
      </w:pPr>
      <w:r>
        <w:rPr>
          <w:rFonts w:ascii="Aptos" w:hAnsi="Aptos" w:eastAsia="Aptos"/>
          <w:b w:val="0"/>
          <w:i w:val="0"/>
          <w:color w:val="0A1628"/>
          <w:sz w:val="20"/>
        </w:rPr>
        <w:t>Calculates finance totals from all branch shipment rows.</w:t>
      </w:r>
    </w:p>
    <w:p>
      <w:pPr>
        <w:pStyle w:val="ListBullet"/>
        <w:ind w:left="0"/>
      </w:pPr>
      <w:r>
        <w:rPr>
          <w:rFonts w:ascii="Aptos" w:hAnsi="Aptos" w:eastAsia="Aptos"/>
          <w:b w:val="0"/>
          <w:i w:val="0"/>
          <w:color w:val="0A1628"/>
          <w:sz w:val="20"/>
        </w:rPr>
        <w:t>Allows branch and HQ mode to be selected from browser session state.</w:t>
      </w:r>
    </w:p>
    <w:p>
      <w:r>
        <w:rPr>
          <w:rFonts w:ascii="Aptos" w:hAnsi="Aptos" w:eastAsia="Aptos"/>
          <w:b w:val="0"/>
          <w:i w:val="0"/>
          <w:color w:val="0A1628"/>
          <w:sz w:val="20"/>
        </w:rPr>
        <w:t>Required changes:</w:t>
      </w:r>
    </w:p>
    <w:p>
      <w:pPr>
        <w:pStyle w:val="ListNumber"/>
        <w:ind w:left="0"/>
      </w:pPr>
      <w:r>
        <w:rPr>
          <w:rFonts w:ascii="Consolas" w:hAnsi="Consolas" w:eastAsia="Consolas"/>
          <w:b w:val="0"/>
          <w:i w:val="0"/>
          <w:color w:val="0A1628"/>
          <w:sz w:val="17"/>
          <w:shd w:fill="EEF2F6"/>
        </w:rPr>
        <w:t>finance_locked</w:t>
      </w:r>
      <w:r>
        <w:rPr>
          <w:rFonts w:ascii="Aptos" w:hAnsi="Aptos" w:eastAsia="Aptos"/>
          <w:b w:val="0"/>
          <w:i w:val="0"/>
          <w:color w:val="0A1628"/>
          <w:sz w:val="20"/>
        </w:rPr>
        <w:t xml:space="preserve"> must remain only a legacy edit-lock indicator.</w:t>
      </w:r>
    </w:p>
    <w:p>
      <w:pPr>
        <w:pStyle w:val="ListNumber"/>
        <w:ind w:left="0"/>
      </w:pPr>
      <w:r>
        <w:rPr>
          <w:rFonts w:ascii="Aptos" w:hAnsi="Aptos" w:eastAsia="Aptos"/>
          <w:b w:val="0"/>
          <w:i w:val="0"/>
          <w:color w:val="0A1628"/>
          <w:sz w:val="20"/>
        </w:rPr>
        <w:t xml:space="preserve">Add a real </w:t>
      </w:r>
      <w:r>
        <w:rPr>
          <w:rFonts w:ascii="Consolas" w:hAnsi="Consolas" w:eastAsia="Consolas"/>
          <w:b w:val="0"/>
          <w:i w:val="0"/>
          <w:color w:val="0A1628"/>
          <w:sz w:val="17"/>
          <w:shd w:fill="EEF2F6"/>
        </w:rPr>
        <w:t>branch_settlement_status</w:t>
      </w:r>
      <w:r>
        <w:rPr>
          <w:rFonts w:ascii="Aptos" w:hAnsi="Aptos" w:eastAsia="Aptos"/>
          <w:b w:val="0"/>
          <w:i w:val="0"/>
          <w:color w:val="0A1628"/>
          <w:sz w:val="20"/>
        </w:rPr>
        <w:t xml:space="preserve"> and </w:t>
      </w:r>
      <w:r>
        <w:rPr>
          <w:rFonts w:ascii="Consolas" w:hAnsi="Consolas" w:eastAsia="Consolas"/>
          <w:b w:val="0"/>
          <w:i w:val="0"/>
          <w:color w:val="0A1628"/>
          <w:sz w:val="17"/>
          <w:shd w:fill="EEF2F6"/>
        </w:rPr>
        <w:t>branch_settlement_batch_id</w:t>
      </w:r>
      <w:r>
        <w:rPr>
          <w:rFonts w:ascii="Aptos" w:hAnsi="Aptos" w:eastAsia="Aptos"/>
          <w:b w:val="0"/>
          <w:i w:val="0"/>
          <w:color w:val="0A1628"/>
          <w:sz w:val="20"/>
        </w:rPr>
        <w:t>.</w:t>
      </w:r>
    </w:p>
    <w:p>
      <w:pPr>
        <w:pStyle w:val="ListNumber"/>
        <w:ind w:left="0"/>
      </w:pPr>
      <w:r>
        <w:rPr>
          <w:rFonts w:ascii="Aptos" w:hAnsi="Aptos" w:eastAsia="Aptos"/>
          <w:b w:val="0"/>
          <w:i w:val="0"/>
          <w:color w:val="0A1628"/>
          <w:sz w:val="20"/>
        </w:rPr>
        <w:t>Replace direct settlement table updates with secured RPCs.</w:t>
      </w:r>
    </w:p>
    <w:p>
      <w:pPr>
        <w:pStyle w:val="ListNumber"/>
        <w:ind w:left="0"/>
      </w:pPr>
      <w:r>
        <w:rPr>
          <w:rFonts w:ascii="Aptos" w:hAnsi="Aptos" w:eastAsia="Aptos"/>
          <w:b w:val="0"/>
          <w:i w:val="0"/>
          <w:color w:val="0A1628"/>
          <w:sz w:val="20"/>
        </w:rPr>
        <w:t xml:space="preserve">Derive user mode and branch scope from authenticated backend permissions, not </w:t>
      </w:r>
      <w:r>
        <w:rPr>
          <w:rFonts w:ascii="Consolas" w:hAnsi="Consolas" w:eastAsia="Consolas"/>
          <w:b w:val="0"/>
          <w:i w:val="0"/>
          <w:color w:val="0A1628"/>
          <w:sz w:val="17"/>
          <w:shd w:fill="EEF2F6"/>
        </w:rPr>
        <w:t>sessionStorage</w:t>
      </w:r>
      <w:r>
        <w:rPr>
          <w:rFonts w:ascii="Aptos" w:hAnsi="Aptos" w:eastAsia="Aptos"/>
          <w:b w:val="0"/>
          <w:i w:val="0"/>
          <w:color w:val="0A1628"/>
          <w:sz w:val="20"/>
        </w:rPr>
        <w:t>.</w:t>
      </w:r>
    </w:p>
    <w:p>
      <w:pPr>
        <w:pStyle w:val="ListNumber"/>
        <w:ind w:left="0"/>
      </w:pPr>
      <w:r>
        <w:rPr>
          <w:rFonts w:ascii="Aptos" w:hAnsi="Aptos" w:eastAsia="Aptos"/>
          <w:b w:val="0"/>
          <w:i w:val="0"/>
          <w:color w:val="0A1628"/>
          <w:sz w:val="20"/>
        </w:rPr>
        <w:t>Do not let the browser choose HQ authority.</w:t>
      </w:r>
    </w:p>
    <w:p>
      <w:pPr>
        <w:pStyle w:val="ListNumber"/>
        <w:ind w:left="0"/>
      </w:pPr>
      <w:r>
        <w:rPr>
          <w:rFonts w:ascii="Aptos" w:hAnsi="Aptos" w:eastAsia="Aptos"/>
          <w:b w:val="0"/>
          <w:i w:val="0"/>
          <w:color w:val="0A1628"/>
          <w:sz w:val="20"/>
        </w:rPr>
        <w:t>Do not calculate settlement from uncontrolled client-side sums.</w:t>
      </w:r>
    </w:p>
    <w:p>
      <w:pPr>
        <w:pStyle w:val="ListNumber"/>
        <w:ind w:left="0"/>
      </w:pPr>
      <w:r>
        <w:rPr>
          <w:rFonts w:ascii="Aptos" w:hAnsi="Aptos" w:eastAsia="Aptos"/>
          <w:b w:val="0"/>
          <w:i w:val="0"/>
          <w:color w:val="0A1628"/>
          <w:sz w:val="20"/>
        </w:rPr>
        <w:t>Continue to show shipment finance fields, but source official batch values from backend snapshots.</w:t>
      </w:r>
    </w:p>
    <w:p>
      <w:pPr>
        <w:pStyle w:val="Heading3"/>
        <w:keepNext/>
      </w:pPr>
      <w:r>
        <w:rPr>
          <w:rFonts w:ascii="Aptos" w:hAnsi="Aptos" w:eastAsia="Aptos"/>
          <w:b w:val="0"/>
          <w:i w:val="0"/>
          <w:color w:val="0A1628"/>
          <w:sz w:val="20"/>
        </w:rPr>
        <w:t>9.15 Mandalay and Third-Party Rate Placeholders</w:t>
      </w:r>
    </w:p>
    <w:p>
      <w:r>
        <w:rPr>
          <w:rFonts w:ascii="Aptos" w:hAnsi="Aptos" w:eastAsia="Aptos"/>
          <w:b w:val="0"/>
          <w:i w:val="0"/>
          <w:color w:val="0A1628"/>
          <w:sz w:val="20"/>
        </w:rPr>
        <w:t>Create inactive counterparties: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DK_DELIVERY</w:t>
              <w:br/>
              <w:t>ROYAL_EXPRESS</w:t>
              <w:br/>
              <w:t>ARLU_POST</w:t>
              <w:br/>
              <w:t>NINJA_VAN</w:t>
              <w:br/>
              <w:t>SAFE_DELIVERY_SERVICES</w:t>
            </w:r>
          </w:p>
        </w:tc>
      </w:tr>
    </w:tbl>
    <w:p>
      <w:pPr>
        <w:spacing w:after="0"/>
      </w:pPr>
    </w:p>
    <w:p>
      <w:r>
        <w:rPr>
          <w:rFonts w:ascii="Aptos" w:hAnsi="Aptos" w:eastAsia="Aptos"/>
          <w:b w:val="0"/>
          <w:i w:val="0"/>
          <w:color w:val="0A1628"/>
          <w:sz w:val="20"/>
        </w:rPr>
        <w:t>Create draft routing defaults: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Mandalay -&gt; DK_DELIVERY</w:t>
              <w:br/>
              <w:t>Other outsourced destinations -&gt; ROYAL_EXPRESS</w:t>
            </w:r>
          </w:p>
        </w:tc>
      </w:tr>
    </w:tbl>
    <w:p>
      <w:pPr>
        <w:spacing w:after="0"/>
      </w:pPr>
    </w:p>
    <w:p>
      <w:r>
        <w:rPr>
          <w:rFonts w:ascii="Aptos" w:hAnsi="Aptos" w:eastAsia="Aptos"/>
          <w:b w:val="0"/>
          <w:i w:val="0"/>
          <w:color w:val="0A1628"/>
          <w:sz w:val="20"/>
        </w:rPr>
        <w:t>These records must have: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configuration_status = RATE_PENDING</w:t>
              <w:br/>
              <w:t>settlement_enabled = false</w:t>
            </w:r>
          </w:p>
        </w:tc>
      </w:tr>
    </w:tbl>
    <w:p>
      <w:pPr>
        <w:spacing w:after="0"/>
      </w:pPr>
    </w:p>
    <w:p>
      <w:r>
        <w:rPr>
          <w:rFonts w:ascii="Aptos" w:hAnsi="Aptos" w:eastAsia="Aptos"/>
          <w:b w:val="0"/>
          <w:i w:val="0"/>
          <w:color w:val="0A1628"/>
          <w:sz w:val="20"/>
        </w:rPr>
        <w:t>When no approved effective rate exists:</w:t>
      </w:r>
    </w:p>
    <w:p>
      <w:pPr>
        <w:pStyle w:val="ListBullet"/>
        <w:ind w:left="0"/>
      </w:pPr>
      <w:r>
        <w:rPr>
          <w:rFonts w:ascii="Aptos" w:hAnsi="Aptos" w:eastAsia="Aptos"/>
          <w:b w:val="0"/>
          <w:i w:val="0"/>
          <w:color w:val="0A1628"/>
          <w:sz w:val="20"/>
        </w:rPr>
        <w:t xml:space="preserve">Routing may show </w:t>
      </w:r>
      <w:r>
        <w:rPr>
          <w:rFonts w:ascii="Consolas" w:hAnsi="Consolas" w:eastAsia="Consolas"/>
          <w:b w:val="0"/>
          <w:i w:val="0"/>
          <w:color w:val="0A1628"/>
          <w:sz w:val="17"/>
          <w:shd w:fill="EEF2F6"/>
        </w:rPr>
        <w:t>PROPOSED_PROVIDER</w:t>
      </w:r>
      <w:r>
        <w:rPr>
          <w:rFonts w:ascii="Aptos" w:hAnsi="Aptos" w:eastAsia="Aptos"/>
          <w:b w:val="0"/>
          <w:i w:val="0"/>
          <w:color w:val="0A1628"/>
          <w:sz w:val="20"/>
        </w:rPr>
        <w:t xml:space="preserve"> only.</w:t>
      </w:r>
    </w:p>
    <w:p>
      <w:pPr>
        <w:pStyle w:val="ListBullet"/>
        <w:ind w:left="0"/>
      </w:pPr>
      <w:r>
        <w:rPr>
          <w:rFonts w:ascii="Aptos" w:hAnsi="Aptos" w:eastAsia="Aptos"/>
          <w:b w:val="0"/>
          <w:i w:val="0"/>
          <w:color w:val="0A1628"/>
          <w:sz w:val="20"/>
        </w:rPr>
        <w:t xml:space="preserve">The parcel must show </w:t>
      </w:r>
      <w:r>
        <w:rPr>
          <w:rFonts w:ascii="Consolas" w:hAnsi="Consolas" w:eastAsia="Consolas"/>
          <w:b w:val="0"/>
          <w:i w:val="0"/>
          <w:color w:val="0A1628"/>
          <w:sz w:val="17"/>
          <w:shd w:fill="EEF2F6"/>
        </w:rPr>
        <w:t>PARTNER_RATE_MISSING</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Partner payable must remain null.</w:t>
      </w:r>
    </w:p>
    <w:p>
      <w:pPr>
        <w:pStyle w:val="ListBullet"/>
        <w:ind w:left="0"/>
      </w:pPr>
      <w:r>
        <w:rPr>
          <w:rFonts w:ascii="Aptos" w:hAnsi="Aptos" w:eastAsia="Aptos"/>
          <w:b w:val="0"/>
          <w:i w:val="0"/>
          <w:color w:val="0A1628"/>
          <w:sz w:val="20"/>
        </w:rPr>
        <w:t>Partner settlement eligibility must be blocked.</w:t>
      </w:r>
    </w:p>
    <w:p>
      <w:pPr>
        <w:pStyle w:val="ListBullet"/>
        <w:ind w:left="0"/>
      </w:pPr>
      <w:r>
        <w:rPr>
          <w:rFonts w:ascii="Aptos" w:hAnsi="Aptos" w:eastAsia="Aptos"/>
          <w:b w:val="0"/>
          <w:i w:val="0"/>
          <w:color w:val="0A1628"/>
          <w:sz w:val="20"/>
        </w:rPr>
        <w:t>The system must not fall back to the Naypyitaw 55/45 branch rule.</w:t>
      </w:r>
    </w:p>
    <w:p>
      <w:pPr>
        <w:pStyle w:val="ListBullet"/>
        <w:ind w:left="0"/>
      </w:pPr>
      <w:r>
        <w:rPr>
          <w:rFonts w:ascii="Aptos" w:hAnsi="Aptos" w:eastAsia="Aptos"/>
          <w:b w:val="0"/>
          <w:i w:val="0"/>
          <w:color w:val="0A1628"/>
          <w:sz w:val="20"/>
        </w:rPr>
        <w:t>The system must not use Britium customer tariff as provider cost.</w:t>
      </w:r>
    </w:p>
    <w:p>
      <w:pPr>
        <w:pStyle w:val="Heading3"/>
        <w:keepNext/>
      </w:pPr>
      <w:r>
        <w:rPr>
          <w:rFonts w:ascii="Aptos" w:hAnsi="Aptos" w:eastAsia="Aptos"/>
          <w:b w:val="0"/>
          <w:i w:val="0"/>
          <w:color w:val="0A1628"/>
          <w:sz w:val="20"/>
        </w:rPr>
        <w:t>9.16 Acceptance Tests</w:t>
      </w:r>
    </w:p>
    <w:p>
      <w:pPr>
        <w:pStyle w:val="Heading4"/>
        <w:keepNext/>
      </w:pPr>
      <w:r>
        <w:rPr>
          <w:rFonts w:ascii="Aptos" w:hAnsi="Aptos" w:eastAsia="Aptos"/>
          <w:b w:val="0"/>
          <w:i w:val="0"/>
          <w:color w:val="0A1628"/>
          <w:sz w:val="20"/>
        </w:rPr>
        <w:t>Test A - HQ sends to NPT</w:t>
      </w:r>
    </w:p>
    <w:p>
      <w:r>
        <w:rPr>
          <w:rFonts w:ascii="Aptos" w:hAnsi="Aptos" w:eastAsia="Aptos"/>
          <w:b w:val="0"/>
          <w:i w:val="0"/>
          <w:color w:val="0A1628"/>
          <w:sz w:val="20"/>
        </w:rPr>
        <w:t>Input: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 revenue = 6,000</w:t>
              <w:br/>
              <w:t>sender = YGN-HQ</w:t>
              <w:br/>
              <w:t>last mile = NPT</w:t>
              <w:br/>
              <w:t>penalty = 0</w:t>
            </w:r>
          </w:p>
        </w:tc>
      </w:tr>
    </w:tbl>
    <w:p>
      <w:pPr>
        <w:spacing w:after="0"/>
      </w:pPr>
    </w:p>
    <w:p>
      <w:r>
        <w:rPr>
          <w:rFonts w:ascii="Aptos" w:hAnsi="Aptos" w:eastAsia="Aptos"/>
          <w:b w:val="0"/>
          <w:i w:val="0"/>
          <w:color w:val="0A1628"/>
          <w:sz w:val="20"/>
        </w:rPr>
        <w:t>Expected: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HQ sender share = 3,300</w:t>
              <w:br/>
              <w:t>NPT gross share = 2,700</w:t>
              <w:br/>
              <w:t>NPT management fee = 270</w:t>
              <w:br/>
              <w:t>NPT net share = 2,430</w:t>
              <w:br/>
              <w:t>HQ revenue = 3,570</w:t>
              <w:br/>
              <w:t>reconciliation difference = 0</w:t>
            </w:r>
          </w:p>
        </w:tc>
      </w:tr>
    </w:tbl>
    <w:p>
      <w:pPr>
        <w:spacing w:after="0"/>
      </w:pPr>
    </w:p>
    <w:p>
      <w:pPr>
        <w:pStyle w:val="Heading4"/>
        <w:keepNext/>
      </w:pPr>
      <w:r>
        <w:rPr>
          <w:rFonts w:ascii="Aptos" w:hAnsi="Aptos" w:eastAsia="Aptos"/>
          <w:b w:val="0"/>
          <w:i w:val="0"/>
          <w:color w:val="0A1628"/>
          <w:sz w:val="20"/>
        </w:rPr>
        <w:t>Test B - NPT sends to HQ</w:t>
      </w:r>
    </w:p>
    <w:p>
      <w:r>
        <w:rPr>
          <w:rFonts w:ascii="Aptos" w:hAnsi="Aptos" w:eastAsia="Aptos"/>
          <w:b w:val="0"/>
          <w:i w:val="0"/>
          <w:color w:val="0A1628"/>
          <w:sz w:val="20"/>
        </w:rPr>
        <w:t>Input: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 revenue = 6,000</w:t>
              <w:br/>
              <w:t>sender = NPT</w:t>
              <w:br/>
              <w:t>last mile = YGN-HQ</w:t>
              <w:br/>
              <w:t>penalty = 0</w:t>
            </w:r>
          </w:p>
        </w:tc>
      </w:tr>
    </w:tbl>
    <w:p>
      <w:pPr>
        <w:spacing w:after="0"/>
      </w:pPr>
    </w:p>
    <w:p>
      <w:r>
        <w:rPr>
          <w:rFonts w:ascii="Aptos" w:hAnsi="Aptos" w:eastAsia="Aptos"/>
          <w:b w:val="0"/>
          <w:i w:val="0"/>
          <w:color w:val="0A1628"/>
          <w:sz w:val="20"/>
        </w:rPr>
        <w:t>Expected: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NPT gross share = 3,300</w:t>
              <w:br/>
              <w:t>NPT management fee = 330</w:t>
              <w:br/>
              <w:t>NPT net share = 2,970</w:t>
              <w:br/>
              <w:t>HQ last-mile share = 2,700</w:t>
              <w:br/>
              <w:t>HQ revenue = 3,030</w:t>
              <w:br/>
              <w:t>reconciliation difference = 0</w:t>
            </w:r>
          </w:p>
        </w:tc>
      </w:tr>
    </w:tbl>
    <w:p>
      <w:pPr>
        <w:spacing w:after="0"/>
      </w:pPr>
    </w:p>
    <w:p>
      <w:pPr>
        <w:pStyle w:val="Heading4"/>
        <w:keepNext/>
      </w:pPr>
      <w:r>
        <w:rPr>
          <w:rFonts w:ascii="Aptos" w:hAnsi="Aptos" w:eastAsia="Aptos"/>
          <w:b w:val="0"/>
          <w:i w:val="0"/>
          <w:color w:val="0A1628"/>
          <w:sz w:val="20"/>
        </w:rPr>
        <w:t>Test C - NPT penalty</w:t>
      </w:r>
    </w:p>
    <w:p>
      <w:r>
        <w:rPr>
          <w:rFonts w:ascii="Aptos" w:hAnsi="Aptos" w:eastAsia="Aptos"/>
          <w:b w:val="0"/>
          <w:i w:val="0"/>
          <w:color w:val="0A1628"/>
          <w:sz w:val="20"/>
        </w:rPr>
        <w:t>Input: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NPT gross share = 2,700</w:t>
              <w:br/>
              <w:t>management fee = 270</w:t>
              <w:br/>
              <w:t>approved cargo damage penalty = 500</w:t>
            </w:r>
          </w:p>
        </w:tc>
      </w:tr>
    </w:tbl>
    <w:p>
      <w:pPr>
        <w:spacing w:after="0"/>
      </w:pPr>
    </w:p>
    <w:p>
      <w:r>
        <w:rPr>
          <w:rFonts w:ascii="Aptos" w:hAnsi="Aptos" w:eastAsia="Aptos"/>
          <w:b w:val="0"/>
          <w:i w:val="0"/>
          <w:color w:val="0A1628"/>
          <w:sz w:val="20"/>
        </w:rPr>
        <w:t>Expected: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NPT net share = 1,930</w:t>
            </w:r>
          </w:p>
        </w:tc>
      </w:tr>
    </w:tbl>
    <w:p>
      <w:pPr>
        <w:spacing w:after="0"/>
      </w:pPr>
    </w:p>
    <w:p>
      <w:pPr>
        <w:pStyle w:val="Heading4"/>
        <w:keepNext/>
      </w:pPr>
      <w:r>
        <w:rPr>
          <w:rFonts w:ascii="Aptos" w:hAnsi="Aptos" w:eastAsia="Aptos"/>
          <w:b w:val="0"/>
          <w:i w:val="0"/>
          <w:color w:val="0A1628"/>
          <w:sz w:val="20"/>
        </w:rPr>
        <w:t>Test D - COD remittance mismatch</w:t>
      </w:r>
    </w:p>
    <w:p>
      <w:r>
        <w:rPr>
          <w:rFonts w:ascii="Aptos" w:hAnsi="Aptos" w:eastAsia="Aptos"/>
          <w:b w:val="0"/>
          <w:i w:val="0"/>
          <w:color w:val="0A1628"/>
          <w:sz w:val="20"/>
        </w:rPr>
        <w:t>Input: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 collection = 30,000</w:t>
              <w:br/>
              <w:t>HQ confirmed remittance = 29,500</w:t>
              <w:br/>
              <w:t>no approved refund or shortage</w:t>
            </w:r>
          </w:p>
        </w:tc>
      </w:tr>
    </w:tbl>
    <w:p>
      <w:pPr>
        <w:spacing w:after="0"/>
      </w:pPr>
    </w:p>
    <w:p>
      <w:r>
        <w:rPr>
          <w:rFonts w:ascii="Aptos" w:hAnsi="Aptos" w:eastAsia="Aptos"/>
          <w:b w:val="0"/>
          <w:i w:val="0"/>
          <w:color w:val="0A1628"/>
          <w:sz w:val="20"/>
        </w:rPr>
        <w:t>Expected: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exception = COD_REMITTANCE_MISMATCH</w:t>
              <w:br/>
              <w:t>batch approval blocked = true</w:t>
            </w:r>
          </w:p>
        </w:tc>
      </w:tr>
    </w:tbl>
    <w:p>
      <w:pPr>
        <w:spacing w:after="0"/>
      </w:pPr>
    </w:p>
    <w:p>
      <w:pPr>
        <w:pStyle w:val="Heading4"/>
        <w:keepNext/>
      </w:pPr>
      <w:r>
        <w:rPr>
          <w:rFonts w:ascii="Aptos" w:hAnsi="Aptos" w:eastAsia="Aptos"/>
          <w:b w:val="0"/>
          <w:i w:val="0"/>
          <w:color w:val="0A1628"/>
          <w:sz w:val="20"/>
        </w:rPr>
        <w:t>Test E - Mandalay before DK rate activation</w:t>
      </w:r>
    </w:p>
    <w:p>
      <w:r>
        <w:rPr>
          <w:rFonts w:ascii="Aptos" w:hAnsi="Aptos" w:eastAsia="Aptos"/>
          <w:b w:val="0"/>
          <w:i w:val="0"/>
          <w:color w:val="0A1628"/>
          <w:sz w:val="20"/>
        </w:rPr>
        <w:t>Input: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branch = MDY</w:t>
              <w:br/>
              <w:t>provider = DK_DELIVERY</w:t>
              <w:br/>
              <w:t>approved provider rate = null</w:t>
            </w:r>
          </w:p>
        </w:tc>
      </w:tr>
    </w:tbl>
    <w:p>
      <w:pPr>
        <w:spacing w:after="0"/>
      </w:pPr>
    </w:p>
    <w:p>
      <w:r>
        <w:rPr>
          <w:rFonts w:ascii="Aptos" w:hAnsi="Aptos" w:eastAsia="Aptos"/>
          <w:b w:val="0"/>
          <w:i w:val="0"/>
          <w:color w:val="0A1628"/>
          <w:sz w:val="20"/>
        </w:rPr>
        <w:t>Expected: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provider settlement = blocked</w:t>
              <w:br/>
              <w:t>exception = PARTNER_RATE_MISSING</w:t>
              <w:br/>
              <w:t>NPT 55/45 rule applied = false</w:t>
            </w:r>
          </w:p>
        </w:tc>
      </w:tr>
    </w:tbl>
    <w:p>
      <w:pPr>
        <w:spacing w:after="0"/>
      </w:pPr>
    </w:p>
    <w:p>
      <w:pPr>
        <w:pStyle w:val="Heading3"/>
        <w:keepNext/>
      </w:pPr>
      <w:r>
        <w:rPr>
          <w:rFonts w:ascii="Aptos" w:hAnsi="Aptos" w:eastAsia="Aptos"/>
          <w:b w:val="0"/>
          <w:i w:val="0"/>
          <w:color w:val="0A1628"/>
          <w:sz w:val="20"/>
        </w:rPr>
        <w:t>9.17 Deployment Requirements</w:t>
      </w:r>
    </w:p>
    <w:p>
      <w:r>
        <w:rPr>
          <w:rFonts w:ascii="Aptos" w:hAnsi="Aptos" w:eastAsia="Aptos"/>
          <w:b w:val="0"/>
          <w:i w:val="0"/>
          <w:color w:val="0A1628"/>
          <w:sz w:val="20"/>
        </w:rPr>
        <w:t>Before activation:</w:t>
      </w:r>
    </w:p>
    <w:p>
      <w:pPr>
        <w:pStyle w:val="ListNumber"/>
        <w:ind w:left="0"/>
      </w:pPr>
      <w:r>
        <w:rPr>
          <w:rFonts w:ascii="Aptos" w:hAnsi="Aptos" w:eastAsia="Aptos"/>
          <w:b w:val="0"/>
          <w:i w:val="0"/>
          <w:color w:val="0A1628"/>
          <w:sz w:val="20"/>
        </w:rPr>
        <w:t>Confirm whether extra-weight and other surcharges enter the 55/45 split.</w:t>
      </w:r>
    </w:p>
    <w:p>
      <w:pPr>
        <w:pStyle w:val="ListNumber"/>
        <w:ind w:left="0"/>
      </w:pPr>
      <w:r>
        <w:rPr>
          <w:rFonts w:ascii="Aptos" w:hAnsi="Aptos" w:eastAsia="Aptos"/>
          <w:b w:val="0"/>
          <w:i w:val="0"/>
          <w:color w:val="0A1628"/>
          <w:sz w:val="20"/>
        </w:rPr>
        <w:t>Confirm settlement frequency for NPT.</w:t>
      </w:r>
    </w:p>
    <w:p>
      <w:pPr>
        <w:pStyle w:val="ListNumber"/>
        <w:ind w:left="0"/>
      </w:pPr>
      <w:r>
        <w:rPr>
          <w:rFonts w:ascii="Aptos" w:hAnsi="Aptos" w:eastAsia="Aptos"/>
          <w:b w:val="0"/>
          <w:i w:val="0"/>
          <w:color w:val="0A1628"/>
          <w:sz w:val="20"/>
        </w:rPr>
        <w:t>Confirm COD remittance deadline.</w:t>
      </w:r>
    </w:p>
    <w:p>
      <w:pPr>
        <w:pStyle w:val="ListNumber"/>
        <w:ind w:left="0"/>
      </w:pPr>
      <w:r>
        <w:rPr>
          <w:rFonts w:ascii="Aptos" w:hAnsi="Aptos" w:eastAsia="Aptos"/>
          <w:b w:val="0"/>
          <w:i w:val="0"/>
          <w:color w:val="0A1628"/>
          <w:sz w:val="20"/>
        </w:rPr>
        <w:t>Confirm payment method and bank account ownership.</w:t>
      </w:r>
    </w:p>
    <w:p>
      <w:pPr>
        <w:pStyle w:val="ListNumber"/>
        <w:ind w:left="0"/>
      </w:pPr>
      <w:r>
        <w:rPr>
          <w:rFonts w:ascii="Aptos" w:hAnsi="Aptos" w:eastAsia="Aptos"/>
          <w:b w:val="0"/>
          <w:i w:val="0"/>
          <w:color w:val="0A1628"/>
          <w:sz w:val="20"/>
        </w:rPr>
        <w:t>Approve penalty matrix and limits.</w:t>
      </w:r>
    </w:p>
    <w:p>
      <w:pPr>
        <w:pStyle w:val="ListNumber"/>
        <w:ind w:left="0"/>
      </w:pPr>
      <w:r>
        <w:rPr>
          <w:rFonts w:ascii="Aptos" w:hAnsi="Aptos" w:eastAsia="Aptos"/>
          <w:b w:val="0"/>
          <w:i w:val="0"/>
          <w:color w:val="0A1628"/>
          <w:sz w:val="20"/>
        </w:rPr>
        <w:t>Backfill sender and last-mile roles for existing NPT delivered ways.</w:t>
      </w:r>
    </w:p>
    <w:p>
      <w:pPr>
        <w:pStyle w:val="ListNumber"/>
        <w:ind w:left="0"/>
      </w:pPr>
      <w:r>
        <w:rPr>
          <w:rFonts w:ascii="Aptos" w:hAnsi="Aptos" w:eastAsia="Aptos"/>
          <w:b w:val="0"/>
          <w:i w:val="0"/>
          <w:color w:val="0A1628"/>
          <w:sz w:val="20"/>
        </w:rPr>
        <w:t>Reconcile a sample period manually against the new calculations.</w:t>
      </w:r>
    </w:p>
    <w:p>
      <w:pPr>
        <w:pStyle w:val="ListNumber"/>
        <w:ind w:left="0"/>
      </w:pPr>
      <w:r>
        <w:rPr>
          <w:rFonts w:ascii="Aptos" w:hAnsi="Aptos" w:eastAsia="Aptos"/>
          <w:b w:val="0"/>
          <w:i w:val="0"/>
          <w:color w:val="0A1628"/>
          <w:sz w:val="20"/>
        </w:rPr>
        <w:t>Obtain Finance and Branch Manager sign-off.</w:t>
      </w:r>
    </w:p>
    <w:p>
      <w:r>
        <w:rPr>
          <w:rFonts w:ascii="Aptos" w:hAnsi="Aptos" w:eastAsia="Aptos"/>
          <w:b w:val="0"/>
          <w:i w:val="0"/>
          <w:color w:val="0A1628"/>
          <w:sz w:val="20"/>
        </w:rPr>
        <w:t>Mandalay/DK Delivery and Royal Express settlement must be deployed as a later effective-dated configuration after approved rate sheets are provided.</w:t>
      </w:r>
    </w:p>
    <w:p>
      <w:pPr>
        <w:pStyle w:val="Heading2"/>
        <w:keepNext/>
      </w:pPr>
      <w:r>
        <w:rPr>
          <w:rFonts w:ascii="Aptos" w:hAnsi="Aptos" w:eastAsia="Aptos"/>
          <w:b w:val="0"/>
          <w:i w:val="0"/>
          <w:color w:val="0A1628"/>
          <w:sz w:val="20"/>
        </w:rPr>
        <w:t>10. Mandalay DK Delivery and Royal Express Settlement</w:t>
      </w:r>
    </w:p>
    <w:p>
      <w:r>
        <w:rPr>
          <w:rFonts w:ascii="Aptos" w:hAnsi="Aptos" w:eastAsia="Aptos"/>
          <w:b w:val="0"/>
          <w:i w:val="0"/>
          <w:color w:val="0A1628"/>
          <w:sz w:val="20"/>
        </w:rPr>
      </w:r>
      <w:r>
        <w:rPr>
          <w:rFonts w:ascii="Aptos" w:hAnsi="Aptos" w:eastAsia="Aptos"/>
          <w:b/>
          <w:i w:val="0"/>
          <w:color w:val="0A1628"/>
          <w:sz w:val="20"/>
        </w:rPr>
        <w:t>Specification version:</w:t>
      </w:r>
      <w:r>
        <w:rPr>
          <w:rFonts w:ascii="Aptos" w:hAnsi="Aptos" w:eastAsia="Aptos"/>
          <w:b w:val="0"/>
          <w:i w:val="0"/>
          <w:color w:val="0A1628"/>
          <w:sz w:val="20"/>
        </w:rPr>
        <w:t xml:space="preserve"> </w:t>
      </w:r>
      <w:r>
        <w:rPr>
          <w:rFonts w:ascii="Consolas" w:hAnsi="Consolas" w:eastAsia="Consolas"/>
          <w:b w:val="0"/>
          <w:i w:val="0"/>
          <w:color w:val="0A1628"/>
          <w:sz w:val="17"/>
          <w:shd w:fill="EEF2F6"/>
        </w:rPr>
        <w:t>OUTSOURCE_SETTLEMENT_V1_2026_07_31</w:t>
      </w:r>
      <w:r>
        <w:br/>
      </w:r>
      <w:r>
        <w:rPr>
          <w:rFonts w:ascii="Aptos" w:hAnsi="Aptos" w:eastAsia="Aptos"/>
          <w:b w:val="0"/>
          <w:i w:val="0"/>
          <w:color w:val="0A1628"/>
          <w:sz w:val="20"/>
        </w:rPr>
      </w:r>
      <w:r>
        <w:rPr>
          <w:rFonts w:ascii="Aptos" w:hAnsi="Aptos" w:eastAsia="Aptos"/>
          <w:b/>
          <w:i w:val="0"/>
          <w:color w:val="0A1628"/>
          <w:sz w:val="20"/>
        </w:rPr>
        <w:t>Applies to:</w:t>
      </w:r>
      <w:r>
        <w:rPr>
          <w:rFonts w:ascii="Aptos" w:hAnsi="Aptos" w:eastAsia="Aptos"/>
          <w:b w:val="0"/>
          <w:i w:val="0"/>
          <w:color w:val="0A1628"/>
          <w:sz w:val="20"/>
        </w:rPr>
        <w:t xml:space="preserve"> Britium Express network fulfillment, Finance, Operations, Data Entry, Final Sync and partner settlement</w:t>
      </w:r>
      <w:r>
        <w:br/>
      </w:r>
      <w:r>
        <w:rPr>
          <w:rFonts w:ascii="Aptos" w:hAnsi="Aptos" w:eastAsia="Aptos"/>
          <w:b w:val="0"/>
          <w:i w:val="0"/>
          <w:color w:val="0A1628"/>
          <w:sz w:val="20"/>
        </w:rPr>
      </w:r>
      <w:r>
        <w:rPr>
          <w:rFonts w:ascii="Aptos" w:hAnsi="Aptos" w:eastAsia="Aptos"/>
          <w:b/>
          <w:i w:val="0"/>
          <w:color w:val="0A1628"/>
          <w:sz w:val="20"/>
        </w:rPr>
        <w:t>Source documents:</w:t>
      </w:r>
      <w:r>
        <w:rPr>
          <w:rFonts w:ascii="Aptos" w:hAnsi="Aptos" w:eastAsia="Aptos"/>
          <w:b w:val="0"/>
          <w:i w:val="0"/>
          <w:color w:val="0A1628"/>
          <w:sz w:val="20"/>
        </w:rPr>
      </w:r>
    </w:p>
    <w:p>
      <w:pPr>
        <w:pStyle w:val="ListBullet"/>
        <w:ind w:left="0"/>
      </w:pPr>
      <w:r>
        <w:rPr>
          <w:rFonts w:ascii="Aptos" w:hAnsi="Aptos" w:eastAsia="Aptos"/>
          <w:b w:val="0"/>
          <w:i w:val="0"/>
          <w:color w:val="0A1628"/>
          <w:sz w:val="20"/>
        </w:rPr>
        <w:t>DK Delivery Service Mandalay partnership fee map</w:t>
      </w:r>
    </w:p>
    <w:p>
      <w:pPr>
        <w:pStyle w:val="ListBullet"/>
        <w:ind w:left="0"/>
      </w:pPr>
      <w:r>
        <w:rPr>
          <w:rFonts w:ascii="Aptos" w:hAnsi="Aptos" w:eastAsia="Aptos"/>
          <w:b w:val="0"/>
          <w:i w:val="0"/>
          <w:color w:val="0A1628"/>
          <w:sz w:val="20"/>
        </w:rPr>
        <w:t xml:space="preserve">Royal Express quotation </w:t>
      </w:r>
      <w:r>
        <w:rPr>
          <w:rFonts w:ascii="Consolas" w:hAnsi="Consolas" w:eastAsia="Consolas"/>
          <w:b w:val="0"/>
          <w:i w:val="0"/>
          <w:color w:val="0A1628"/>
          <w:sz w:val="17"/>
          <w:shd w:fill="EEF2F6"/>
        </w:rPr>
        <w:t>Q-019-05-2026</w:t>
      </w:r>
      <w:r>
        <w:rPr>
          <w:rFonts w:ascii="Aptos" w:hAnsi="Aptos" w:eastAsia="Aptos"/>
          <w:b w:val="0"/>
          <w:i w:val="0"/>
          <w:color w:val="0A1628"/>
          <w:sz w:val="20"/>
        </w:rPr>
        <w:t>, dated 22 May 2026</w:t>
      </w:r>
    </w:p>
    <w:p>
      <w:pPr>
        <w:pBdr>
          <w:bottom w:val="single" w:sz="5" w:space="3" w:color="B8C4D1"/>
        </w:pBdr>
        <w:spacing w:after="100"/>
      </w:pPr>
    </w:p>
    <w:p>
      <w:pPr>
        <w:pStyle w:val="Heading3"/>
        <w:keepNext/>
      </w:pPr>
      <w:r>
        <w:rPr>
          <w:rFonts w:ascii="Aptos" w:hAnsi="Aptos" w:eastAsia="Aptos"/>
          <w:b w:val="0"/>
          <w:i w:val="0"/>
          <w:color w:val="0A1628"/>
          <w:sz w:val="20"/>
        </w:rPr>
        <w:t>10.1 Business Scope</w:t>
      </w:r>
    </w:p>
    <w:p>
      <w:r>
        <w:rPr>
          <w:rFonts w:ascii="Aptos" w:hAnsi="Aptos" w:eastAsia="Aptos"/>
          <w:b w:val="0"/>
          <w:i w:val="0"/>
          <w:color w:val="0A1628"/>
          <w:sz w:val="20"/>
        </w:rPr>
        <w:t>The production system must apply the following routing priority:</w:t>
      </w:r>
    </w:p>
    <w:p>
      <w:pPr>
        <w:pStyle w:val="ListNumber"/>
        <w:ind w:left="0"/>
      </w:pPr>
      <w:r>
        <w:rPr>
          <w:rFonts w:ascii="Aptos" w:hAnsi="Aptos" w:eastAsia="Aptos"/>
          <w:b w:val="0"/>
          <w:i w:val="0"/>
          <w:color w:val="0A1628"/>
          <w:sz w:val="20"/>
        </w:rPr>
      </w:r>
      <w:r>
        <w:rPr>
          <w:rFonts w:ascii="Aptos" w:hAnsi="Aptos" w:eastAsia="Aptos"/>
          <w:b/>
          <w:i w:val="0"/>
          <w:color w:val="0A1628"/>
          <w:sz w:val="20"/>
        </w:rPr>
        <w:t>Yangon destinations:</w:t>
      </w:r>
      <w:r>
        <w:rPr>
          <w:rFonts w:ascii="Aptos" w:hAnsi="Aptos" w:eastAsia="Aptos"/>
          <w:b w:val="0"/>
          <w:i w:val="0"/>
          <w:color w:val="0A1628"/>
          <w:sz w:val="20"/>
        </w:rPr>
        <w:t xml:space="preserve"> Britium direct delivery, unless an authorized exception applies.</w:t>
      </w:r>
    </w:p>
    <w:p>
      <w:pPr>
        <w:pStyle w:val="ListNumber"/>
        <w:ind w:left="0"/>
      </w:pPr>
      <w:r>
        <w:rPr>
          <w:rFonts w:ascii="Aptos" w:hAnsi="Aptos" w:eastAsia="Aptos"/>
          <w:b w:val="0"/>
          <w:i w:val="0"/>
          <w:color w:val="0A1628"/>
          <w:sz w:val="20"/>
        </w:rPr>
      </w:r>
      <w:r>
        <w:rPr>
          <w:rFonts w:ascii="Aptos" w:hAnsi="Aptos" w:eastAsia="Aptos"/>
          <w:b/>
          <w:i w:val="0"/>
          <w:color w:val="0A1628"/>
          <w:sz w:val="20"/>
        </w:rPr>
        <w:t>Naypyitaw destinations:</w:t>
      </w:r>
      <w:r>
        <w:rPr>
          <w:rFonts w:ascii="Aptos" w:hAnsi="Aptos" w:eastAsia="Aptos"/>
          <w:b w:val="0"/>
          <w:i w:val="0"/>
          <w:color w:val="0A1628"/>
          <w:sz w:val="20"/>
        </w:rPr>
        <w:t xml:space="preserve"> Naypyitaw branch workflow and the separate Branch &lt;-&gt; Head Office settlement rule.</w:t>
      </w:r>
    </w:p>
    <w:p>
      <w:pPr>
        <w:pStyle w:val="ListNumber"/>
        <w:ind w:left="0"/>
      </w:pPr>
      <w:r>
        <w:rPr>
          <w:rFonts w:ascii="Aptos" w:hAnsi="Aptos" w:eastAsia="Aptos"/>
          <w:b w:val="0"/>
          <w:i w:val="0"/>
          <w:color w:val="0A1628"/>
          <w:sz w:val="20"/>
        </w:rPr>
      </w:r>
      <w:r>
        <w:rPr>
          <w:rFonts w:ascii="Aptos" w:hAnsi="Aptos" w:eastAsia="Aptos"/>
          <w:b/>
          <w:i w:val="0"/>
          <w:color w:val="0A1628"/>
          <w:sz w:val="20"/>
        </w:rPr>
        <w:t>Mandalay destinations:</w:t>
      </w:r>
      <w:r>
        <w:rPr>
          <w:rFonts w:ascii="Aptos" w:hAnsi="Aptos" w:eastAsia="Aptos"/>
          <w:b w:val="0"/>
          <w:i w:val="0"/>
          <w:color w:val="0A1628"/>
          <w:sz w:val="20"/>
        </w:rPr>
        <w:t xml:space="preserve"> Britium charges the customer using the Britium Yangon-Mandalay tariff and outsources Mandalay last-mile delivery to DK Delivery Service.</w:t>
      </w:r>
    </w:p>
    <w:p>
      <w:pPr>
        <w:pStyle w:val="ListNumber"/>
        <w:ind w:left="0"/>
      </w:pPr>
      <w:r>
        <w:rPr>
          <w:rFonts w:ascii="Aptos" w:hAnsi="Aptos" w:eastAsia="Aptos"/>
          <w:b w:val="0"/>
          <w:i w:val="0"/>
          <w:color w:val="0A1628"/>
          <w:sz w:val="20"/>
        </w:rPr>
      </w:r>
      <w:r>
        <w:rPr>
          <w:rFonts w:ascii="Aptos" w:hAnsi="Aptos" w:eastAsia="Aptos"/>
          <w:b/>
          <w:i w:val="0"/>
          <w:color w:val="0A1628"/>
          <w:sz w:val="20"/>
        </w:rPr>
        <w:t>Other supported destinations:</w:t>
      </w:r>
      <w:r>
        <w:rPr>
          <w:rFonts w:ascii="Aptos" w:hAnsi="Aptos" w:eastAsia="Aptos"/>
          <w:b w:val="0"/>
          <w:i w:val="0"/>
          <w:color w:val="0A1628"/>
          <w:sz w:val="20"/>
        </w:rPr>
        <w:t xml:space="preserve"> Royal Express is the preferred outsourced delivery provider.</w:t>
      </w:r>
    </w:p>
    <w:p>
      <w:pPr>
        <w:pStyle w:val="ListNumber"/>
        <w:ind w:left="0"/>
      </w:pPr>
      <w:r>
        <w:rPr>
          <w:rFonts w:ascii="Aptos" w:hAnsi="Aptos" w:eastAsia="Aptos"/>
          <w:b w:val="0"/>
          <w:i w:val="0"/>
          <w:color w:val="0A1628"/>
          <w:sz w:val="20"/>
        </w:rPr>
        <w:t>Alternative providers such as Arlu Post, Ninja Van and Safe Delivery Services remain inactive until their approved rate cards are entered.</w:t>
      </w:r>
    </w:p>
    <w:p>
      <w:r>
        <w:rPr>
          <w:rFonts w:ascii="Aptos" w:hAnsi="Aptos" w:eastAsia="Aptos"/>
          <w:b w:val="0"/>
          <w:i w:val="0"/>
          <w:color w:val="0A1628"/>
          <w:sz w:val="20"/>
        </w:rPr>
        <w:t>The routing engine must not select Royal Express for Yangon, Mandalay or Naypyitaw under the current policy, even when the Royal Express quotation contains rates for those destinations.</w:t>
      </w:r>
    </w:p>
    <w:p>
      <w:r>
        <w:rPr>
          <w:rFonts w:ascii="Aptos" w:hAnsi="Aptos" w:eastAsia="Aptos"/>
          <w:b w:val="0"/>
          <w:i w:val="0"/>
          <w:color w:val="0A1628"/>
          <w:sz w:val="20"/>
        </w:rPr>
        <w:t>All routing policies must be effective-dated configuration. They must not be hardcoded in React components or SQL functions.</w:t>
      </w:r>
    </w:p>
    <w:p>
      <w:pPr>
        <w:pBdr>
          <w:bottom w:val="single" w:sz="5" w:space="3" w:color="B8C4D1"/>
        </w:pBdr>
        <w:spacing w:after="100"/>
      </w:pPr>
    </w:p>
    <w:p>
      <w:pPr>
        <w:pStyle w:val="Heading3"/>
        <w:keepNext/>
      </w:pPr>
      <w:r>
        <w:rPr>
          <w:rFonts w:ascii="Aptos" w:hAnsi="Aptos" w:eastAsia="Aptos"/>
          <w:b w:val="0"/>
          <w:i w:val="0"/>
          <w:color w:val="0A1628"/>
          <w:sz w:val="20"/>
        </w:rPr>
        <w:t>10.2 Required Separation of Financial Values</w:t>
      </w:r>
    </w:p>
    <w:p>
      <w:r>
        <w:rPr>
          <w:rFonts w:ascii="Aptos" w:hAnsi="Aptos" w:eastAsia="Aptos"/>
          <w:b w:val="0"/>
          <w:i w:val="0"/>
          <w:color w:val="0A1628"/>
          <w:sz w:val="20"/>
        </w:rPr>
        <w:t>The system must separately store and calculate:</w:t>
      </w:r>
    </w:p>
    <w:p>
      <w:pPr>
        <w:pStyle w:val="ListNumber"/>
        <w:ind w:left="0"/>
      </w:pPr>
      <w:r>
        <w:rPr>
          <w:rFonts w:ascii="Aptos" w:hAnsi="Aptos" w:eastAsia="Aptos"/>
          <w:b w:val="0"/>
          <w:i w:val="0"/>
          <w:color w:val="0A1628"/>
          <w:sz w:val="20"/>
        </w:rPr>
        <w:t>Customer-facing delivery charge.</w:t>
      </w:r>
    </w:p>
    <w:p>
      <w:pPr>
        <w:pStyle w:val="ListNumber"/>
        <w:ind w:left="0"/>
      </w:pPr>
      <w:r>
        <w:rPr>
          <w:rFonts w:ascii="Aptos" w:hAnsi="Aptos" w:eastAsia="Aptos"/>
          <w:b w:val="0"/>
          <w:i w:val="0"/>
          <w:color w:val="0A1628"/>
          <w:sz w:val="20"/>
        </w:rPr>
        <w:t>Britium recognized delivery revenue.</w:t>
      </w:r>
    </w:p>
    <w:p>
      <w:pPr>
        <w:pStyle w:val="ListNumber"/>
        <w:ind w:left="0"/>
      </w:pPr>
      <w:r>
        <w:rPr>
          <w:rFonts w:ascii="Aptos" w:hAnsi="Aptos" w:eastAsia="Aptos"/>
          <w:b w:val="0"/>
          <w:i w:val="0"/>
          <w:color w:val="0A1628"/>
          <w:sz w:val="20"/>
        </w:rPr>
        <w:t>Merchant settlement.</w:t>
      </w:r>
    </w:p>
    <w:p>
      <w:pPr>
        <w:pStyle w:val="ListNumber"/>
        <w:ind w:left="0"/>
      </w:pPr>
      <w:r>
        <w:rPr>
          <w:rFonts w:ascii="Aptos" w:hAnsi="Aptos" w:eastAsia="Aptos"/>
          <w:b w:val="0"/>
          <w:i w:val="0"/>
          <w:color w:val="0A1628"/>
          <w:sz w:val="20"/>
        </w:rPr>
        <w:t>Highway line-haul cost.</w:t>
      </w:r>
    </w:p>
    <w:p>
      <w:pPr>
        <w:pStyle w:val="ListNumber"/>
        <w:ind w:left="0"/>
      </w:pPr>
      <w:r>
        <w:rPr>
          <w:rFonts w:ascii="Aptos" w:hAnsi="Aptos" w:eastAsia="Aptos"/>
          <w:b w:val="0"/>
          <w:i w:val="0"/>
          <w:color w:val="0A1628"/>
          <w:sz w:val="20"/>
        </w:rPr>
        <w:t>External last-mile delivery cost.</w:t>
      </w:r>
    </w:p>
    <w:p>
      <w:pPr>
        <w:pStyle w:val="ListNumber"/>
        <w:ind w:left="0"/>
      </w:pPr>
      <w:r>
        <w:rPr>
          <w:rFonts w:ascii="Aptos" w:hAnsi="Aptos" w:eastAsia="Aptos"/>
          <w:b w:val="0"/>
          <w:i w:val="0"/>
          <w:color w:val="0A1628"/>
          <w:sz w:val="20"/>
        </w:rPr>
        <w:t>External COD service fee.</w:t>
      </w:r>
    </w:p>
    <w:p>
      <w:pPr>
        <w:pStyle w:val="ListNumber"/>
        <w:ind w:left="0"/>
      </w:pPr>
      <w:r>
        <w:rPr>
          <w:rFonts w:ascii="Aptos" w:hAnsi="Aptos" w:eastAsia="Aptos"/>
          <w:b w:val="0"/>
          <w:i w:val="0"/>
          <w:color w:val="0A1628"/>
          <w:sz w:val="20"/>
        </w:rPr>
        <w:t>Partner discount margin.</w:t>
      </w:r>
    </w:p>
    <w:p>
      <w:pPr>
        <w:pStyle w:val="ListNumber"/>
        <w:ind w:left="0"/>
      </w:pPr>
      <w:r>
        <w:rPr>
          <w:rFonts w:ascii="Aptos" w:hAnsi="Aptos" w:eastAsia="Aptos"/>
          <w:b w:val="0"/>
          <w:i w:val="0"/>
          <w:color w:val="0A1628"/>
          <w:sz w:val="20"/>
        </w:rPr>
        <w:t>Partner monthly rebate.</w:t>
      </w:r>
    </w:p>
    <w:p>
      <w:pPr>
        <w:pStyle w:val="ListNumber"/>
        <w:ind w:left="0"/>
      </w:pPr>
      <w:r>
        <w:rPr>
          <w:rFonts w:ascii="Aptos" w:hAnsi="Aptos" w:eastAsia="Aptos"/>
          <w:b w:val="0"/>
          <w:i w:val="0"/>
          <w:color w:val="0A1628"/>
          <w:sz w:val="20"/>
        </w:rPr>
        <w:t>Partner penalties, credits and adjustments.</w:t>
      </w:r>
    </w:p>
    <w:p>
      <w:pPr>
        <w:pStyle w:val="ListNumber"/>
        <w:ind w:left="0"/>
      </w:pPr>
      <w:r>
        <w:rPr>
          <w:rFonts w:ascii="Aptos" w:hAnsi="Aptos" w:eastAsia="Aptos"/>
          <w:b w:val="0"/>
          <w:i w:val="0"/>
          <w:color w:val="0A1628"/>
          <w:sz w:val="20"/>
        </w:rPr>
        <w:t>Final outsourced fulfillment margin.</w:t>
      </w:r>
    </w:p>
    <w:p>
      <w:r>
        <w:rPr>
          <w:rFonts w:ascii="Aptos" w:hAnsi="Aptos" w:eastAsia="Aptos"/>
          <w:b w:val="0"/>
          <w:i w:val="0"/>
          <w:color w:val="0A1628"/>
          <w:sz w:val="20"/>
        </w:rPr>
        <w:t>Partner costs must never overwrite the merchant-declared delivery charge or the Britium customer tariff.</w:t>
      </w:r>
    </w:p>
    <w:p>
      <w:r>
        <w:rPr>
          <w:rFonts w:ascii="Aptos" w:hAnsi="Aptos" w:eastAsia="Aptos"/>
          <w:b w:val="0"/>
          <w:i w:val="0"/>
          <w:color w:val="0A1628"/>
          <w:sz w:val="20"/>
        </w:rPr>
        <w:t>The existing merchant settlement rule remains: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Merchant Delivery Difference</w:t>
              <w:br/>
              <w:t>= Effective Merchant-Declared Delivery Charge</w:t>
              <w:br/>
              <w:t>- Britium Net System Delivery Charge</w:t>
            </w:r>
          </w:p>
        </w:tc>
      </w:tr>
    </w:tbl>
    <w:p>
      <w:pPr>
        <w:spacing w:after="0"/>
      </w:pPr>
    </w:p>
    <w:p>
      <w:r>
        <w:rPr>
          <w:rFonts w:ascii="Aptos" w:hAnsi="Aptos" w:eastAsia="Aptos"/>
          <w:b w:val="0"/>
          <w:i w:val="0"/>
          <w:color w:val="0A1628"/>
          <w:sz w:val="20"/>
        </w:rPr>
        <w:t>Outsourced fulfillment profitability is a separate calculation.</w:t>
      </w:r>
    </w:p>
    <w:p>
      <w:pPr>
        <w:pBdr>
          <w:bottom w:val="single" w:sz="5" w:space="3" w:color="B8C4D1"/>
        </w:pBdr>
        <w:spacing w:after="100"/>
      </w:pPr>
    </w:p>
    <w:p>
      <w:pPr>
        <w:pStyle w:val="Heading3"/>
        <w:keepNext/>
      </w:pPr>
      <w:r>
        <w:rPr>
          <w:rFonts w:ascii="Aptos" w:hAnsi="Aptos" w:eastAsia="Aptos"/>
          <w:b w:val="0"/>
          <w:i w:val="0"/>
          <w:color w:val="0A1628"/>
          <w:sz w:val="20"/>
        </w:rPr>
        <w:t>10.3 Mandalay Fulfillment Model - DK Delivery Service</w:t>
      </w:r>
    </w:p>
    <w:p>
      <w:pPr>
        <w:pStyle w:val="Heading4"/>
        <w:keepNext/>
      </w:pPr>
      <w:r>
        <w:rPr>
          <w:rFonts w:ascii="Aptos" w:hAnsi="Aptos" w:eastAsia="Aptos"/>
          <w:b w:val="0"/>
          <w:i w:val="0"/>
          <w:color w:val="0A1628"/>
          <w:sz w:val="20"/>
        </w:rPr>
        <w:t>10.3.1 Customer Charge</w:t>
      </w:r>
    </w:p>
    <w:p>
      <w:r>
        <w:rPr>
          <w:rFonts w:ascii="Aptos" w:hAnsi="Aptos" w:eastAsia="Aptos"/>
          <w:b w:val="0"/>
          <w:i w:val="0"/>
          <w:color w:val="0A1628"/>
          <w:sz w:val="20"/>
        </w:rPr>
        <w:t>For a Mandalay parcel, Britium must charge according to its active Yangon-Mandalay tariff:</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Britium Customer Delivery Charge</w:t>
              <w:br/>
              <w:t>= Mandalay Base Tariff</w:t>
              <w:br/>
              <w:t>+ Britium Extra-Weight Surcharge</w:t>
              <w:br/>
              <w:t>+ Britium CBM Surcharge</w:t>
              <w:br/>
              <w:t>+ Other Approved Customer-Facing Surcharges</w:t>
            </w:r>
          </w:p>
        </w:tc>
      </w:tr>
    </w:tbl>
    <w:p>
      <w:pPr>
        <w:spacing w:after="0"/>
      </w:pPr>
    </w:p>
    <w:p>
      <w:r>
        <w:rPr>
          <w:rFonts w:ascii="Aptos" w:hAnsi="Aptos" w:eastAsia="Aptos"/>
          <w:b w:val="0"/>
          <w:i w:val="0"/>
          <w:color w:val="0A1628"/>
          <w:sz w:val="20"/>
        </w:rPr>
        <w:t>The current Mandalay base tariff is 6,000 MMK. Customer-tier included-weight and extra-weight rules continue to come from the Britium tariff master.</w:t>
      </w:r>
    </w:p>
    <w:p>
      <w:r>
        <w:rPr>
          <w:rFonts w:ascii="Aptos" w:hAnsi="Aptos" w:eastAsia="Aptos"/>
          <w:b w:val="0"/>
          <w:i w:val="0"/>
          <w:color w:val="0A1628"/>
          <w:sz w:val="20"/>
        </w:rPr>
        <w:t>The DK last-mile rate must not replace the 6,000 MMK Britium customer tariff.</w:t>
      </w:r>
    </w:p>
    <w:p>
      <w:pPr>
        <w:pStyle w:val="Heading4"/>
        <w:keepNext/>
      </w:pPr>
      <w:r>
        <w:rPr>
          <w:rFonts w:ascii="Aptos" w:hAnsi="Aptos" w:eastAsia="Aptos"/>
          <w:b w:val="0"/>
          <w:i w:val="0"/>
          <w:color w:val="0A1628"/>
          <w:sz w:val="20"/>
        </w:rPr>
        <w:t>10.3.2 Britium Cost Stack</w:t>
      </w:r>
    </w:p>
    <w:p>
      <w:r>
        <w:rPr>
          <w:rFonts w:ascii="Aptos" w:hAnsi="Aptos" w:eastAsia="Aptos"/>
          <w:b w:val="0"/>
          <w:i w:val="0"/>
          <w:color w:val="0A1628"/>
          <w:sz w:val="20"/>
        </w:rPr>
        <w:t>Britium bears two principal fulfillment costs:</w:t>
      </w:r>
    </w:p>
    <w:p>
      <w:pPr>
        <w:pStyle w:val="ListNumber"/>
        <w:ind w:left="0"/>
      </w:pPr>
      <w:r>
        <w:rPr>
          <w:rFonts w:ascii="Aptos" w:hAnsi="Aptos" w:eastAsia="Aptos"/>
          <w:b w:val="0"/>
          <w:i w:val="0"/>
          <w:color w:val="0A1628"/>
          <w:sz w:val="20"/>
        </w:rPr>
        <w:t>Yangon-to-Mandalay highway bus transportation.</w:t>
      </w:r>
    </w:p>
    <w:p>
      <w:pPr>
        <w:pStyle w:val="ListNumber"/>
        <w:ind w:left="0"/>
      </w:pPr>
      <w:r>
        <w:rPr>
          <w:rFonts w:ascii="Aptos" w:hAnsi="Aptos" w:eastAsia="Aptos"/>
          <w:b w:val="0"/>
          <w:i w:val="0"/>
          <w:color w:val="0A1628"/>
          <w:sz w:val="20"/>
        </w:rPr>
        <w:t>DK Delivery Service last-mile delivery within Mandalay.</w:t>
      </w:r>
    </w:p>
    <w:p>
      <w:r>
        <w:rPr>
          <w:rFonts w:ascii="Aptos" w:hAnsi="Aptos" w:eastAsia="Aptos"/>
          <w:b w:val="0"/>
          <w:i w:val="0"/>
          <w:color w:val="0A1628"/>
          <w:sz w:val="20"/>
        </w:rPr>
        <w:t>Calculate: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Total Mandalay Fulfillment Cost</w:t>
              <w:br/>
              <w:t>= Allocated Highway Line-Haul Cost</w:t>
              <w:br/>
              <w:t>+ DK Base Last-Mile Fee</w:t>
              <w:br/>
              <w:t>+ DK Weight/Size Surcharge</w:t>
              <w:br/>
              <w:t>+ Other Approved DK Charges</w:t>
              <w:br/>
              <w:t>+ Other Approved Handling Costs</w:t>
              <w:br/>
              <w:t>- DK Credits</w:t>
              <w:br/>
              <w:t>- DK Penalties</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Mandalay Fulfillment Margin</w:t>
              <w:br/>
              <w:t>= Britium Recognized Delivery Revenue</w:t>
              <w:br/>
              <w:t>- Total Mandalay Fulfillment Cost</w:t>
            </w:r>
          </w:p>
        </w:tc>
      </w:tr>
    </w:tbl>
    <w:p>
      <w:pPr>
        <w:spacing w:after="0"/>
      </w:pPr>
    </w:p>
    <w:p>
      <w:r>
        <w:rPr>
          <w:rFonts w:ascii="Aptos" w:hAnsi="Aptos" w:eastAsia="Aptos"/>
          <w:b w:val="0"/>
          <w:i w:val="0"/>
          <w:color w:val="0A1628"/>
          <w:sz w:val="20"/>
        </w:rPr>
        <w:t>A negative margin must be shown as a company loss. It must not automatically be charged to the merchant or receiver.</w:t>
      </w:r>
    </w:p>
    <w:p>
      <w:pPr>
        <w:pStyle w:val="Heading4"/>
        <w:keepNext/>
      </w:pPr>
      <w:r>
        <w:rPr>
          <w:rFonts w:ascii="Aptos" w:hAnsi="Aptos" w:eastAsia="Aptos"/>
          <w:b w:val="0"/>
          <w:i w:val="0"/>
          <w:color w:val="0A1628"/>
          <w:sz w:val="20"/>
        </w:rPr>
        <w:t>10.3.3 DK Rate Bands</w:t>
      </w:r>
    </w:p>
    <w:p>
      <w:r>
        <w:rPr>
          <w:rFonts w:ascii="Aptos" w:hAnsi="Aptos" w:eastAsia="Aptos"/>
          <w:b w:val="0"/>
          <w:i w:val="0"/>
          <w:color w:val="0A1628"/>
          <w:sz w:val="20"/>
        </w:rPr>
        <w:t>The DK partnership map must be converted into an approved service-area rate master.</w:t>
      </w:r>
    </w:p>
    <w:p>
      <w:r>
        <w:rPr>
          <w:rFonts w:ascii="Aptos" w:hAnsi="Aptos" w:eastAsia="Aptos"/>
          <w:b w:val="0"/>
          <w:i w:val="0"/>
          <w:color w:val="0A1628"/>
          <w:sz w:val="20"/>
        </w:rPr>
        <w:t>Supported base fee bands shown in the source are: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DK_INNER_AREA      2,000 MMK</w:t>
              <w:br/>
              <w:t>DK_OUTER_AREA      2,500 MMK</w:t>
              <w:br/>
              <w:t>DK_EXTENDED_AREA   3,000 MMK</w:t>
            </w:r>
          </w:p>
        </w:tc>
      </w:tr>
    </w:tbl>
    <w:p>
      <w:pPr>
        <w:spacing w:after="0"/>
      </w:pPr>
    </w:p>
    <w:p>
      <w:r>
        <w:rPr>
          <w:rFonts w:ascii="Aptos" w:hAnsi="Aptos" w:eastAsia="Aptos"/>
          <w:b w:val="0"/>
          <w:i w:val="0"/>
          <w:color w:val="0A1628"/>
          <w:sz w:val="20"/>
        </w:rPr>
        <w:t>The source also states an additional 500/1,000 MMK when the parcel exceeds 2 kg or the stated one-foot size condition. The exact rule that determines 500 versus 1,000 MMK is not sufficiently defined in the source and must remain configurable and unapproved until DK or Britium Finance confirms it.</w:t>
      </w:r>
    </w:p>
    <w:p>
      <w:r>
        <w:rPr>
          <w:rFonts w:ascii="Aptos" w:hAnsi="Aptos" w:eastAsia="Aptos"/>
          <w:b w:val="0"/>
          <w:i w:val="0"/>
          <w:color w:val="0A1628"/>
          <w:sz w:val="20"/>
        </w:rPr>
        <w:t>Required surcharge fields: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overweight_threshold_kg = 2</w:t>
              <w:br/>
              <w:t>oversize_threshold_description = "1-foot size condition from DK quotation"</w:t>
              <w:br/>
              <w:t>surcharge_500_rule</w:t>
              <w:br/>
              <w:t>surcharge_1000_rule</w:t>
              <w:br/>
              <w:t>surcharge_status = PENDING_CONFIRMATION | ACTIVE | INACTIVE</w:t>
            </w:r>
          </w:p>
        </w:tc>
      </w:tr>
    </w:tbl>
    <w:p>
      <w:pPr>
        <w:spacing w:after="0"/>
      </w:pPr>
    </w:p>
    <w:p>
      <w:r>
        <w:rPr>
          <w:rFonts w:ascii="Aptos" w:hAnsi="Aptos" w:eastAsia="Aptos"/>
          <w:b w:val="0"/>
          <w:i w:val="0"/>
          <w:color w:val="0A1628"/>
          <w:sz w:val="20"/>
        </w:rPr>
        <w:t>The backend must not guess which surcharge applies.</w:t>
      </w:r>
    </w:p>
    <w:p>
      <w:pPr>
        <w:pStyle w:val="Heading4"/>
        <w:keepNext/>
      </w:pPr>
      <w:r>
        <w:rPr>
          <w:rFonts w:ascii="Aptos" w:hAnsi="Aptos" w:eastAsia="Aptos"/>
          <w:b w:val="0"/>
          <w:i w:val="0"/>
          <w:color w:val="0A1628"/>
          <w:sz w:val="20"/>
        </w:rPr>
        <w:t>10.3.4 DK Area Master</w:t>
      </w:r>
    </w:p>
    <w:p>
      <w:r>
        <w:rPr>
          <w:rFonts w:ascii="Aptos" w:hAnsi="Aptos" w:eastAsia="Aptos"/>
          <w:b w:val="0"/>
          <w:i w:val="0"/>
          <w:color w:val="0A1628"/>
          <w:sz w:val="20"/>
        </w:rPr>
        <w:t>Create: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be_partner_service_areas</w:t>
            </w:r>
          </w:p>
        </w:tc>
      </w:tr>
    </w:tbl>
    <w:p>
      <w:pPr>
        <w:spacing w:after="0"/>
      </w:pPr>
    </w:p>
    <w:p>
      <w:r>
        <w:rPr>
          <w:rFonts w:ascii="Aptos" w:hAnsi="Aptos" w:eastAsia="Aptos"/>
          <w:b w:val="0"/>
          <w:i w:val="0"/>
          <w:color w:val="0A1628"/>
          <w:sz w:val="20"/>
        </w:rPr>
        <w:t>Required fields: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id</w:t>
              <w:br/>
              <w:t>partner_code = DK_DELIVERY</w:t>
              <w:br/>
              <w:t>area_code</w:t>
              <w:br/>
              <w:t>area_name_en</w:t>
              <w:br/>
              <w:t>area_name_mm</w:t>
              <w:br/>
              <w:t>area_aliases</w:t>
              <w:br/>
              <w:t>city = Mandalay</w:t>
              <w:br/>
              <w:t>zone_band = INNER | OUTER | EXTENDED</w:t>
              <w:br/>
              <w:t>base_fee_mmk = 2000 | 2500 | 3000</w:t>
              <w:br/>
              <w:t>geo_polygon_or_boundary_reference</w:t>
              <w:br/>
              <w:t>source_document_id</w:t>
              <w:br/>
              <w:t>effective_from</w:t>
              <w:br/>
              <w:t>effective_to</w:t>
              <w:br/>
              <w:t>status</w:t>
              <w:br/>
              <w:t>approved_by</w:t>
              <w:br/>
              <w:t>approved_at</w:t>
            </w:r>
          </w:p>
        </w:tc>
      </w:tr>
    </w:tbl>
    <w:p>
      <w:pPr>
        <w:spacing w:after="0"/>
      </w:pPr>
    </w:p>
    <w:p>
      <w:r>
        <w:rPr>
          <w:rFonts w:ascii="Aptos" w:hAnsi="Aptos" w:eastAsia="Aptos"/>
          <w:b w:val="0"/>
          <w:i w:val="0"/>
          <w:color w:val="0A1628"/>
          <w:sz w:val="20"/>
        </w:rPr>
        <w:t>Every Mandalay parcel must resolve to one DK area row before partner settlement.</w:t>
      </w:r>
    </w:p>
    <w:p>
      <w:r>
        <w:rPr>
          <w:rFonts w:ascii="Aptos" w:hAnsi="Aptos" w:eastAsia="Aptos"/>
          <w:b w:val="0"/>
          <w:i w:val="0"/>
          <w:color w:val="0A1628"/>
          <w:sz w:val="20"/>
        </w:rPr>
        <w:t>If the area cannot be resolved, set: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exception_code = DK_AREA_RATE_NOT_FOUND</w:t>
              <w:br/>
              <w:t>partner_settlement_eligible = false</w:t>
            </w:r>
          </w:p>
        </w:tc>
      </w:tr>
    </w:tbl>
    <w:p>
      <w:pPr>
        <w:spacing w:after="0"/>
      </w:pPr>
    </w:p>
    <w:p>
      <w:pPr>
        <w:pStyle w:val="Heading4"/>
        <w:keepNext/>
      </w:pPr>
      <w:r>
        <w:rPr>
          <w:rFonts w:ascii="Aptos" w:hAnsi="Aptos" w:eastAsia="Aptos"/>
          <w:b w:val="0"/>
          <w:i w:val="0"/>
          <w:color w:val="0A1628"/>
          <w:sz w:val="20"/>
        </w:rPr>
        <w:t>10.3.5 Highway Transportation Cost</w:t>
      </w:r>
    </w:p>
    <w:p>
      <w:r>
        <w:rPr>
          <w:rFonts w:ascii="Aptos" w:hAnsi="Aptos" w:eastAsia="Aptos"/>
          <w:b w:val="0"/>
          <w:i w:val="0"/>
          <w:color w:val="0A1628"/>
          <w:sz w:val="20"/>
        </w:rPr>
        <w:t>Highway bus cost must be recorded independently from DK cost.</w:t>
      </w:r>
    </w:p>
    <w:p>
      <w:r>
        <w:rPr>
          <w:rFonts w:ascii="Aptos" w:hAnsi="Aptos" w:eastAsia="Aptos"/>
          <w:b w:val="0"/>
          <w:i w:val="0"/>
          <w:color w:val="0A1628"/>
          <w:sz w:val="20"/>
        </w:rPr>
        <w:t>Create a line-haul manifest containing:</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manifest_id</w:t>
              <w:br/>
              <w:t>origin = YGN</w:t>
              <w:br/>
              <w:t>destination = MDY</w:t>
              <w:br/>
              <w:t>bus_operator</w:t>
              <w:br/>
              <w:t>bus_reference</w:t>
              <w:br/>
              <w:t>sent_at</w:t>
              <w:br/>
              <w:t>received_at</w:t>
              <w:br/>
              <w:t>total_parcels</w:t>
              <w:br/>
              <w:t>total_actual_weight</w:t>
              <w:br/>
              <w:t>total_volumetric_weight</w:t>
              <w:br/>
              <w:t>total_transport_cost_mmk</w:t>
              <w:br/>
              <w:t>loading_cost_mmk</w:t>
              <w:br/>
              <w:t>unloading_cost_mmk</w:t>
              <w:br/>
              <w:t>other_cost_mmk</w:t>
              <w:br/>
              <w:t>receipt_attachment</w:t>
              <w:br/>
              <w:t>status</w:t>
            </w:r>
          </w:p>
        </w:tc>
      </w:tr>
    </w:tbl>
    <w:p>
      <w:pPr>
        <w:spacing w:after="0"/>
      </w:pPr>
    </w:p>
    <w:p>
      <w:r>
        <w:rPr>
          <w:rFonts w:ascii="Aptos" w:hAnsi="Aptos" w:eastAsia="Aptos"/>
          <w:b w:val="0"/>
          <w:i w:val="0"/>
          <w:color w:val="0A1628"/>
          <w:sz w:val="20"/>
        </w:rPr>
        <w:t>Supported allocation methods: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EQUAL_PER_WAY</w:t>
              <w:br/>
              <w:t>BY_ACTUAL_WEIGHT</w:t>
              <w:br/>
              <w:t>BY_CHARGEABLE_WEIGHT</w:t>
              <w:br/>
              <w:t>BY_VOLUMETRIC_WEIGHT</w:t>
              <w:br/>
              <w:t>MANUAL_APPROVED</w:t>
            </w:r>
          </w:p>
        </w:tc>
      </w:tr>
    </w:tbl>
    <w:p>
      <w:pPr>
        <w:spacing w:after="0"/>
      </w:pPr>
    </w:p>
    <w:p>
      <w:r>
        <w:rPr>
          <w:rFonts w:ascii="Aptos" w:hAnsi="Aptos" w:eastAsia="Aptos"/>
          <w:b w:val="0"/>
          <w:i w:val="0"/>
          <w:color w:val="0A1628"/>
          <w:sz w:val="20"/>
        </w:rPr>
        <w:t>The selected method must be stored on the manifest.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Allocated Highway Cost per Parcel</w:t>
              <w:br/>
              <w:t>= Manifest Cost allocated using the saved allocation method</w:t>
            </w:r>
          </w:p>
        </w:tc>
      </w:tr>
    </w:tbl>
    <w:p>
      <w:pPr>
        <w:spacing w:after="0"/>
      </w:pPr>
    </w:p>
    <w:p>
      <w:r>
        <w:rPr>
          <w:rFonts w:ascii="Aptos" w:hAnsi="Aptos" w:eastAsia="Aptos"/>
          <w:b w:val="0"/>
          <w:i w:val="0"/>
          <w:color w:val="0A1628"/>
          <w:sz w:val="20"/>
        </w:rPr>
        <w:t>A settled parcel must retain its allocation snapshot even when the manifest is later corrected. Corrections must use adjustment entries.</w:t>
      </w:r>
    </w:p>
    <w:p>
      <w:pPr>
        <w:pStyle w:val="Heading4"/>
        <w:keepNext/>
      </w:pPr>
      <w:r>
        <w:rPr>
          <w:rFonts w:ascii="Aptos" w:hAnsi="Aptos" w:eastAsia="Aptos"/>
          <w:b w:val="0"/>
          <w:i w:val="0"/>
          <w:color w:val="0A1628"/>
          <w:sz w:val="20"/>
        </w:rPr>
        <w:t>10.3.6 DK Settlement Eligibility</w:t>
      </w:r>
    </w:p>
    <w:p>
      <w:r>
        <w:rPr>
          <w:rFonts w:ascii="Aptos" w:hAnsi="Aptos" w:eastAsia="Aptos"/>
          <w:b w:val="0"/>
          <w:i w:val="0"/>
          <w:color w:val="0A1628"/>
          <w:sz w:val="20"/>
        </w:rPr>
        <w:t>A DK parcel is eligible only when:</w:t>
      </w:r>
    </w:p>
    <w:p>
      <w:pPr>
        <w:pStyle w:val="ListBullet"/>
        <w:ind w:left="0"/>
      </w:pPr>
      <w:r>
        <w:rPr>
          <w:rFonts w:ascii="Aptos" w:hAnsi="Aptos" w:eastAsia="Aptos"/>
          <w:b w:val="0"/>
          <w:i w:val="0"/>
          <w:color w:val="0A1628"/>
          <w:sz w:val="20"/>
        </w:rPr>
        <w:t>Britium Way ID is valid.</w:t>
      </w:r>
    </w:p>
    <w:p>
      <w:pPr>
        <w:pStyle w:val="ListBullet"/>
        <w:ind w:left="0"/>
      </w:pPr>
      <w:r>
        <w:rPr>
          <w:rFonts w:ascii="Aptos" w:hAnsi="Aptos" w:eastAsia="Aptos"/>
          <w:b w:val="0"/>
          <w:i w:val="0"/>
          <w:color w:val="0A1628"/>
          <w:sz w:val="20"/>
        </w:rPr>
        <w:t>Mandalay routing is confirmed.</w:t>
      </w:r>
    </w:p>
    <w:p>
      <w:pPr>
        <w:pStyle w:val="ListBullet"/>
        <w:ind w:left="0"/>
      </w:pPr>
      <w:r>
        <w:rPr>
          <w:rFonts w:ascii="Aptos" w:hAnsi="Aptos" w:eastAsia="Aptos"/>
          <w:b w:val="0"/>
          <w:i w:val="0"/>
          <w:color w:val="0A1628"/>
          <w:sz w:val="20"/>
        </w:rPr>
        <w:t>Highway handover is confirmed.</w:t>
      </w:r>
    </w:p>
    <w:p>
      <w:pPr>
        <w:pStyle w:val="ListBullet"/>
        <w:ind w:left="0"/>
      </w:pPr>
      <w:r>
        <w:rPr>
          <w:rFonts w:ascii="Aptos" w:hAnsi="Aptos" w:eastAsia="Aptos"/>
          <w:b w:val="0"/>
          <w:i w:val="0"/>
          <w:color w:val="0A1628"/>
          <w:sz w:val="20"/>
        </w:rPr>
        <w:t>DK handover is accepted.</w:t>
      </w:r>
    </w:p>
    <w:p>
      <w:pPr>
        <w:pStyle w:val="ListBullet"/>
        <w:ind w:left="0"/>
      </w:pPr>
      <w:r>
        <w:rPr>
          <w:rFonts w:ascii="Aptos" w:hAnsi="Aptos" w:eastAsia="Aptos"/>
          <w:b w:val="0"/>
          <w:i w:val="0"/>
          <w:color w:val="0A1628"/>
          <w:sz w:val="20"/>
        </w:rPr>
        <w:t>DK area rate is resolved.</w:t>
      </w:r>
    </w:p>
    <w:p>
      <w:pPr>
        <w:pStyle w:val="ListBullet"/>
        <w:ind w:left="0"/>
      </w:pPr>
      <w:r>
        <w:rPr>
          <w:rFonts w:ascii="Aptos" w:hAnsi="Aptos" w:eastAsia="Aptos"/>
          <w:b w:val="0"/>
          <w:i w:val="0"/>
          <w:color w:val="0A1628"/>
          <w:sz w:val="20"/>
        </w:rPr>
        <w:t>Delivery status is completed.</w:t>
      </w:r>
    </w:p>
    <w:p>
      <w:pPr>
        <w:pStyle w:val="ListBullet"/>
        <w:ind w:left="0"/>
      </w:pPr>
      <w:r>
        <w:rPr>
          <w:rFonts w:ascii="Aptos" w:hAnsi="Aptos" w:eastAsia="Aptos"/>
          <w:b w:val="0"/>
          <w:i w:val="0"/>
          <w:color w:val="0A1628"/>
          <w:sz w:val="20"/>
        </w:rPr>
        <w:t>POD is verified.</w:t>
      </w:r>
    </w:p>
    <w:p>
      <w:pPr>
        <w:pStyle w:val="ListBullet"/>
        <w:ind w:left="0"/>
      </w:pPr>
      <w:r>
        <w:rPr>
          <w:rFonts w:ascii="Aptos" w:hAnsi="Aptos" w:eastAsia="Aptos"/>
          <w:b w:val="0"/>
          <w:i w:val="0"/>
          <w:color w:val="0A1628"/>
          <w:sz w:val="20"/>
        </w:rPr>
        <w:t>DK charge calculation is valid.</w:t>
      </w:r>
    </w:p>
    <w:p>
      <w:pPr>
        <w:pStyle w:val="ListBullet"/>
        <w:ind w:left="0"/>
      </w:pPr>
      <w:r>
        <w:rPr>
          <w:rFonts w:ascii="Aptos" w:hAnsi="Aptos" w:eastAsia="Aptos"/>
          <w:b w:val="0"/>
          <w:i w:val="0"/>
          <w:color w:val="0A1628"/>
          <w:sz w:val="20"/>
        </w:rPr>
        <w:t>No financial hold exists.</w:t>
      </w:r>
    </w:p>
    <w:p>
      <w:pPr>
        <w:pStyle w:val="ListBullet"/>
        <w:ind w:left="0"/>
      </w:pPr>
      <w:r>
        <w:rPr>
          <w:rFonts w:ascii="Aptos" w:hAnsi="Aptos" w:eastAsia="Aptos"/>
          <w:b w:val="0"/>
          <w:i w:val="0"/>
          <w:color w:val="0A1628"/>
          <w:sz w:val="20"/>
        </w:rPr>
        <w:t>The parcel is not already in a finalized partner batch.</w:t>
      </w:r>
    </w:p>
    <w:p>
      <w:pPr>
        <w:pBdr>
          <w:bottom w:val="single" w:sz="5" w:space="3" w:color="B8C4D1"/>
        </w:pBdr>
        <w:spacing w:after="100"/>
      </w:pPr>
    </w:p>
    <w:p>
      <w:pPr>
        <w:pStyle w:val="Heading3"/>
        <w:keepNext/>
      </w:pPr>
      <w:r>
        <w:rPr>
          <w:rFonts w:ascii="Aptos" w:hAnsi="Aptos" w:eastAsia="Aptos"/>
          <w:b w:val="0"/>
          <w:i w:val="0"/>
          <w:color w:val="0A1628"/>
          <w:sz w:val="20"/>
        </w:rPr>
        <w:t>10.4 Royal Express Fulfillment Model</w:t>
      </w:r>
    </w:p>
    <w:p>
      <w:pPr>
        <w:pStyle w:val="Heading4"/>
        <w:keepNext/>
      </w:pPr>
      <w:r>
        <w:rPr>
          <w:rFonts w:ascii="Aptos" w:hAnsi="Aptos" w:eastAsia="Aptos"/>
          <w:b w:val="0"/>
          <w:i w:val="0"/>
          <w:color w:val="0A1628"/>
          <w:sz w:val="20"/>
        </w:rPr>
        <w:t>10.4.1 Contract Components</w:t>
      </w:r>
    </w:p>
    <w:p>
      <w:r>
        <w:rPr>
          <w:rFonts w:ascii="Aptos" w:hAnsi="Aptos" w:eastAsia="Aptos"/>
          <w:b w:val="0"/>
          <w:i w:val="0"/>
          <w:color w:val="0A1628"/>
          <w:sz w:val="20"/>
        </w:rPr>
        <w:t>The Royal Express quotation contains distinct components:</w:t>
      </w:r>
    </w:p>
    <w:p>
      <w:pPr>
        <w:pStyle w:val="ListNumber"/>
        <w:ind w:left="0"/>
      </w:pPr>
      <w:r>
        <w:rPr>
          <w:rFonts w:ascii="Aptos" w:hAnsi="Aptos" w:eastAsia="Aptos"/>
          <w:b w:val="0"/>
          <w:i w:val="0"/>
          <w:color w:val="0A1628"/>
          <w:sz w:val="20"/>
        </w:rPr>
      </w:r>
      <w:r>
        <w:rPr>
          <w:rFonts w:ascii="Aptos" w:hAnsi="Aptos" w:eastAsia="Aptos"/>
          <w:b/>
          <w:i w:val="0"/>
          <w:color w:val="0A1628"/>
          <w:sz w:val="20"/>
        </w:rPr>
        <w:t>Normal Price:</w:t>
      </w:r>
      <w:r>
        <w:rPr>
          <w:rFonts w:ascii="Aptos" w:hAnsi="Aptos" w:eastAsia="Aptos"/>
          <w:b w:val="0"/>
          <w:i w:val="0"/>
          <w:color w:val="0A1628"/>
          <w:sz w:val="20"/>
        </w:rPr>
        <w:t xml:space="preserve"> customer-facing standard delivery rate.</w:t>
      </w:r>
    </w:p>
    <w:p>
      <w:pPr>
        <w:pStyle w:val="ListNumber"/>
        <w:ind w:left="0"/>
      </w:pPr>
      <w:r>
        <w:rPr>
          <w:rFonts w:ascii="Aptos" w:hAnsi="Aptos" w:eastAsia="Aptos"/>
          <w:b w:val="0"/>
          <w:i w:val="0"/>
          <w:color w:val="0A1628"/>
          <w:sz w:val="20"/>
        </w:rPr>
      </w:r>
      <w:r>
        <w:rPr>
          <w:rFonts w:ascii="Aptos" w:hAnsi="Aptos" w:eastAsia="Aptos"/>
          <w:b/>
          <w:i w:val="0"/>
          <w:color w:val="0A1628"/>
          <w:sz w:val="20"/>
        </w:rPr>
        <w:t>Discounted Rate:</w:t>
      </w:r>
      <w:r>
        <w:rPr>
          <w:rFonts w:ascii="Aptos" w:hAnsi="Aptos" w:eastAsia="Aptos"/>
          <w:b w:val="0"/>
          <w:i w:val="0"/>
          <w:color w:val="0A1628"/>
          <w:sz w:val="20"/>
        </w:rPr>
        <w:t xml:space="preserve"> Britium business-partner rate for 0.1-3 kg, reflecting a 15% discount.</w:t>
      </w:r>
    </w:p>
    <w:p>
      <w:pPr>
        <w:pStyle w:val="ListNumber"/>
        <w:ind w:left="0"/>
      </w:pPr>
      <w:r>
        <w:rPr>
          <w:rFonts w:ascii="Aptos" w:hAnsi="Aptos" w:eastAsia="Aptos"/>
          <w:b w:val="0"/>
          <w:i w:val="0"/>
          <w:color w:val="0A1628"/>
          <w:sz w:val="20"/>
        </w:rPr>
      </w:r>
      <w:r>
        <w:rPr>
          <w:rFonts w:ascii="Aptos" w:hAnsi="Aptos" w:eastAsia="Aptos"/>
          <w:b/>
          <w:i w:val="0"/>
          <w:color w:val="0A1628"/>
          <w:sz w:val="20"/>
        </w:rPr>
        <w:t>Next 1 Kg:</w:t>
      </w:r>
      <w:r>
        <w:rPr>
          <w:rFonts w:ascii="Aptos" w:hAnsi="Aptos" w:eastAsia="Aptos"/>
          <w:b w:val="0"/>
          <w:i w:val="0"/>
          <w:color w:val="0A1628"/>
          <w:sz w:val="20"/>
        </w:rPr>
        <w:t xml:space="preserve"> extra-weight rate by destination/zone.</w:t>
      </w:r>
    </w:p>
    <w:p>
      <w:pPr>
        <w:pStyle w:val="ListNumber"/>
        <w:ind w:left="0"/>
      </w:pPr>
      <w:r>
        <w:rPr>
          <w:rFonts w:ascii="Aptos" w:hAnsi="Aptos" w:eastAsia="Aptos"/>
          <w:b w:val="0"/>
          <w:i w:val="0"/>
          <w:color w:val="0A1628"/>
          <w:sz w:val="20"/>
        </w:rPr>
      </w:r>
      <w:r>
        <w:rPr>
          <w:rFonts w:ascii="Aptos" w:hAnsi="Aptos" w:eastAsia="Aptos"/>
          <w:b/>
          <w:i w:val="0"/>
          <w:color w:val="0A1628"/>
          <w:sz w:val="20"/>
        </w:rPr>
        <w:t>COD Service Fee.</w:t>
      </w:r>
      <w:r>
        <w:rPr>
          <w:rFonts w:ascii="Aptos" w:hAnsi="Aptos" w:eastAsia="Aptos"/>
          <w:b w:val="0"/>
          <w:i w:val="0"/>
          <w:color w:val="0A1628"/>
          <w:sz w:val="20"/>
        </w:rPr>
      </w:r>
    </w:p>
    <w:p>
      <w:pPr>
        <w:pStyle w:val="ListNumber"/>
        <w:ind w:left="0"/>
      </w:pPr>
      <w:r>
        <w:rPr>
          <w:rFonts w:ascii="Aptos" w:hAnsi="Aptos" w:eastAsia="Aptos"/>
          <w:b w:val="0"/>
          <w:i w:val="0"/>
          <w:color w:val="0A1628"/>
          <w:sz w:val="20"/>
        </w:rPr>
      </w:r>
      <w:r>
        <w:rPr>
          <w:rFonts w:ascii="Aptos" w:hAnsi="Aptos" w:eastAsia="Aptos"/>
          <w:b/>
          <w:i w:val="0"/>
          <w:color w:val="0A1628"/>
          <w:sz w:val="20"/>
        </w:rPr>
        <w:t>Monthly completed-waybill rebate tier.</w:t>
      </w:r>
      <w:r>
        <w:rPr>
          <w:rFonts w:ascii="Aptos" w:hAnsi="Aptos" w:eastAsia="Aptos"/>
          <w:b w:val="0"/>
          <w:i w:val="0"/>
          <w:color w:val="0A1628"/>
          <w:sz w:val="20"/>
        </w:rPr>
      </w:r>
    </w:p>
    <w:p>
      <w:pPr>
        <w:pStyle w:val="ListNumber"/>
        <w:ind w:left="0"/>
      </w:pPr>
      <w:r>
        <w:rPr>
          <w:rFonts w:ascii="Aptos" w:hAnsi="Aptos" w:eastAsia="Aptos"/>
          <w:b w:val="0"/>
          <w:i w:val="0"/>
          <w:color w:val="0A1628"/>
          <w:sz w:val="20"/>
        </w:rPr>
        <w:t>Operational and compensation terms.</w:t>
      </w:r>
    </w:p>
    <w:p>
      <w:r>
        <w:rPr>
          <w:rFonts w:ascii="Aptos" w:hAnsi="Aptos" w:eastAsia="Aptos"/>
          <w:b w:val="0"/>
          <w:i w:val="0"/>
          <w:color w:val="0A1628"/>
          <w:sz w:val="20"/>
        </w:rPr>
        <w:t xml:space="preserve">The backend must not store these as one amount called </w:t>
      </w:r>
      <w:r>
        <w:rPr>
          <w:rFonts w:ascii="Consolas" w:hAnsi="Consolas" w:eastAsia="Consolas"/>
          <w:b w:val="0"/>
          <w:i w:val="0"/>
          <w:color w:val="0A1628"/>
          <w:sz w:val="17"/>
          <w:shd w:fill="EEF2F6"/>
        </w:rPr>
        <w:t>commission</w:t>
      </w:r>
      <w:r>
        <w:rPr>
          <w:rFonts w:ascii="Aptos" w:hAnsi="Aptos" w:eastAsia="Aptos"/>
          <w:b w:val="0"/>
          <w:i w:val="0"/>
          <w:color w:val="0A1628"/>
          <w:sz w:val="20"/>
        </w:rPr>
        <w:t>.</w:t>
      </w:r>
    </w:p>
    <w:p>
      <w:pPr>
        <w:pStyle w:val="Heading4"/>
        <w:keepNext/>
      </w:pPr>
      <w:r>
        <w:rPr>
          <w:rFonts w:ascii="Aptos" w:hAnsi="Aptos" w:eastAsia="Aptos"/>
          <w:b w:val="0"/>
          <w:i w:val="0"/>
          <w:color w:val="0A1628"/>
          <w:sz w:val="20"/>
        </w:rPr>
        <w:t>10.4.2 Customer Delivery Charge</w:t>
      </w:r>
    </w:p>
    <w:p>
      <w:r>
        <w:rPr>
          <w:rFonts w:ascii="Aptos" w:hAnsi="Aptos" w:eastAsia="Aptos"/>
          <w:b w:val="0"/>
          <w:i w:val="0"/>
          <w:color w:val="0A1628"/>
          <w:sz w:val="20"/>
        </w:rPr>
        <w:t>Under the stated Britium policy, Britium collects Royal Express's normal rate from the customer.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Royal Customer Delivery Charge</w:t>
              <w:br/>
              <w:t>= Royal Normal Base Rate</w:t>
              <w:br/>
              <w:t>+ Customer Extra-Weight Charge</w:t>
              <w:br/>
              <w:t>+ Customer-Payable Approved Surcharges</w:t>
            </w:r>
          </w:p>
        </w:tc>
      </w:tr>
    </w:tbl>
    <w:p>
      <w:pPr>
        <w:spacing w:after="0"/>
      </w:pPr>
    </w:p>
    <w:p>
      <w:r>
        <w:rPr>
          <w:rFonts w:ascii="Aptos" w:hAnsi="Aptos" w:eastAsia="Aptos"/>
          <w:b w:val="0"/>
          <w:i w:val="0"/>
          <w:color w:val="0A1628"/>
          <w:sz w:val="20"/>
        </w:rPr>
        <w:t xml:space="preserve">The customer base rate must come from the </w:t>
      </w:r>
      <w:r>
        <w:rPr>
          <w:rFonts w:ascii="Consolas" w:hAnsi="Consolas" w:eastAsia="Consolas"/>
          <w:b w:val="0"/>
          <w:i w:val="0"/>
          <w:color w:val="0A1628"/>
          <w:sz w:val="17"/>
          <w:shd w:fill="EEF2F6"/>
        </w:rPr>
        <w:t>Normal Price</w:t>
      </w:r>
      <w:r>
        <w:rPr>
          <w:rFonts w:ascii="Aptos" w:hAnsi="Aptos" w:eastAsia="Aptos"/>
          <w:b w:val="0"/>
          <w:i w:val="0"/>
          <w:color w:val="0A1628"/>
          <w:sz w:val="20"/>
        </w:rPr>
        <w:t xml:space="preserve"> column.</w:t>
      </w:r>
    </w:p>
    <w:p>
      <w:pPr>
        <w:pStyle w:val="Heading4"/>
        <w:keepNext/>
      </w:pPr>
      <w:r>
        <w:rPr>
          <w:rFonts w:ascii="Aptos" w:hAnsi="Aptos" w:eastAsia="Aptos"/>
          <w:b w:val="0"/>
          <w:i w:val="0"/>
          <w:color w:val="0A1628"/>
          <w:sz w:val="20"/>
        </w:rPr>
        <w:t>10.4.3 Royal Partner Payable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Royal Base Partner Cost</w:t>
              <w:br/>
              <w:t>= Royal Discounted Rate for 0.1-3 kg</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Extra Weight Units</w:t>
              <w:br/>
              <w:t>= CEILING(MAX(0, Actual Weight - 3 kg))</w:t>
            </w:r>
          </w:p>
        </w:tc>
      </w:tr>
    </w:tbl>
    <w:p>
      <w:pPr>
        <w:spacing w:after="0"/>
      </w:pPr>
    </w:p>
    <w:p>
      <w:r>
        <w:rPr>
          <w:rFonts w:ascii="Aptos" w:hAnsi="Aptos" w:eastAsia="Aptos"/>
          <w:b w:val="0"/>
          <w:i w:val="0"/>
          <w:color w:val="0A1628"/>
          <w:sz w:val="20"/>
        </w:rPr>
        <w:t xml:space="preserve">The document lists one </w:t>
      </w:r>
      <w:r>
        <w:rPr>
          <w:rFonts w:ascii="Consolas" w:hAnsi="Consolas" w:eastAsia="Consolas"/>
          <w:b w:val="0"/>
          <w:i w:val="0"/>
          <w:color w:val="0A1628"/>
          <w:sz w:val="17"/>
          <w:shd w:fill="EEF2F6"/>
        </w:rPr>
        <w:t>Next 1 Kg</w:t>
      </w:r>
      <w:r>
        <w:rPr>
          <w:rFonts w:ascii="Aptos" w:hAnsi="Aptos" w:eastAsia="Aptos"/>
          <w:b w:val="0"/>
          <w:i w:val="0"/>
          <w:color w:val="0A1628"/>
          <w:sz w:val="20"/>
        </w:rPr>
        <w:t xml:space="preserve"> rate. Until Royal confirms a separate discounted extra-kg rate, store both customer and partner extra-kg rates as separate fields and initialize them to the quoted </w:t>
      </w:r>
      <w:r>
        <w:rPr>
          <w:rFonts w:ascii="Consolas" w:hAnsi="Consolas" w:eastAsia="Consolas"/>
          <w:b w:val="0"/>
          <w:i w:val="0"/>
          <w:color w:val="0A1628"/>
          <w:sz w:val="17"/>
          <w:shd w:fill="EEF2F6"/>
        </w:rPr>
        <w:t>Next 1 Kg</w:t>
      </w:r>
      <w:r>
        <w:rPr>
          <w:rFonts w:ascii="Aptos" w:hAnsi="Aptos" w:eastAsia="Aptos"/>
          <w:b w:val="0"/>
          <w:i w:val="0"/>
          <w:color w:val="0A1628"/>
          <w:sz w:val="20"/>
        </w:rPr>
        <w:t xml:space="preserve"> amount.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Royal Partner Payable Before Rebate</w:t>
              <w:br/>
              <w:t>= Discounted Base Rate</w:t>
              <w:br/>
              <w:t>+ Partner Extra-Weight Charge</w:t>
              <w:br/>
              <w:t>+ Royal COD Service Fee</w:t>
              <w:br/>
              <w:t>+ Return/Redelivery/Other Approved Charges</w:t>
              <w:br/>
              <w:t>- SLA Credits</w:t>
              <w:br/>
              <w:t>- Other Partner Credits</w:t>
            </w:r>
          </w:p>
        </w:tc>
      </w:tr>
    </w:tbl>
    <w:p>
      <w:pPr>
        <w:spacing w:after="0"/>
      </w:pPr>
    </w:p>
    <w:p>
      <w:pPr>
        <w:pStyle w:val="Heading4"/>
        <w:keepNext/>
      </w:pPr>
      <w:r>
        <w:rPr>
          <w:rFonts w:ascii="Aptos" w:hAnsi="Aptos" w:eastAsia="Aptos"/>
          <w:b w:val="0"/>
          <w:i w:val="0"/>
          <w:color w:val="0A1628"/>
          <w:sz w:val="20"/>
        </w:rPr>
        <w:t>10.4.4 Immediate Discount Margin</w:t>
      </w:r>
    </w:p>
    <w:p>
      <w:r>
        <w:rPr>
          <w:rFonts w:ascii="Aptos" w:hAnsi="Aptos" w:eastAsia="Aptos"/>
          <w:b w:val="0"/>
          <w:i w:val="0"/>
          <w:color w:val="0A1628"/>
          <w:sz w:val="20"/>
        </w:rPr>
        <w:t>The 15% benefit is a contract discount, not a later commission receivable.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Royal Base Discount Margin</w:t>
              <w:br/>
              <w:t>= Normal Base Price</w:t>
              <w:br/>
              <w:t>- Discounted Base Rate</w:t>
            </w:r>
          </w:p>
        </w:tc>
      </w:tr>
    </w:tbl>
    <w:p>
      <w:pPr>
        <w:spacing w:after="0"/>
      </w:pPr>
    </w:p>
    <w:p>
      <w:r>
        <w:rPr>
          <w:rFonts w:ascii="Aptos" w:hAnsi="Aptos" w:eastAsia="Aptos"/>
          <w:b w:val="0"/>
          <w:i w:val="0"/>
          <w:color w:val="0A1628"/>
          <w:sz w:val="20"/>
        </w:rPr>
        <w:t>Examples from the quotation: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Normal 4,500 - Discounted 3,825 = 675 MMK</w:t>
              <w:br/>
              <w:t>Normal 5,000 - Discounted 4,250 = 750 MMK</w:t>
              <w:br/>
              <w:t>Normal 7,000 - Discounted 5,950 = 1,050 MMK</w:t>
              <w:br/>
              <w:t>Normal 10,500 - Discounted 8,925 = 1,575 MMK</w:t>
            </w:r>
          </w:p>
        </w:tc>
      </w:tr>
    </w:tbl>
    <w:p>
      <w:pPr>
        <w:spacing w:after="0"/>
      </w:pPr>
    </w:p>
    <w:p>
      <w:r>
        <w:rPr>
          <w:rFonts w:ascii="Aptos" w:hAnsi="Aptos" w:eastAsia="Aptos"/>
          <w:b w:val="0"/>
          <w:i w:val="0"/>
          <w:color w:val="0A1628"/>
          <w:sz w:val="20"/>
        </w:rPr>
        <w:t>The system may display this as: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PARTNER_DISCOUNT_MARGIN</w:t>
            </w:r>
          </w:p>
        </w:tc>
      </w:tr>
    </w:tbl>
    <w:p>
      <w:pPr>
        <w:spacing w:after="0"/>
      </w:pPr>
    </w:p>
    <w:p>
      <w:r>
        <w:rPr>
          <w:rFonts w:ascii="Aptos" w:hAnsi="Aptos" w:eastAsia="Aptos"/>
          <w:b w:val="0"/>
          <w:i w:val="0"/>
          <w:color w:val="0A1628"/>
          <w:sz w:val="20"/>
        </w:rPr>
        <w:t>Do not label it as a Royal cash commission unless Finance explicitly wants that presentation.</w:t>
      </w:r>
    </w:p>
    <w:p>
      <w:pPr>
        <w:pStyle w:val="Heading4"/>
        <w:keepNext/>
      </w:pPr>
      <w:r>
        <w:rPr>
          <w:rFonts w:ascii="Aptos" w:hAnsi="Aptos" w:eastAsia="Aptos"/>
          <w:b w:val="0"/>
          <w:i w:val="0"/>
          <w:color w:val="0A1628"/>
          <w:sz w:val="20"/>
        </w:rPr>
        <w:t>10.4.5 COD Service Fee</w:t>
      </w:r>
    </w:p>
    <w:p>
      <w:r>
        <w:rPr>
          <w:rFonts w:ascii="Aptos" w:hAnsi="Aptos" w:eastAsia="Aptos"/>
          <w:b w:val="0"/>
          <w:i w:val="0"/>
          <w:color w:val="0A1628"/>
          <w:sz w:val="20"/>
        </w:rPr>
        <w:t>Royal COD service fee: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If product_amount_mmk &lt;= 300,000:</w:t>
              <w:br/>
              <w:t xml:space="preserve">    royal_cod_fee_mmk = 195</w:t>
              <w:br/>
              <w:br/>
              <w:t>If product_amount_mmk &gt; 300,000:</w:t>
              <w:br/>
              <w:t xml:space="preserve">    royal_cod_fee_mmk = product_amount_mmk * 0.002</w:t>
            </w:r>
          </w:p>
        </w:tc>
      </w:tr>
    </w:tbl>
    <w:p>
      <w:pPr>
        <w:spacing w:after="0"/>
      </w:pPr>
    </w:p>
    <w:p>
      <w:r>
        <w:rPr>
          <w:rFonts w:ascii="Aptos" w:hAnsi="Aptos" w:eastAsia="Aptos"/>
          <w:b w:val="0"/>
          <w:i w:val="0"/>
          <w:color w:val="0A1628"/>
          <w:sz w:val="20"/>
        </w:rPr>
        <w:t xml:space="preserve">The quotation refers to </w:t>
      </w:r>
      <w:r>
        <w:rPr>
          <w:rFonts w:ascii="Consolas" w:hAnsi="Consolas" w:eastAsia="Consolas"/>
          <w:b w:val="0"/>
          <w:i w:val="0"/>
          <w:color w:val="0A1628"/>
          <w:sz w:val="17"/>
          <w:shd w:fill="EEF2F6"/>
        </w:rPr>
        <w:t>product amount</w:t>
      </w:r>
      <w:r>
        <w:rPr>
          <w:rFonts w:ascii="Aptos" w:hAnsi="Aptos" w:eastAsia="Aptos"/>
          <w:b w:val="0"/>
          <w:i w:val="0"/>
          <w:color w:val="0A1628"/>
          <w:sz w:val="20"/>
        </w:rPr>
        <w:t>. Use the Financial V2 item-price/product-amount field, not total customer collection, unless the contract is amended.</w:t>
      </w:r>
    </w:p>
    <w:p>
      <w:r>
        <w:rPr>
          <w:rFonts w:ascii="Aptos" w:hAnsi="Aptos" w:eastAsia="Aptos"/>
          <w:b w:val="0"/>
          <w:i w:val="0"/>
          <w:color w:val="0A1628"/>
          <w:sz w:val="20"/>
        </w:rPr>
        <w:t>The percentage calculation must use decimal arithmetic. The whole-MMK rounding policy must be configurable and approved before activation.</w:t>
      </w:r>
    </w:p>
    <w:p>
      <w:r>
        <w:rPr>
          <w:rFonts w:ascii="Aptos" w:hAnsi="Aptos" w:eastAsia="Aptos"/>
          <w:b w:val="0"/>
          <w:i w:val="0"/>
          <w:color w:val="0A1628"/>
          <w:sz w:val="20"/>
        </w:rPr>
        <w:t>Required field: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cod_fee_billing_party = BRITIUM | CUSTOMER | MERCHANT</w:t>
            </w:r>
          </w:p>
        </w:tc>
      </w:tr>
    </w:tbl>
    <w:p>
      <w:pPr>
        <w:spacing w:after="0"/>
      </w:pPr>
    </w:p>
    <w:p>
      <w:r>
        <w:rPr>
          <w:rFonts w:ascii="Aptos" w:hAnsi="Aptos" w:eastAsia="Aptos"/>
          <w:b w:val="0"/>
          <w:i w:val="0"/>
          <w:color w:val="0A1628"/>
          <w:sz w:val="20"/>
        </w:rPr>
        <w:t>Do not automatically add the Royal COD fee to customer collection until this policy is configured.</w:t>
      </w:r>
    </w:p>
    <w:p>
      <w:pPr>
        <w:pStyle w:val="Heading4"/>
        <w:keepNext/>
      </w:pPr>
      <w:r>
        <w:rPr>
          <w:rFonts w:ascii="Aptos" w:hAnsi="Aptos" w:eastAsia="Aptos"/>
          <w:b w:val="0"/>
          <w:i w:val="0"/>
          <w:color w:val="0A1628"/>
          <w:sz w:val="20"/>
        </w:rPr>
        <w:t>10.4.6 Monthly Rebate</w:t>
      </w:r>
    </w:p>
    <w:p>
      <w:r>
        <w:rPr>
          <w:rFonts w:ascii="Aptos" w:hAnsi="Aptos" w:eastAsia="Aptos"/>
          <w:b w:val="0"/>
          <w:i w:val="0"/>
          <w:color w:val="0A1628"/>
          <w:sz w:val="20"/>
        </w:rPr>
        <w:t>The quotation provides access to:</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1,000+ completed waybills =&gt; 5%</w:t>
              <w:br/>
              <w:t>2,000+ completed waybills =&gt; 10%</w:t>
              <w:br/>
              <w:t>3,000+ completed waybills =&gt; 15%</w:t>
            </w:r>
          </w:p>
        </w:tc>
      </w:tr>
    </w:tbl>
    <w:p>
      <w:pPr>
        <w:spacing w:after="0"/>
      </w:pPr>
    </w:p>
    <w:p>
      <w:r>
        <w:rPr>
          <w:rFonts w:ascii="Aptos" w:hAnsi="Aptos" w:eastAsia="Aptos"/>
          <w:b w:val="0"/>
          <w:i w:val="0"/>
          <w:color w:val="0A1628"/>
          <w:sz w:val="20"/>
        </w:rPr>
        <w:t>Use the highest achieved non-stacking tier for the calendar month.</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monthly_completed_ways = count of eligible Royal completed waybills</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rebate_rate =</w:t>
              <w:br/>
              <w:t xml:space="preserve">  0%  when completed ways &lt; 1,000</w:t>
              <w:br/>
              <w:t xml:space="preserve">  5%  when completed ways &gt;= 1,000 and &lt; 2,000</w:t>
              <w:br/>
              <w:t xml:space="preserve">  10% when completed ways &gt;= 2,000 and &lt; 3,000</w:t>
              <w:br/>
              <w:t xml:space="preserve">  15% when completed ways &gt;= 3,000</w:t>
            </w:r>
          </w:p>
        </w:tc>
      </w:tr>
    </w:tbl>
    <w:p>
      <w:pPr>
        <w:spacing w:after="0"/>
      </w:pPr>
    </w:p>
    <w:p>
      <w:r>
        <w:rPr>
          <w:rFonts w:ascii="Aptos" w:hAnsi="Aptos" w:eastAsia="Aptos"/>
          <w:b w:val="0"/>
          <w:i w:val="0"/>
          <w:color w:val="0A1628"/>
          <w:sz w:val="20"/>
        </w:rPr>
        <w:t>The quotation does not define the rebate calculation base. Therefore: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rebate_basis_status = REQUIRES_CONTRACT_CONFIRMATION</w:t>
            </w:r>
          </w:p>
        </w:tc>
      </w:tr>
    </w:tbl>
    <w:p>
      <w:pPr>
        <w:spacing w:after="0"/>
      </w:pPr>
    </w:p>
    <w:p>
      <w:r>
        <w:rPr>
          <w:rFonts w:ascii="Aptos" w:hAnsi="Aptos" w:eastAsia="Aptos"/>
          <w:b w:val="0"/>
          <w:i w:val="0"/>
          <w:color w:val="0A1628"/>
          <w:sz w:val="20"/>
        </w:rPr>
        <w:t>Possible configurable bases include: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DISCOUNTED_BASE_FEES</w:t>
              <w:br/>
              <w:t>TOTAL_PARTNER_DELIVERY_FEES_EXCLUDING_COD</w:t>
              <w:br/>
              <w:t>TOTAL_PARTNER_FEES</w:t>
              <w:br/>
              <w:t>OTHER_CONTRACT_DEFINED_BASE</w:t>
            </w:r>
          </w:p>
        </w:tc>
      </w:tr>
    </w:tbl>
    <w:p>
      <w:pPr>
        <w:spacing w:after="0"/>
      </w:pPr>
    </w:p>
    <w:p>
      <w:r>
        <w:rPr>
          <w:rFonts w:ascii="Aptos" w:hAnsi="Aptos" w:eastAsia="Aptos"/>
          <w:b w:val="0"/>
          <w:i w:val="0"/>
          <w:color w:val="0A1628"/>
          <w:sz w:val="20"/>
        </w:rPr>
        <w:t>The system may estimate the rebate only after a basis is configured. It must not finalize or post the rebate until Royal confirms it by statement, credit note or approved reconciliation.</w:t>
      </w:r>
    </w:p>
    <w:p>
      <w:r>
        <w:rPr>
          <w:rFonts w:ascii="Aptos" w:hAnsi="Aptos" w:eastAsia="Aptos"/>
          <w:b w:val="0"/>
          <w:i w:val="0"/>
          <w:color w:val="0A1628"/>
          <w:sz w:val="20"/>
        </w:rPr>
        <w:t>Store: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estimated_rebate_mmk</w:t>
              <w:br/>
              <w:t>confirmed_rebate_mmk</w:t>
              <w:br/>
              <w:t>rebate_confirmation_reference</w:t>
              <w:br/>
              <w:t>rebate_status = ESTIMATED | SUBMITTED | CONFIRMED | DISPUTED | POSTED</w:t>
            </w:r>
          </w:p>
        </w:tc>
      </w:tr>
    </w:tbl>
    <w:p>
      <w:pPr>
        <w:spacing w:after="0"/>
      </w:pPr>
    </w:p>
    <w:p>
      <w:pPr>
        <w:pStyle w:val="Heading4"/>
        <w:keepNext/>
      </w:pPr>
      <w:r>
        <w:rPr>
          <w:rFonts w:ascii="Aptos" w:hAnsi="Aptos" w:eastAsia="Aptos"/>
          <w:b w:val="0"/>
          <w:i w:val="0"/>
          <w:color w:val="0A1628"/>
          <w:sz w:val="20"/>
        </w:rPr>
        <w:t>10.4.7 Royal Net Margin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Royal Outsourced Margin Before Rebate</w:t>
              <w:br/>
              <w:t>= Customer Delivery Charge</w:t>
              <w:br/>
              <w:t>- Royal Partner Payable Before Rebate</w:t>
              <w:br/>
              <w:t>- Britium Handover/Transport Costs</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Royal Final Outsourced Margin</w:t>
              <w:br/>
              <w:t>= Royal Outsourced Margin Before Rebate</w:t>
              <w:br/>
              <w:t>+ Confirmed Monthly Rebate Allocated to the Parcel or Month</w:t>
            </w:r>
          </w:p>
        </w:tc>
      </w:tr>
    </w:tbl>
    <w:p>
      <w:pPr>
        <w:spacing w:after="0"/>
      </w:pPr>
    </w:p>
    <w:p>
      <w:r>
        <w:rPr>
          <w:rFonts w:ascii="Aptos" w:hAnsi="Aptos" w:eastAsia="Aptos"/>
          <w:b w:val="0"/>
          <w:i w:val="0"/>
          <w:color w:val="0A1628"/>
          <w:sz w:val="20"/>
        </w:rPr>
        <w:t>Do not count the 15% base discount again as a monthly rebate.</w:t>
      </w:r>
    </w:p>
    <w:p>
      <w:pPr>
        <w:pStyle w:val="Heading4"/>
        <w:keepNext/>
      </w:pPr>
      <w:r>
        <w:rPr>
          <w:rFonts w:ascii="Aptos" w:hAnsi="Aptos" w:eastAsia="Aptos"/>
          <w:b w:val="0"/>
          <w:i w:val="0"/>
          <w:color w:val="0A1628"/>
          <w:sz w:val="20"/>
        </w:rPr>
        <w:t>10.4.8 COD Remittance</w:t>
      </w:r>
    </w:p>
    <w:p>
      <w:r>
        <w:rPr>
          <w:rFonts w:ascii="Aptos" w:hAnsi="Aptos" w:eastAsia="Aptos"/>
          <w:b w:val="0"/>
          <w:i w:val="0"/>
          <w:color w:val="0A1628"/>
          <w:sz w:val="20"/>
        </w:rPr>
        <w:t>Royal states that COD transfer will occur within 2-3 days after successful delivery.</w:t>
      </w:r>
    </w:p>
    <w:p>
      <w:r>
        <w:rPr>
          <w:rFonts w:ascii="Aptos" w:hAnsi="Aptos" w:eastAsia="Aptos"/>
          <w:b w:val="0"/>
          <w:i w:val="0"/>
          <w:color w:val="0A1628"/>
          <w:sz w:val="20"/>
        </w:rPr>
        <w:t>Track:</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delivered_at</w:t>
              <w:br/>
              <w:t>expected_cod_remittance_from</w:t>
              <w:br/>
              <w:t>expected_cod_remittance_to</w:t>
              <w:br/>
              <w:t>actual_cod_remitted_at</w:t>
              <w:br/>
              <w:t>cod_remitted_mmk</w:t>
              <w:br/>
              <w:t>cod_remittance_reference</w:t>
              <w:br/>
              <w:t>cod_remittance_status</w:t>
            </w:r>
          </w:p>
        </w:tc>
      </w:tr>
    </w:tbl>
    <w:p>
      <w:pPr>
        <w:spacing w:after="0"/>
      </w:pPr>
    </w:p>
    <w:p>
      <w:r>
        <w:rPr>
          <w:rFonts w:ascii="Aptos" w:hAnsi="Aptos" w:eastAsia="Aptos"/>
          <w:b w:val="0"/>
          <w:i w:val="0"/>
          <w:color w:val="0A1628"/>
          <w:sz w:val="20"/>
        </w:rPr>
        <w:t>Alert when the amount remains unremitted after the end of the configured SLA window.</w:t>
      </w:r>
    </w:p>
    <w:p>
      <w:r>
        <w:rPr>
          <w:rFonts w:ascii="Aptos" w:hAnsi="Aptos" w:eastAsia="Aptos"/>
          <w:b w:val="0"/>
          <w:i w:val="0"/>
          <w:color w:val="0A1628"/>
          <w:sz w:val="20"/>
        </w:rPr>
        <w:t>Gross COD custody must remain separate from Royal delivery fees. Even when Royal remits net cash, the system must record: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gross_cod_collected</w:t>
              <w:br/>
              <w:t>partner_fees_netted</w:t>
              <w:br/>
              <w:t>net_cash_received</w:t>
            </w:r>
          </w:p>
        </w:tc>
      </w:tr>
    </w:tbl>
    <w:p>
      <w:pPr>
        <w:spacing w:after="0"/>
      </w:pPr>
    </w:p>
    <w:p>
      <w:r>
        <w:rPr>
          <w:rFonts w:ascii="Aptos" w:hAnsi="Aptos" w:eastAsia="Aptos"/>
          <w:b w:val="0"/>
          <w:i w:val="0"/>
          <w:color w:val="0A1628"/>
          <w:sz w:val="20"/>
        </w:rPr>
        <w:t>and reconcile: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Gross COD Collected</w:t>
              <w:br/>
              <w:t>= Net Cash Received</w:t>
              <w:br/>
              <w:t>+ Approved Netted Partner Fees</w:t>
              <w:br/>
              <w:t>+ Approved Refunds/Adjustments</w:t>
            </w:r>
          </w:p>
        </w:tc>
      </w:tr>
    </w:tbl>
    <w:p>
      <w:pPr>
        <w:spacing w:after="0"/>
      </w:pPr>
    </w:p>
    <w:p>
      <w:pPr>
        <w:pStyle w:val="Heading4"/>
        <w:keepNext/>
      </w:pPr>
      <w:r>
        <w:rPr>
          <w:rFonts w:ascii="Aptos" w:hAnsi="Aptos" w:eastAsia="Aptos"/>
          <w:b w:val="0"/>
          <w:i w:val="0"/>
          <w:color w:val="0A1628"/>
          <w:sz w:val="20"/>
        </w:rPr>
        <w:t>10.4.9 Other Royal Terms to Monitor</w:t>
      </w:r>
    </w:p>
    <w:p>
      <w:r>
        <w:rPr>
          <w:rFonts w:ascii="Aptos" w:hAnsi="Aptos" w:eastAsia="Aptos"/>
          <w:b w:val="0"/>
          <w:i w:val="0"/>
          <w:color w:val="0A1628"/>
          <w:sz w:val="20"/>
        </w:rPr>
        <w:t>Store operational alerts for:</w:t>
      </w:r>
    </w:p>
    <w:p>
      <w:pPr>
        <w:pStyle w:val="ListBullet"/>
        <w:ind w:left="0"/>
      </w:pPr>
      <w:r>
        <w:rPr>
          <w:rFonts w:ascii="Aptos" w:hAnsi="Aptos" w:eastAsia="Aptos"/>
          <w:b w:val="0"/>
          <w:i w:val="0"/>
          <w:color w:val="0A1628"/>
          <w:sz w:val="20"/>
        </w:rPr>
        <w:t>Maximum loss/damage compensation: 250,000 MMK.</w:t>
      </w:r>
    </w:p>
    <w:p>
      <w:pPr>
        <w:pStyle w:val="ListBullet"/>
        <w:ind w:left="0"/>
      </w:pPr>
      <w:r>
        <w:rPr>
          <w:rFonts w:ascii="Aptos" w:hAnsi="Aptos" w:eastAsia="Aptos"/>
          <w:b w:val="0"/>
          <w:i w:val="0"/>
          <w:color w:val="0A1628"/>
          <w:sz w:val="20"/>
        </w:rPr>
        <w:t>Three delivery attempts within seven days for unsuccessful delivery.</w:t>
      </w:r>
    </w:p>
    <w:p>
      <w:pPr>
        <w:pStyle w:val="ListBullet"/>
        <w:ind w:left="0"/>
      </w:pPr>
      <w:r>
        <w:rPr>
          <w:rFonts w:ascii="Aptos" w:hAnsi="Aptos" w:eastAsia="Aptos"/>
          <w:b w:val="0"/>
          <w:i w:val="0"/>
          <w:color w:val="0A1628"/>
          <w:sz w:val="20"/>
        </w:rPr>
        <w:t>Britium/Customer drop-off to Royal Express branches.</w:t>
      </w:r>
    </w:p>
    <w:p>
      <w:pPr>
        <w:pStyle w:val="ListBullet"/>
        <w:ind w:left="0"/>
      </w:pPr>
      <w:r>
        <w:rPr>
          <w:rFonts w:ascii="Aptos" w:hAnsi="Aptos" w:eastAsia="Aptos"/>
          <w:b w:val="0"/>
          <w:i w:val="0"/>
          <w:color w:val="0A1628"/>
          <w:sz w:val="20"/>
        </w:rPr>
        <w:t>Service-area and rate changes.</w:t>
      </w:r>
    </w:p>
    <w:p>
      <w:pPr>
        <w:pStyle w:val="ListBullet"/>
        <w:ind w:left="0"/>
      </w:pPr>
      <w:r>
        <w:rPr>
          <w:rFonts w:ascii="Aptos" w:hAnsi="Aptos" w:eastAsia="Aptos"/>
          <w:b w:val="0"/>
          <w:i w:val="0"/>
          <w:color w:val="0A1628"/>
          <w:sz w:val="20"/>
        </w:rPr>
        <w:t>Force-majeure lead-time extension.</w:t>
      </w:r>
    </w:p>
    <w:p>
      <w:r>
        <w:rPr>
          <w:rFonts w:ascii="Aptos" w:hAnsi="Aptos" w:eastAsia="Aptos"/>
          <w:b w:val="0"/>
          <w:i w:val="0"/>
          <w:color w:val="0A1628"/>
          <w:sz w:val="20"/>
        </w:rPr>
        <w:t>The rate card must be versioned because the quotation states that service cities and prices may change.</w:t>
      </w:r>
    </w:p>
    <w:p>
      <w:pPr>
        <w:pBdr>
          <w:bottom w:val="single" w:sz="5" w:space="3" w:color="B8C4D1"/>
        </w:pBdr>
        <w:spacing w:after="100"/>
      </w:pPr>
    </w:p>
    <w:p>
      <w:pPr>
        <w:pStyle w:val="Heading3"/>
        <w:keepNext/>
      </w:pPr>
      <w:r>
        <w:rPr>
          <w:rFonts w:ascii="Aptos" w:hAnsi="Aptos" w:eastAsia="Aptos"/>
          <w:b w:val="0"/>
          <w:i w:val="0"/>
          <w:color w:val="0A1628"/>
          <w:sz w:val="20"/>
        </w:rPr>
        <w:t>10.5 Routing Precedence</w:t>
      </w:r>
    </w:p>
    <w:p>
      <w:r>
        <w:rPr>
          <w:rFonts w:ascii="Aptos" w:hAnsi="Aptos" w:eastAsia="Aptos"/>
          <w:b w:val="0"/>
          <w:i w:val="0"/>
          <w:color w:val="0A1628"/>
          <w:sz w:val="20"/>
        </w:rPr>
        <w:t>Create an effective-dated routing-policy table.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priority 1: YGN -&gt; BRITIUM_DIRECT</w:t>
              <w:br/>
              <w:t>priority 2: NPT -&gt; NPT_BRANCH</w:t>
              <w:br/>
              <w:t>priority 3: MDY -&gt; DK_DELIVERY</w:t>
              <w:br/>
              <w:t>priority 4: all other Royal-supported destinations -&gt; ROYAL_EXPRESS</w:t>
              <w:br/>
              <w:t>priority 5: authorized manual fallback provider</w:t>
            </w:r>
          </w:p>
        </w:tc>
      </w:tr>
    </w:tbl>
    <w:p>
      <w:pPr>
        <w:spacing w:after="0"/>
      </w:pPr>
    </w:p>
    <w:p>
      <w:r>
        <w:rPr>
          <w:rFonts w:ascii="Aptos" w:hAnsi="Aptos" w:eastAsia="Aptos"/>
          <w:b w:val="0"/>
          <w:i w:val="0"/>
          <w:color w:val="0A1628"/>
          <w:sz w:val="20"/>
        </w:rPr>
        <w:t>Royal rate rows for Yangon, Mandalay and Naypyitaw may be imported for reference, but mark:</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routing_eligible = false</w:t>
            </w:r>
          </w:p>
        </w:tc>
      </w:tr>
    </w:tbl>
    <w:p>
      <w:pPr>
        <w:spacing w:after="0"/>
      </w:pPr>
    </w:p>
    <w:p>
      <w:r>
        <w:rPr>
          <w:rFonts w:ascii="Aptos" w:hAnsi="Aptos" w:eastAsia="Aptos"/>
          <w:b w:val="0"/>
          <w:i w:val="0"/>
          <w:color w:val="0A1628"/>
          <w:sz w:val="20"/>
        </w:rPr>
        <w:t>under the current policy.</w:t>
      </w:r>
    </w:p>
    <w:p>
      <w:r>
        <w:rPr>
          <w:rFonts w:ascii="Aptos" w:hAnsi="Aptos" w:eastAsia="Aptos"/>
          <w:b w:val="0"/>
          <w:i w:val="0"/>
          <w:color w:val="0A1628"/>
          <w:sz w:val="20"/>
        </w:rPr>
        <w:t>A manual override must require:</w:t>
      </w:r>
    </w:p>
    <w:p>
      <w:pPr>
        <w:pStyle w:val="ListBullet"/>
        <w:ind w:left="0"/>
      </w:pPr>
      <w:r>
        <w:rPr>
          <w:rFonts w:ascii="Aptos" w:hAnsi="Aptos" w:eastAsia="Aptos"/>
          <w:b w:val="0"/>
          <w:i w:val="0"/>
          <w:color w:val="0A1628"/>
          <w:sz w:val="20"/>
        </w:rPr>
        <w:t>Authorized Operations user.</w:t>
      </w:r>
    </w:p>
    <w:p>
      <w:pPr>
        <w:pStyle w:val="ListBullet"/>
        <w:ind w:left="0"/>
      </w:pPr>
      <w:r>
        <w:rPr>
          <w:rFonts w:ascii="Aptos" w:hAnsi="Aptos" w:eastAsia="Aptos"/>
          <w:b w:val="0"/>
          <w:i w:val="0"/>
          <w:color w:val="0A1628"/>
          <w:sz w:val="20"/>
        </w:rPr>
        <w:t>Override reason.</w:t>
      </w:r>
    </w:p>
    <w:p>
      <w:pPr>
        <w:pStyle w:val="ListBullet"/>
        <w:ind w:left="0"/>
      </w:pPr>
      <w:r>
        <w:rPr>
          <w:rFonts w:ascii="Aptos" w:hAnsi="Aptos" w:eastAsia="Aptos"/>
          <w:b w:val="0"/>
          <w:i w:val="0"/>
          <w:color w:val="0A1628"/>
          <w:sz w:val="20"/>
        </w:rPr>
        <w:t>Selected contract/rate version.</w:t>
      </w:r>
    </w:p>
    <w:p>
      <w:pPr>
        <w:pStyle w:val="ListBullet"/>
        <w:ind w:left="0"/>
      </w:pPr>
      <w:r>
        <w:rPr>
          <w:rFonts w:ascii="Aptos" w:hAnsi="Aptos" w:eastAsia="Aptos"/>
          <w:b w:val="0"/>
          <w:i w:val="0"/>
          <w:color w:val="0A1628"/>
          <w:sz w:val="20"/>
        </w:rPr>
        <w:t>Expected cost.</w:t>
      </w:r>
    </w:p>
    <w:p>
      <w:pPr>
        <w:pStyle w:val="ListBullet"/>
        <w:ind w:left="0"/>
      </w:pPr>
      <w:r>
        <w:rPr>
          <w:rFonts w:ascii="Aptos" w:hAnsi="Aptos" w:eastAsia="Aptos"/>
          <w:b w:val="0"/>
          <w:i w:val="0"/>
          <w:color w:val="0A1628"/>
          <w:sz w:val="20"/>
        </w:rPr>
        <w:t>Finance visibility.</w:t>
      </w:r>
    </w:p>
    <w:p>
      <w:pPr>
        <w:pStyle w:val="ListBullet"/>
        <w:ind w:left="0"/>
      </w:pPr>
      <w:r>
        <w:rPr>
          <w:rFonts w:ascii="Aptos" w:hAnsi="Aptos" w:eastAsia="Aptos"/>
          <w:b w:val="0"/>
          <w:i w:val="0"/>
          <w:color w:val="0A1628"/>
          <w:sz w:val="20"/>
        </w:rPr>
        <w:t>Audit entry.</w:t>
      </w:r>
    </w:p>
    <w:p>
      <w:pPr>
        <w:pBdr>
          <w:bottom w:val="single" w:sz="5" w:space="3" w:color="B8C4D1"/>
        </w:pBdr>
        <w:spacing w:after="100"/>
      </w:pPr>
    </w:p>
    <w:p>
      <w:pPr>
        <w:pStyle w:val="Heading3"/>
        <w:keepNext/>
      </w:pPr>
      <w:r>
        <w:rPr>
          <w:rFonts w:ascii="Aptos" w:hAnsi="Aptos" w:eastAsia="Aptos"/>
          <w:b w:val="0"/>
          <w:i w:val="0"/>
          <w:color w:val="0A1628"/>
          <w:sz w:val="20"/>
        </w:rPr>
        <w:t>10.6 Database Model</w:t>
      </w:r>
    </w:p>
    <w:p>
      <w:pPr>
        <w:pStyle w:val="Heading4"/>
        <w:keepNext/>
      </w:pPr>
      <w:r>
        <w:rPr>
          <w:rFonts w:ascii="Aptos" w:hAnsi="Aptos" w:eastAsia="Aptos"/>
          <w:b w:val="0"/>
          <w:i w:val="0"/>
          <w:color w:val="0A1628"/>
          <w:sz w:val="20"/>
        </w:rPr>
        <w:t>10.6.1 Partner Contracts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be_partner_contracts</w:t>
            </w:r>
          </w:p>
        </w:tc>
      </w:tr>
    </w:tbl>
    <w:p>
      <w:pPr>
        <w:spacing w:after="0"/>
      </w:pPr>
    </w:p>
    <w:p>
      <w:r>
        <w:rPr>
          <w:rFonts w:ascii="Aptos" w:hAnsi="Aptos" w:eastAsia="Aptos"/>
          <w:b w:val="0"/>
          <w:i w:val="0"/>
          <w:color w:val="0A1628"/>
          <w:sz w:val="20"/>
        </w:rPr>
        <w:t>Fields: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id</w:t>
              <w:br/>
              <w:t>partner_code</w:t>
              <w:br/>
              <w:t>partner_name</w:t>
              <w:br/>
              <w:t>contract_reference</w:t>
              <w:br/>
              <w:t>quotation_reference</w:t>
              <w:br/>
              <w:t>source_document_id</w:t>
              <w:br/>
              <w:t>document_issue_date</w:t>
              <w:br/>
              <w:t>document_effective_date</w:t>
              <w:br/>
              <w:t>system_activation_date</w:t>
              <w:br/>
              <w:t>effective_to</w:t>
              <w:br/>
              <w:t>status</w:t>
              <w:br/>
              <w:t>settlement_currency</w:t>
              <w:br/>
              <w:t>settlement_cycle</w:t>
              <w:br/>
              <w:t>cod_remittance_sla_min_days</w:t>
              <w:br/>
              <w:t>cod_remittance_sla_max_days</w:t>
              <w:br/>
              <w:t>approved_by</w:t>
              <w:br/>
              <w:t>approved_at</w:t>
            </w:r>
          </w:p>
        </w:tc>
      </w:tr>
    </w:tbl>
    <w:p>
      <w:pPr>
        <w:spacing w:after="0"/>
      </w:pPr>
    </w:p>
    <w:p>
      <w:r>
        <w:rPr>
          <w:rFonts w:ascii="Aptos" w:hAnsi="Aptos" w:eastAsia="Aptos"/>
          <w:b w:val="0"/>
          <w:i w:val="0"/>
          <w:color w:val="0A1628"/>
          <w:sz w:val="20"/>
        </w:rPr>
        <w:t xml:space="preserve">Do not infer the production activation date from the document. Royal's header and quotation date must both be preserved and Finance must approve </w:t>
      </w:r>
      <w:r>
        <w:rPr>
          <w:rFonts w:ascii="Consolas" w:hAnsi="Consolas" w:eastAsia="Consolas"/>
          <w:b w:val="0"/>
          <w:i w:val="0"/>
          <w:color w:val="0A1628"/>
          <w:sz w:val="17"/>
          <w:shd w:fill="EEF2F6"/>
        </w:rPr>
        <w:t>system_activation_date</w:t>
      </w:r>
      <w:r>
        <w:rPr>
          <w:rFonts w:ascii="Aptos" w:hAnsi="Aptos" w:eastAsia="Aptos"/>
          <w:b w:val="0"/>
          <w:i w:val="0"/>
          <w:color w:val="0A1628"/>
          <w:sz w:val="20"/>
        </w:rPr>
        <w:t>.</w:t>
      </w:r>
    </w:p>
    <w:p>
      <w:pPr>
        <w:pStyle w:val="Heading4"/>
        <w:keepNext/>
      </w:pPr>
      <w:r>
        <w:rPr>
          <w:rFonts w:ascii="Aptos" w:hAnsi="Aptos" w:eastAsia="Aptos"/>
          <w:b w:val="0"/>
          <w:i w:val="0"/>
          <w:color w:val="0A1628"/>
          <w:sz w:val="20"/>
        </w:rPr>
        <w:t>10.6.2 Partner Rate Cards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be_partner_rate_cards</w:t>
              <w:br/>
              <w:t>be_partner_rate_rows</w:t>
            </w:r>
          </w:p>
        </w:tc>
      </w:tr>
    </w:tbl>
    <w:p>
      <w:pPr>
        <w:spacing w:after="0"/>
      </w:pPr>
    </w:p>
    <w:p>
      <w:r>
        <w:rPr>
          <w:rFonts w:ascii="Aptos" w:hAnsi="Aptos" w:eastAsia="Aptos"/>
          <w:b w:val="0"/>
          <w:i w:val="0"/>
          <w:color w:val="0A1628"/>
          <w:sz w:val="20"/>
        </w:rPr>
        <w:t>Rate row fields: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partner_code</w:t>
              <w:br/>
              <w:t>origin_city</w:t>
              <w:br/>
              <w:t>destination_code</w:t>
              <w:br/>
              <w:t>destination_name</w:t>
              <w:br/>
              <w:t>state_division_code</w:t>
              <w:br/>
              <w:t>zone_code</w:t>
              <w:br/>
              <w:t>customer_normal_base_mmk</w:t>
              <w:br/>
              <w:t>partner_discounted_base_mmk</w:t>
              <w:br/>
              <w:t>customer_included_kg</w:t>
              <w:br/>
              <w:t>partner_included_kg</w:t>
              <w:br/>
              <w:t>customer_next_kg_mmk</w:t>
              <w:br/>
              <w:t>partner_next_kg_mmk</w:t>
              <w:br/>
              <w:t>area_band</w:t>
              <w:br/>
              <w:t>base_fee_mmk</w:t>
              <w:br/>
              <w:t>source_row_number</w:t>
              <w:br/>
              <w:t>effective_from</w:t>
              <w:br/>
              <w:t>effective_to</w:t>
              <w:br/>
              <w:t>status</w:t>
            </w:r>
          </w:p>
        </w:tc>
      </w:tr>
    </w:tbl>
    <w:p>
      <w:pPr>
        <w:spacing w:after="0"/>
      </w:pPr>
    </w:p>
    <w:p>
      <w:pPr>
        <w:pStyle w:val="Heading4"/>
        <w:keepNext/>
      </w:pPr>
      <w:r>
        <w:rPr>
          <w:rFonts w:ascii="Aptos" w:hAnsi="Aptos" w:eastAsia="Aptos"/>
          <w:b w:val="0"/>
          <w:i w:val="0"/>
          <w:color w:val="0A1628"/>
          <w:sz w:val="20"/>
        </w:rPr>
        <w:t>10.6.3 COD Fee Rules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be_partner_cod_fee_rules</w:t>
            </w:r>
          </w:p>
        </w:tc>
      </w:tr>
    </w:tbl>
    <w:p>
      <w:pPr>
        <w:spacing w:after="0"/>
      </w:pPr>
    </w:p>
    <w:p>
      <w:r>
        <w:rPr>
          <w:rFonts w:ascii="Aptos" w:hAnsi="Aptos" w:eastAsia="Aptos"/>
          <w:b w:val="0"/>
          <w:i w:val="0"/>
          <w:color w:val="0A1628"/>
          <w:sz w:val="20"/>
        </w:rPr>
        <w:t>Fields: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partner_code</w:t>
              <w:br/>
              <w:t>minimum_product_amount</w:t>
              <w:br/>
              <w:t>maximum_product_amount</w:t>
              <w:br/>
              <w:t>fee_type = FIXED | PERCENTAGE</w:t>
              <w:br/>
              <w:t>fee_value</w:t>
              <w:br/>
              <w:t>rounding_policy</w:t>
              <w:br/>
              <w:t>billing_party</w:t>
              <w:br/>
              <w:t>status</w:t>
            </w:r>
          </w:p>
        </w:tc>
      </w:tr>
    </w:tbl>
    <w:p>
      <w:pPr>
        <w:spacing w:after="0"/>
      </w:pPr>
    </w:p>
    <w:p>
      <w:pPr>
        <w:pStyle w:val="Heading4"/>
        <w:keepNext/>
      </w:pPr>
      <w:r>
        <w:rPr>
          <w:rFonts w:ascii="Aptos" w:hAnsi="Aptos" w:eastAsia="Aptos"/>
          <w:b w:val="0"/>
          <w:i w:val="0"/>
          <w:color w:val="0A1628"/>
          <w:sz w:val="20"/>
        </w:rPr>
        <w:t>10.6.4 Rebate Tiers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be_partner_rebate_tiers</w:t>
            </w:r>
          </w:p>
        </w:tc>
      </w:tr>
    </w:tbl>
    <w:p>
      <w:pPr>
        <w:spacing w:after="0"/>
      </w:pPr>
    </w:p>
    <w:p>
      <w:r>
        <w:rPr>
          <w:rFonts w:ascii="Aptos" w:hAnsi="Aptos" w:eastAsia="Aptos"/>
          <w:b w:val="0"/>
          <w:i w:val="0"/>
          <w:color w:val="0A1628"/>
          <w:sz w:val="20"/>
        </w:rPr>
        <w:t>Fields: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partner_code</w:t>
              <w:br/>
              <w:t>minimum_completed_ways</w:t>
              <w:br/>
              <w:t>maximum_completed_ways</w:t>
              <w:br/>
              <w:t>rebate_percent</w:t>
              <w:br/>
              <w:t>rebate_basis</w:t>
              <w:br/>
              <w:t>confirmation_required</w:t>
              <w:br/>
              <w:t>status</w:t>
            </w:r>
          </w:p>
        </w:tc>
      </w:tr>
    </w:tbl>
    <w:p>
      <w:pPr>
        <w:spacing w:after="0"/>
      </w:pPr>
    </w:p>
    <w:p>
      <w:pPr>
        <w:pStyle w:val="Heading4"/>
        <w:keepNext/>
      </w:pPr>
      <w:r>
        <w:rPr>
          <w:rFonts w:ascii="Aptos" w:hAnsi="Aptos" w:eastAsia="Aptos"/>
          <w:b w:val="0"/>
          <w:i w:val="0"/>
          <w:color w:val="0A1628"/>
          <w:sz w:val="20"/>
        </w:rPr>
        <w:t>10.6.5 Parcel Outsource Snapshot</w:t>
      </w:r>
    </w:p>
    <w:p>
      <w:r>
        <w:rPr>
          <w:rFonts w:ascii="Aptos" w:hAnsi="Aptos" w:eastAsia="Aptos"/>
          <w:b w:val="0"/>
          <w:i w:val="0"/>
          <w:color w:val="0A1628"/>
          <w:sz w:val="20"/>
        </w:rPr>
        <w:t>Every outsourced parcel must store: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fulfillment_mode</w:t>
              <w:br/>
              <w:t>managing_branch_code</w:t>
              <w:br/>
              <w:t>partner_code</w:t>
              <w:br/>
              <w:t>partner_contract_id</w:t>
              <w:br/>
              <w:t>partner_rate_card_id</w:t>
              <w:br/>
              <w:t>partner_rate_row_id</w:t>
              <w:br/>
              <w:t>partner_tracking_id</w:t>
              <w:br/>
              <w:t>partner_handover_id</w:t>
              <w:br/>
              <w:t>customer_delivery_charge_snapshot</w:t>
              <w:br/>
              <w:t>partner_base_cost_snapshot</w:t>
              <w:br/>
              <w:t>partner_extra_weight_snapshot</w:t>
              <w:br/>
              <w:t>partner_cod_fee_snapshot</w:t>
              <w:br/>
              <w:t>partner_other_cost_snapshot</w:t>
              <w:br/>
              <w:t>linehaul_cost_snapshot</w:t>
              <w:br/>
              <w:t>estimated_rebate_snapshot</w:t>
              <w:br/>
              <w:t>confirmed_rebate_snapshot</w:t>
              <w:br/>
              <w:t>outsourced_margin_snapshot</w:t>
              <w:br/>
              <w:t>calculation_version</w:t>
              <w:br/>
              <w:t>calculated_at</w:t>
            </w:r>
          </w:p>
        </w:tc>
      </w:tr>
    </w:tbl>
    <w:p>
      <w:pPr>
        <w:spacing w:after="0"/>
      </w:pPr>
    </w:p>
    <w:p>
      <w:r>
        <w:rPr>
          <w:rFonts w:ascii="Aptos" w:hAnsi="Aptos" w:eastAsia="Aptos"/>
          <w:b w:val="0"/>
          <w:i w:val="0"/>
          <w:color w:val="0A1628"/>
          <w:sz w:val="20"/>
        </w:rPr>
        <w:t>Historical parcels must never be recalculated from a newly uploaded partner rate card.</w:t>
      </w:r>
    </w:p>
    <w:p>
      <w:pPr>
        <w:pBdr>
          <w:bottom w:val="single" w:sz="5" w:space="3" w:color="B8C4D1"/>
        </w:pBdr>
        <w:spacing w:after="100"/>
      </w:pPr>
    </w:p>
    <w:p>
      <w:pPr>
        <w:pStyle w:val="Heading3"/>
        <w:keepNext/>
      </w:pPr>
      <w:r>
        <w:rPr>
          <w:rFonts w:ascii="Aptos" w:hAnsi="Aptos" w:eastAsia="Aptos"/>
          <w:b w:val="0"/>
          <w:i w:val="0"/>
          <w:color w:val="0A1628"/>
          <w:sz w:val="20"/>
        </w:rPr>
        <w:t>10.7 Required Backend Services and RPCs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be_fulfillment_route_resolve_v55</w:t>
              <w:br/>
              <w:t>be_partner_quote_calculate_v55</w:t>
              <w:br/>
              <w:t>be_dk_area_rate_resolve_v55</w:t>
              <w:br/>
              <w:t>be_linehaul_manifest_create_v55</w:t>
              <w:br/>
              <w:t>be_linehaul_manifest_allocate_v55</w:t>
              <w:br/>
              <w:t>be_partner_handover_create_v55</w:t>
              <w:br/>
              <w:t>be_partner_handover_accept_v55</w:t>
              <w:br/>
              <w:t>be_partner_tracking_event_ingest_v55</w:t>
              <w:br/>
              <w:t>be_partner_pod_confirm_v55</w:t>
              <w:br/>
              <w:t>be_partner_cod_remittance_record_v55</w:t>
              <w:br/>
              <w:t>be_partner_cod_remittance_confirm_v55</w:t>
              <w:br/>
              <w:t>be_partner_settlement_snapshot_v55</w:t>
              <w:br/>
              <w:t>be_partner_settlement_batch_create_v55</w:t>
              <w:br/>
              <w:t>be_partner_settlement_batch_submit_v55</w:t>
              <w:br/>
              <w:t>be_partner_settlement_batch_approve_v55</w:t>
              <w:br/>
              <w:t>be_partner_settlement_payment_record_v55</w:t>
              <w:br/>
              <w:t>be_partner_rebate_estimate_v55</w:t>
              <w:br/>
              <w:t>be_partner_rebate_confirm_v55</w:t>
              <w:br/>
              <w:t>be_partner_adjustment_create_v55</w:t>
            </w:r>
          </w:p>
        </w:tc>
      </w:tr>
    </w:tbl>
    <w:p>
      <w:pPr>
        <w:spacing w:after="0"/>
      </w:pPr>
    </w:p>
    <w:p>
      <w:r>
        <w:rPr>
          <w:rFonts w:ascii="Aptos" w:hAnsi="Aptos" w:eastAsia="Aptos"/>
          <w:b w:val="0"/>
          <w:i w:val="0"/>
          <w:color w:val="0A1628"/>
          <w:sz w:val="20"/>
        </w:rPr>
        <w:t>All mutations must be secured, branch-scoped, audited and idempotent.</w:t>
      </w:r>
    </w:p>
    <w:p>
      <w:pPr>
        <w:pBdr>
          <w:bottom w:val="single" w:sz="5" w:space="3" w:color="B8C4D1"/>
        </w:pBdr>
        <w:spacing w:after="100"/>
      </w:pPr>
    </w:p>
    <w:p>
      <w:pPr>
        <w:pStyle w:val="Heading3"/>
        <w:keepNext/>
      </w:pPr>
      <w:r>
        <w:rPr>
          <w:rFonts w:ascii="Aptos" w:hAnsi="Aptos" w:eastAsia="Aptos"/>
          <w:b w:val="0"/>
          <w:i w:val="0"/>
          <w:color w:val="0A1628"/>
          <w:sz w:val="20"/>
        </w:rPr>
        <w:t>10.8 Partner Settlement Screen Changes</w:t>
      </w:r>
    </w:p>
    <w:p>
      <w:r>
        <w:rPr>
          <w:rFonts w:ascii="Aptos" w:hAnsi="Aptos" w:eastAsia="Aptos"/>
          <w:b w:val="0"/>
          <w:i w:val="0"/>
          <w:color w:val="0A1628"/>
          <w:sz w:val="20"/>
        </w:rPr>
        <w:t>Add or update:</w:t>
      </w:r>
    </w:p>
    <w:p>
      <w:r>
        <w:rPr>
          <w:rFonts w:ascii="Aptos" w:hAnsi="Aptos" w:eastAsia="Aptos"/>
          <w:b w:val="0"/>
          <w:i w:val="0"/>
          <w:color w:val="0A1628"/>
          <w:sz w:val="20"/>
        </w:rPr>
      </w:r>
      <w:r>
        <w:rPr>
          <w:rFonts w:ascii="Aptos" w:hAnsi="Aptos" w:eastAsia="Aptos"/>
          <w:b/>
          <w:i w:val="0"/>
          <w:color w:val="0A1628"/>
          <w:sz w:val="20"/>
        </w:rPr>
        <w:t>Network Fulfillment &amp; Partner Settlement</w:t>
      </w:r>
      <w:r>
        <w:rPr>
          <w:rFonts w:ascii="Aptos" w:hAnsi="Aptos" w:eastAsia="Aptos"/>
          <w:b w:val="0"/>
          <w:i w:val="0"/>
          <w:color w:val="0A1628"/>
          <w:sz w:val="20"/>
        </w:rPr>
      </w:r>
    </w:p>
    <w:p>
      <w:r>
        <w:rPr>
          <w:rFonts w:ascii="Aptos" w:hAnsi="Aptos" w:eastAsia="Aptos"/>
          <w:b w:val="0"/>
          <w:i w:val="0"/>
          <w:color w:val="0A1628"/>
          <w:sz w:val="20"/>
        </w:rPr>
        <w:t>Tabs:</w:t>
      </w:r>
    </w:p>
    <w:p>
      <w:pPr>
        <w:pStyle w:val="ListBullet"/>
        <w:ind w:left="0"/>
      </w:pPr>
      <w:r>
        <w:rPr>
          <w:rFonts w:ascii="Aptos" w:hAnsi="Aptos" w:eastAsia="Aptos"/>
          <w:b w:val="0"/>
          <w:i w:val="0"/>
          <w:color w:val="0A1628"/>
          <w:sz w:val="20"/>
        </w:rPr>
        <w:t>Overview</w:t>
      </w:r>
    </w:p>
    <w:p>
      <w:pPr>
        <w:pStyle w:val="ListBullet"/>
        <w:ind w:left="0"/>
      </w:pPr>
      <w:r>
        <w:rPr>
          <w:rFonts w:ascii="Aptos" w:hAnsi="Aptos" w:eastAsia="Aptos"/>
          <w:b w:val="0"/>
          <w:i w:val="0"/>
          <w:color w:val="0A1628"/>
          <w:sz w:val="20"/>
        </w:rPr>
        <w:t>Mandalay / DK Delivery</w:t>
      </w:r>
    </w:p>
    <w:p>
      <w:pPr>
        <w:pStyle w:val="ListBullet"/>
        <w:ind w:left="0"/>
      </w:pPr>
      <w:r>
        <w:rPr>
          <w:rFonts w:ascii="Aptos" w:hAnsi="Aptos" w:eastAsia="Aptos"/>
          <w:b w:val="0"/>
          <w:i w:val="0"/>
          <w:color w:val="0A1628"/>
          <w:sz w:val="20"/>
        </w:rPr>
        <w:t>Royal Express</w:t>
      </w:r>
    </w:p>
    <w:p>
      <w:pPr>
        <w:pStyle w:val="ListBullet"/>
        <w:ind w:left="0"/>
      </w:pPr>
      <w:r>
        <w:rPr>
          <w:rFonts w:ascii="Aptos" w:hAnsi="Aptos" w:eastAsia="Aptos"/>
          <w:b w:val="0"/>
          <w:i w:val="0"/>
          <w:color w:val="0A1628"/>
          <w:sz w:val="20"/>
        </w:rPr>
        <w:t>Highway Line-Haul</w:t>
      </w:r>
    </w:p>
    <w:p>
      <w:pPr>
        <w:pStyle w:val="ListBullet"/>
        <w:ind w:left="0"/>
      </w:pPr>
      <w:r>
        <w:rPr>
          <w:rFonts w:ascii="Aptos" w:hAnsi="Aptos" w:eastAsia="Aptos"/>
          <w:b w:val="0"/>
          <w:i w:val="0"/>
          <w:color w:val="0A1628"/>
          <w:sz w:val="20"/>
        </w:rPr>
        <w:t>COD Remittance</w:t>
      </w:r>
    </w:p>
    <w:p>
      <w:pPr>
        <w:pStyle w:val="ListBullet"/>
        <w:ind w:left="0"/>
      </w:pPr>
      <w:r>
        <w:rPr>
          <w:rFonts w:ascii="Aptos" w:hAnsi="Aptos" w:eastAsia="Aptos"/>
          <w:b w:val="0"/>
          <w:i w:val="0"/>
          <w:color w:val="0A1628"/>
          <w:sz w:val="20"/>
        </w:rPr>
        <w:t>Partner Settlement Batches</w:t>
      </w:r>
    </w:p>
    <w:p>
      <w:pPr>
        <w:pStyle w:val="ListBullet"/>
        <w:ind w:left="0"/>
      </w:pPr>
      <w:r>
        <w:rPr>
          <w:rFonts w:ascii="Aptos" w:hAnsi="Aptos" w:eastAsia="Aptos"/>
          <w:b w:val="0"/>
          <w:i w:val="0"/>
          <w:color w:val="0A1628"/>
          <w:sz w:val="20"/>
        </w:rPr>
        <w:t>Rebates and Credits</w:t>
      </w:r>
    </w:p>
    <w:p>
      <w:pPr>
        <w:pStyle w:val="ListBullet"/>
        <w:ind w:left="0"/>
      </w:pPr>
      <w:r>
        <w:rPr>
          <w:rFonts w:ascii="Aptos" w:hAnsi="Aptos" w:eastAsia="Aptos"/>
          <w:b w:val="0"/>
          <w:i w:val="0"/>
          <w:color w:val="0A1628"/>
          <w:sz w:val="20"/>
        </w:rPr>
        <w:t>Penalties and Disputes</w:t>
      </w:r>
    </w:p>
    <w:p>
      <w:pPr>
        <w:pStyle w:val="ListBullet"/>
        <w:ind w:left="0"/>
      </w:pPr>
      <w:r>
        <w:rPr>
          <w:rFonts w:ascii="Aptos" w:hAnsi="Aptos" w:eastAsia="Aptos"/>
          <w:b w:val="0"/>
          <w:i w:val="0"/>
          <w:color w:val="0A1628"/>
          <w:sz w:val="20"/>
        </w:rPr>
        <w:t>Rate Cards</w:t>
      </w:r>
    </w:p>
    <w:p>
      <w:pPr>
        <w:pStyle w:val="ListBullet"/>
        <w:ind w:left="0"/>
      </w:pPr>
      <w:r>
        <w:rPr>
          <w:rFonts w:ascii="Aptos" w:hAnsi="Aptos" w:eastAsia="Aptos"/>
          <w:b w:val="0"/>
          <w:i w:val="0"/>
          <w:color w:val="0A1628"/>
          <w:sz w:val="20"/>
        </w:rPr>
        <w:t>Audit Log</w:t>
      </w:r>
    </w:p>
    <w:p>
      <w:pPr>
        <w:pStyle w:val="Heading4"/>
        <w:keepNext/>
      </w:pPr>
      <w:r>
        <w:rPr>
          <w:rFonts w:ascii="Aptos" w:hAnsi="Aptos" w:eastAsia="Aptos"/>
          <w:b w:val="0"/>
          <w:i w:val="0"/>
          <w:color w:val="0A1628"/>
          <w:sz w:val="20"/>
        </w:rPr>
        <w:t>10.8.1 DK Table Columns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Britium Way ID</w:t>
              <w:br/>
              <w:t>Mandalay Area</w:t>
              <w:br/>
              <w:t>Britium Delivery Revenue</w:t>
              <w:br/>
              <w:t>Highway Manifest</w:t>
              <w:br/>
              <w:t>Allocated Highway Cost</w:t>
              <w:br/>
              <w:t>DK Base Fee</w:t>
              <w:br/>
              <w:t>DK Weight/Size Surcharge</w:t>
              <w:br/>
              <w:t>Other DK Cost</w:t>
              <w:br/>
              <w:t>Total Fulfillment Cost</w:t>
              <w:br/>
              <w:t>Margin</w:t>
              <w:br/>
              <w:t>POD Status</w:t>
              <w:br/>
              <w:t>Settlement Status</w:t>
            </w:r>
          </w:p>
        </w:tc>
      </w:tr>
    </w:tbl>
    <w:p>
      <w:pPr>
        <w:spacing w:after="0"/>
      </w:pPr>
    </w:p>
    <w:p>
      <w:pPr>
        <w:pStyle w:val="Heading4"/>
        <w:keepNext/>
      </w:pPr>
      <w:r>
        <w:rPr>
          <w:rFonts w:ascii="Aptos" w:hAnsi="Aptos" w:eastAsia="Aptos"/>
          <w:b w:val="0"/>
          <w:i w:val="0"/>
          <w:color w:val="0A1628"/>
          <w:sz w:val="20"/>
        </w:rPr>
        <w:t>10.8.2 Royal Table Columns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Britium Way ID</w:t>
              <w:br/>
              <w:t>Royal Tracking ID</w:t>
              <w:br/>
              <w:t>Destination</w:t>
              <w:br/>
              <w:t>Zone</w:t>
              <w:br/>
              <w:t>Normal Customer Rate</w:t>
              <w:br/>
              <w:t>Discounted Partner Rate</w:t>
              <w:br/>
              <w:t>Extra Kg</w:t>
              <w:br/>
              <w:t>Extra-Kg Charge</w:t>
              <w:br/>
              <w:t>COD Service Fee</w:t>
              <w:br/>
              <w:t>Other Partner Charges</w:t>
              <w:br/>
              <w:t>Immediate Discount Margin</w:t>
              <w:br/>
              <w:t>Estimated Rebate</w:t>
              <w:br/>
              <w:t>Confirmed Rebate</w:t>
              <w:br/>
              <w:t>COD Remittance Status</w:t>
              <w:br/>
              <w:t>Final Partner Payable</w:t>
              <w:br/>
              <w:t>Final Margin</w:t>
              <w:br/>
              <w:t>Settlement Status</w:t>
            </w:r>
          </w:p>
        </w:tc>
      </w:tr>
    </w:tbl>
    <w:p>
      <w:pPr>
        <w:spacing w:after="0"/>
      </w:pPr>
    </w:p>
    <w:p>
      <w:pPr>
        <w:pBdr>
          <w:bottom w:val="single" w:sz="5" w:space="3" w:color="B8C4D1"/>
        </w:pBdr>
        <w:spacing w:after="100"/>
      </w:pPr>
    </w:p>
    <w:p>
      <w:pPr>
        <w:pStyle w:val="Heading3"/>
        <w:keepNext/>
      </w:pPr>
      <w:r>
        <w:rPr>
          <w:rFonts w:ascii="Aptos" w:hAnsi="Aptos" w:eastAsia="Aptos"/>
          <w:b w:val="0"/>
          <w:i w:val="0"/>
          <w:color w:val="0A1628"/>
          <w:sz w:val="20"/>
        </w:rPr>
        <w:t>10.9 Accounting Treatment</w:t>
      </w:r>
    </w:p>
    <w:p>
      <w:pPr>
        <w:pStyle w:val="Heading4"/>
        <w:keepNext/>
      </w:pPr>
      <w:r>
        <w:rPr>
          <w:rFonts w:ascii="Aptos" w:hAnsi="Aptos" w:eastAsia="Aptos"/>
          <w:b w:val="0"/>
          <w:i w:val="0"/>
          <w:color w:val="0A1628"/>
          <w:sz w:val="20"/>
        </w:rPr>
        <w:t>10.9.1 Mandalay / DK</w:t>
      </w:r>
    </w:p>
    <w:p>
      <w:r>
        <w:rPr>
          <w:rFonts w:ascii="Aptos" w:hAnsi="Aptos" w:eastAsia="Aptos"/>
          <w:b w:val="0"/>
          <w:i w:val="0"/>
          <w:color w:val="0A1628"/>
          <w:sz w:val="20"/>
        </w:rPr>
        <w:t>Recognize separately: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 Revenue - Mandalay</w:t>
              <w:br/>
              <w:t>Highway Line-Haul Expense</w:t>
              <w:br/>
              <w:t>DK Last-Mile Delivery Expense</w:t>
              <w:br/>
              <w:t>DK Surcharge Expense</w:t>
              <w:br/>
              <w:t>Other Fulfillment Expense</w:t>
              <w:br/>
              <w:t>Partner Payable - DK</w:t>
            </w:r>
          </w:p>
        </w:tc>
      </w:tr>
    </w:tbl>
    <w:p>
      <w:pPr>
        <w:spacing w:after="0"/>
      </w:pPr>
    </w:p>
    <w:p>
      <w:pPr>
        <w:pStyle w:val="Heading4"/>
        <w:keepNext/>
      </w:pPr>
      <w:r>
        <w:rPr>
          <w:rFonts w:ascii="Aptos" w:hAnsi="Aptos" w:eastAsia="Aptos"/>
          <w:b w:val="0"/>
          <w:i w:val="0"/>
          <w:color w:val="0A1628"/>
          <w:sz w:val="20"/>
        </w:rPr>
        <w:t>10.9.2 Royal Express</w:t>
      </w:r>
    </w:p>
    <w:p>
      <w:r>
        <w:rPr>
          <w:rFonts w:ascii="Aptos" w:hAnsi="Aptos" w:eastAsia="Aptos"/>
          <w:b w:val="0"/>
          <w:i w:val="0"/>
          <w:color w:val="0A1628"/>
          <w:sz w:val="20"/>
        </w:rPr>
        <w:t>Recognize separately: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 Revenue - Royal Customer Rate</w:t>
              <w:br/>
              <w:t>Royal Base Delivery Expense - Discounted Rate</w:t>
              <w:br/>
              <w:t>Royal Extra-Weight Expense</w:t>
              <w:br/>
              <w:t>Royal COD Service Fee Expense</w:t>
              <w:br/>
              <w:t>Royal Other Charges</w:t>
              <w:br/>
              <w:t>Royal Rebate Receivable - only after confirmation policy permits</w:t>
              <w:br/>
              <w:t>Partner Payable - Royal Express</w:t>
              <w:br/>
              <w:t>COD Receivable from Royal Express</w:t>
            </w:r>
          </w:p>
        </w:tc>
      </w:tr>
    </w:tbl>
    <w:p>
      <w:pPr>
        <w:spacing w:after="0"/>
      </w:pPr>
    </w:p>
    <w:p>
      <w:r>
        <w:rPr>
          <w:rFonts w:ascii="Aptos" w:hAnsi="Aptos" w:eastAsia="Aptos"/>
          <w:b w:val="0"/>
          <w:i w:val="0"/>
          <w:color w:val="0A1628"/>
          <w:sz w:val="20"/>
        </w:rPr>
        <w:t>The 15% base-rate difference is gross margin created by discounted procurement. It is not a separate cash receivable.</w:t>
      </w:r>
    </w:p>
    <w:p>
      <w:pPr>
        <w:pBdr>
          <w:bottom w:val="single" w:sz="5" w:space="3" w:color="B8C4D1"/>
        </w:pBdr>
        <w:spacing w:after="100"/>
      </w:pPr>
    </w:p>
    <w:p>
      <w:pPr>
        <w:pStyle w:val="Heading3"/>
        <w:keepNext/>
      </w:pPr>
      <w:r>
        <w:rPr>
          <w:rFonts w:ascii="Aptos" w:hAnsi="Aptos" w:eastAsia="Aptos"/>
          <w:b w:val="0"/>
          <w:i w:val="0"/>
          <w:color w:val="0A1628"/>
          <w:sz w:val="20"/>
        </w:rPr>
        <w:t>10.10 Calculation Pseudocode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type ProviderCode = 'DK_DELIVERY' | 'ROYAL_EXPRESS';</w:t>
              <w:br/>
              <w:br/>
              <w:t>interface MandalayCostInput {</w:t>
              <w:br/>
              <w:t xml:space="preserve">  britiumRecognizedDeliveryRevenueMmk: number;</w:t>
              <w:br/>
              <w:t xml:space="preserve">  allocatedHighwayCostMmk: number;</w:t>
              <w:br/>
              <w:t xml:space="preserve">  dkBaseFeeMmk: number;</w:t>
              <w:br/>
              <w:t xml:space="preserve">  dkWeightSizeSurchargeMmk: number;</w:t>
              <w:br/>
              <w:t xml:space="preserve">  dkOtherChargesMmk: number;</w:t>
              <w:br/>
              <w:t xml:space="preserve">  dkCreditsMmk: number;</w:t>
              <w:br/>
              <w:t xml:space="preserve">  dkPenaltiesMmk: number;</w:t>
              <w:br/>
              <w:t>}</w:t>
              <w:br/>
              <w:br/>
              <w:t>function calculateMandalayMargin(input: MandalayCostInput) {</w:t>
              <w:br/>
              <w:t xml:space="preserve">  const totalFulfillmentCostMmk =</w:t>
              <w:br/>
              <w:t xml:space="preserve">    input.allocatedHighwayCostMmk +</w:t>
              <w:br/>
              <w:t xml:space="preserve">    input.dkBaseFeeMmk +</w:t>
              <w:br/>
              <w:t xml:space="preserve">    input.dkWeightSizeSurchargeMmk +</w:t>
              <w:br/>
              <w:t xml:space="preserve">    input.dkOtherChargesMmk -</w:t>
              <w:br/>
              <w:t xml:space="preserve">    input.dkCreditsMmk -</w:t>
              <w:br/>
              <w:t xml:space="preserve">    input.dkPenaltiesMmk;</w:t>
              <w:br/>
              <w:br/>
              <w:t xml:space="preserve">  return {</w:t>
              <w:br/>
              <w:t xml:space="preserve">    totalFulfillmentCostMmk,</w:t>
              <w:br/>
              <w:t xml:space="preserve">    marginMmk:</w:t>
              <w:br/>
              <w:t xml:space="preserve">      input.britiumRecognizedDeliveryRevenueMmk -</w:t>
              <w:br/>
              <w:t xml:space="preserve">      totalFulfillmentCostMmk,</w:t>
              <w:br/>
              <w:t xml:space="preserve">  };</w:t>
              <w:br/>
              <w:t>}</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interface RoyalCostInput {</w:t>
              <w:br/>
              <w:t xml:space="preserve">  actualWeightKg: number;</w:t>
              <w:br/>
              <w:t xml:space="preserve">  normalBaseMmk: number;</w:t>
              <w:br/>
              <w:t xml:space="preserve">  discountedBaseMmk: number;</w:t>
              <w:br/>
              <w:t xml:space="preserve">  customerNextKgMmk: number;</w:t>
              <w:br/>
              <w:t xml:space="preserve">  partnerNextKgMmk: number;</w:t>
              <w:br/>
              <w:t xml:space="preserve">  productAmountMmk: number;</w:t>
              <w:br/>
              <w:t xml:space="preserve">  customerOtherSurchargesMmk: number;</w:t>
              <w:br/>
              <w:t xml:space="preserve">  partnerOtherChargesMmk: number;</w:t>
              <w:br/>
              <w:t xml:space="preserve">  handoverTransportCostMmk: number;</w:t>
              <w:br/>
              <w:t xml:space="preserve">  confirmedRebateMmk: number;</w:t>
              <w:br/>
              <w:t>}</w:t>
              <w:br/>
              <w:br/>
              <w:t>function calculateRoyalSettlement(input: RoyalCostInput) {</w:t>
              <w:br/>
              <w:t xml:space="preserve">  const extraKgUnits = Math.ceil(</w:t>
              <w:br/>
              <w:t xml:space="preserve">    Math.max(0, input.actualWeightKg - 3),</w:t>
              <w:br/>
              <w:t xml:space="preserve">  );</w:t>
              <w:br/>
              <w:br/>
              <w:t xml:space="preserve">  const customerExtraMmk =</w:t>
              <w:br/>
              <w:t xml:space="preserve">    extraKgUnits * input.customerNextKgMmk;</w:t>
              <w:br/>
              <w:br/>
              <w:t xml:space="preserve">  const partnerExtraMmk =</w:t>
              <w:br/>
              <w:t xml:space="preserve">    extraKgUnits * input.partnerNextKgMmk;</w:t>
              <w:br/>
              <w:br/>
              <w:t xml:space="preserve">  const codFeeUnrounded =</w:t>
              <w:br/>
              <w:t xml:space="preserve">    input.productAmountMmk &lt;= 300_000</w:t>
              <w:br/>
              <w:t xml:space="preserve">      ? 195</w:t>
              <w:br/>
              <w:t xml:space="preserve">      : input.productAmountMmk * 0.002;</w:t>
              <w:br/>
              <w:br/>
              <w:t xml:space="preserve">  // Apply the approved contract rounding policy here.</w:t>
              <w:br/>
              <w:t xml:space="preserve">  const royalCodFeeMmk = codFeeUnrounded;</w:t>
              <w:br/>
              <w:br/>
              <w:t xml:space="preserve">  const customerDeliveryChargeMmk =</w:t>
              <w:br/>
              <w:t xml:space="preserve">    input.normalBaseMmk +</w:t>
              <w:br/>
              <w:t xml:space="preserve">    customerExtraMmk +</w:t>
              <w:br/>
              <w:t xml:space="preserve">    input.customerOtherSurchargesMmk;</w:t>
              <w:br/>
              <w:br/>
              <w:t xml:space="preserve">  const partnerPayableBeforeRebateMmk =</w:t>
              <w:br/>
              <w:t xml:space="preserve">    input.discountedBaseMmk +</w:t>
              <w:br/>
              <w:t xml:space="preserve">    partnerExtraMmk +</w:t>
              <w:br/>
              <w:t xml:space="preserve">    royalCodFeeMmk +</w:t>
              <w:br/>
              <w:t xml:space="preserve">    input.partnerOtherChargesMmk;</w:t>
              <w:br/>
              <w:br/>
              <w:t xml:space="preserve">  const immediateDiscountMarginMmk =</w:t>
              <w:br/>
              <w:t xml:space="preserve">    input.normalBaseMmk - input.discountedBaseMmk;</w:t>
              <w:br/>
              <w:br/>
              <w:t xml:space="preserve">  const finalPartnerCostMmk =</w:t>
              <w:br/>
              <w:t xml:space="preserve">    partnerPayableBeforeRebateMmk -</w:t>
              <w:br/>
              <w:t xml:space="preserve">    input.confirmedRebateMmk;</w:t>
              <w:br/>
              <w:br/>
              <w:t xml:space="preserve">  const finalMarginMmk =</w:t>
              <w:br/>
              <w:t xml:space="preserve">    customerDeliveryChargeMmk -</w:t>
              <w:br/>
              <w:t xml:space="preserve">    finalPartnerCostMmk -</w:t>
              <w:br/>
              <w:t xml:space="preserve">    input.handoverTransportCostMmk;</w:t>
              <w:br/>
              <w:br/>
              <w:t xml:space="preserve">  return {</w:t>
              <w:br/>
              <w:t xml:space="preserve">    extraKgUnits,</w:t>
              <w:br/>
              <w:t xml:space="preserve">    customerExtraMmk,</w:t>
              <w:br/>
              <w:t xml:space="preserve">    partnerExtraMmk,</w:t>
              <w:br/>
              <w:t xml:space="preserve">    royalCodFeeMmk,</w:t>
              <w:br/>
              <w:t xml:space="preserve">    customerDeliveryChargeMmk,</w:t>
              <w:br/>
              <w:t xml:space="preserve">    partnerPayableBeforeRebateMmk,</w:t>
              <w:br/>
              <w:t xml:space="preserve">    immediateDiscountMarginMmk,</w:t>
              <w:br/>
              <w:t xml:space="preserve">    finalPartnerCostMmk,</w:t>
              <w:br/>
              <w:t xml:space="preserve">    finalMarginMmk,</w:t>
              <w:br/>
              <w:t xml:space="preserve">  };</w:t>
              <w:br/>
              <w:t>}</w:t>
            </w:r>
          </w:p>
        </w:tc>
      </w:tr>
    </w:tbl>
    <w:p>
      <w:pPr>
        <w:spacing w:after="0"/>
      </w:pPr>
    </w:p>
    <w:p>
      <w:pPr>
        <w:pBdr>
          <w:bottom w:val="single" w:sz="5" w:space="3" w:color="B8C4D1"/>
        </w:pBdr>
        <w:spacing w:after="100"/>
      </w:pPr>
    </w:p>
    <w:p>
      <w:pPr>
        <w:pStyle w:val="Heading3"/>
        <w:keepNext/>
      </w:pPr>
      <w:r>
        <w:rPr>
          <w:rFonts w:ascii="Aptos" w:hAnsi="Aptos" w:eastAsia="Aptos"/>
          <w:b w:val="0"/>
          <w:i w:val="0"/>
          <w:color w:val="0A1628"/>
          <w:sz w:val="20"/>
        </w:rPr>
        <w:t>10.11 Acceptance Tests</w:t>
      </w:r>
    </w:p>
    <w:p>
      <w:pPr>
        <w:pStyle w:val="Heading4"/>
        <w:keepNext/>
      </w:pPr>
      <w:r>
        <w:rPr>
          <w:rFonts w:ascii="Aptos" w:hAnsi="Aptos" w:eastAsia="Aptos"/>
          <w:b w:val="0"/>
          <w:i w:val="0"/>
          <w:color w:val="0A1628"/>
          <w:sz w:val="20"/>
        </w:rPr>
        <w:t>Test 1 - Mandalay Inner DK Area</w:t>
      </w:r>
    </w:p>
    <w:p>
      <w:r>
        <w:rPr>
          <w:rFonts w:ascii="Aptos" w:hAnsi="Aptos" w:eastAsia="Aptos"/>
          <w:b w:val="0"/>
          <w:i w:val="0"/>
          <w:color w:val="0A1628"/>
          <w:sz w:val="20"/>
        </w:rPr>
        <w:t>Inputs: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Britium recognized delivery revenue = 6,000</w:t>
              <w:br/>
              <w:t>DK area band = INNER</w:t>
              <w:br/>
              <w:t>DK base = 2,000</w:t>
              <w:br/>
              <w:t>Allocated highway cost = 1,200 test value</w:t>
              <w:br/>
              <w:t>DK surcharge = 0</w:t>
            </w:r>
          </w:p>
        </w:tc>
      </w:tr>
    </w:tbl>
    <w:p>
      <w:pPr>
        <w:spacing w:after="0"/>
      </w:pPr>
    </w:p>
    <w:p>
      <w:r>
        <w:rPr>
          <w:rFonts w:ascii="Aptos" w:hAnsi="Aptos" w:eastAsia="Aptos"/>
          <w:b w:val="0"/>
          <w:i w:val="0"/>
          <w:color w:val="0A1628"/>
          <w:sz w:val="20"/>
        </w:rPr>
        <w:t>Expected: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Total fulfillment cost = 3,200</w:t>
              <w:br/>
              <w:t>Mandalay margin = 2,800</w:t>
            </w:r>
          </w:p>
        </w:tc>
      </w:tr>
    </w:tbl>
    <w:p>
      <w:pPr>
        <w:spacing w:after="0"/>
      </w:pPr>
    </w:p>
    <w:p>
      <w:r>
        <w:rPr>
          <w:rFonts w:ascii="Aptos" w:hAnsi="Aptos" w:eastAsia="Aptos"/>
          <w:b w:val="0"/>
          <w:i w:val="0"/>
          <w:color w:val="0A1628"/>
          <w:sz w:val="20"/>
        </w:rPr>
        <w:t>The 1,200 amount is a test fixture, not a contractual highway rate.</w:t>
      </w:r>
    </w:p>
    <w:p>
      <w:pPr>
        <w:pStyle w:val="Heading4"/>
        <w:keepNext/>
      </w:pPr>
      <w:r>
        <w:rPr>
          <w:rFonts w:ascii="Aptos" w:hAnsi="Aptos" w:eastAsia="Aptos"/>
          <w:b w:val="0"/>
          <w:i w:val="0"/>
          <w:color w:val="0A1628"/>
          <w:sz w:val="20"/>
        </w:rPr>
        <w:t>Test 2 - Mandalay Missing Highway Cost</w:t>
      </w:r>
    </w:p>
    <w:p>
      <w:r>
        <w:rPr>
          <w:rFonts w:ascii="Aptos" w:hAnsi="Aptos" w:eastAsia="Aptos"/>
          <w:b w:val="0"/>
          <w:i w:val="0"/>
          <w:color w:val="0A1628"/>
          <w:sz w:val="20"/>
        </w:rPr>
        <w:t>When the highway manifest has no approved cost allocation: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exception = HIGHWAY_COST_NOT_ALLOCATED</w:t>
              <w:br/>
              <w:t>settlement_eligible = false</w:t>
            </w:r>
          </w:p>
        </w:tc>
      </w:tr>
    </w:tbl>
    <w:p>
      <w:pPr>
        <w:spacing w:after="0"/>
      </w:pPr>
    </w:p>
    <w:p>
      <w:pPr>
        <w:pStyle w:val="Heading4"/>
        <w:keepNext/>
      </w:pPr>
      <w:r>
        <w:rPr>
          <w:rFonts w:ascii="Aptos" w:hAnsi="Aptos" w:eastAsia="Aptos"/>
          <w:b w:val="0"/>
          <w:i w:val="0"/>
          <w:color w:val="0A1628"/>
          <w:sz w:val="20"/>
        </w:rPr>
        <w:t>Test 3 - DK Unresolved Area</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exception = DK_AREA_RATE_NOT_FOUND</w:t>
              <w:br/>
              <w:t>partner_payable = null</w:t>
              <w:br/>
              <w:t>settlement_eligible = false</w:t>
            </w:r>
          </w:p>
        </w:tc>
      </w:tr>
    </w:tbl>
    <w:p>
      <w:pPr>
        <w:spacing w:after="0"/>
      </w:pPr>
    </w:p>
    <w:p>
      <w:pPr>
        <w:pStyle w:val="Heading4"/>
        <w:keepNext/>
      </w:pPr>
      <w:r>
        <w:rPr>
          <w:rFonts w:ascii="Aptos" w:hAnsi="Aptos" w:eastAsia="Aptos"/>
          <w:b w:val="0"/>
          <w:i w:val="0"/>
          <w:color w:val="0A1628"/>
          <w:sz w:val="20"/>
        </w:rPr>
        <w:t>Test 4 - Royal Hinthada Base Parcel</w:t>
      </w:r>
    </w:p>
    <w:p>
      <w:r>
        <w:rPr>
          <w:rFonts w:ascii="Aptos" w:hAnsi="Aptos" w:eastAsia="Aptos"/>
          <w:b w:val="0"/>
          <w:i w:val="0"/>
          <w:color w:val="0A1628"/>
          <w:sz w:val="20"/>
        </w:rPr>
        <w:t>From the quotation: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Normal base = 4,500</w:t>
              <w:br/>
              <w:t>Discounted base = 3,825</w:t>
              <w:br/>
              <w:t>Weight &lt;= 3 kg</w:t>
              <w:br/>
              <w:t>Product amount &lt;= 300,000</w:t>
              <w:br/>
              <w:t>Royal COD fee = 195</w:t>
            </w:r>
          </w:p>
        </w:tc>
      </w:tr>
    </w:tbl>
    <w:p>
      <w:pPr>
        <w:spacing w:after="0"/>
      </w:pPr>
    </w:p>
    <w:p>
      <w:r>
        <w:rPr>
          <w:rFonts w:ascii="Aptos" w:hAnsi="Aptos" w:eastAsia="Aptos"/>
          <w:b w:val="0"/>
          <w:i w:val="0"/>
          <w:color w:val="0A1628"/>
          <w:sz w:val="20"/>
        </w:rPr>
        <w:t>When Britium absorbs the COD fee and there are no other costs: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 delivery charge = 4,500</w:t>
              <w:br/>
              <w:t>Partner payable before rebate = 4,020</w:t>
              <w:br/>
              <w:t>Immediate base discount margin = 675</w:t>
              <w:br/>
              <w:t>Margin after COD fee = 480</w:t>
            </w:r>
          </w:p>
        </w:tc>
      </w:tr>
    </w:tbl>
    <w:p>
      <w:pPr>
        <w:spacing w:after="0"/>
      </w:pPr>
    </w:p>
    <w:p>
      <w:pPr>
        <w:pStyle w:val="Heading4"/>
        <w:keepNext/>
      </w:pPr>
      <w:r>
        <w:rPr>
          <w:rFonts w:ascii="Aptos" w:hAnsi="Aptos" w:eastAsia="Aptos"/>
          <w:b w:val="0"/>
          <w:i w:val="0"/>
          <w:color w:val="0A1628"/>
          <w:sz w:val="20"/>
        </w:rPr>
        <w:t>Test 5 - Royal 4 kg Parcel</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Normal base = 4,500</w:t>
              <w:br/>
              <w:t>Discounted base = 3,825</w:t>
              <w:br/>
              <w:t>Next 1 kg customer rate = 1,700</w:t>
              <w:br/>
              <w:t>Next 1 kg partner rate = 1,700</w:t>
              <w:br/>
              <w:t>Actual weight = 4 kg</w:t>
              <w:br/>
              <w:t>Product amount &lt;= 300,000</w:t>
            </w:r>
          </w:p>
        </w:tc>
      </w:tr>
    </w:tbl>
    <w:p>
      <w:pPr>
        <w:spacing w:after="0"/>
      </w:pPr>
    </w:p>
    <w:p>
      <w:r>
        <w:rPr>
          <w:rFonts w:ascii="Aptos" w:hAnsi="Aptos" w:eastAsia="Aptos"/>
          <w:b w:val="0"/>
          <w:i w:val="0"/>
          <w:color w:val="0A1628"/>
          <w:sz w:val="20"/>
        </w:rPr>
        <w:t>Expected: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Extra kg units = 1</w:t>
              <w:br/>
              <w:t>Customer delivery charge before other surcharge = 6,200</w:t>
              <w:br/>
              <w:t>Partner payable before rebate = 5,720</w:t>
              <w:br/>
              <w:t>Final margin before transport/rebate = 480</w:t>
            </w:r>
          </w:p>
        </w:tc>
      </w:tr>
    </w:tbl>
    <w:p>
      <w:pPr>
        <w:spacing w:after="0"/>
      </w:pPr>
    </w:p>
    <w:p>
      <w:pPr>
        <w:pStyle w:val="Heading4"/>
        <w:keepNext/>
      </w:pPr>
      <w:r>
        <w:rPr>
          <w:rFonts w:ascii="Aptos" w:hAnsi="Aptos" w:eastAsia="Aptos"/>
          <w:b w:val="0"/>
          <w:i w:val="0"/>
          <w:color w:val="0A1628"/>
          <w:sz w:val="20"/>
        </w:rPr>
        <w:t>Test 6 - Royal COD Above 300,000</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Product amount = 500,000</w:t>
              <w:br/>
              <w:t>Royal COD fee = 500,000 x 0.2% = 1,000</w:t>
            </w:r>
          </w:p>
        </w:tc>
      </w:tr>
    </w:tbl>
    <w:p>
      <w:pPr>
        <w:spacing w:after="0"/>
      </w:pPr>
    </w:p>
    <w:p>
      <w:pPr>
        <w:pStyle w:val="Heading4"/>
        <w:keepNext/>
      </w:pPr>
      <w:r>
        <w:rPr>
          <w:rFonts w:ascii="Aptos" w:hAnsi="Aptos" w:eastAsia="Aptos"/>
          <w:b w:val="0"/>
          <w:i w:val="0"/>
          <w:color w:val="0A1628"/>
          <w:sz w:val="20"/>
        </w:rPr>
        <w:t>Test 7 - Royal Monthly Rebate Tier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Completed Royal ways = 2,100</w:t>
              <w:br/>
              <w:t>Rebate tier = 10%</w:t>
            </w:r>
          </w:p>
        </w:tc>
      </w:tr>
    </w:tbl>
    <w:p>
      <w:pPr>
        <w:spacing w:after="0"/>
      </w:pPr>
    </w:p>
    <w:p>
      <w:r>
        <w:rPr>
          <w:rFonts w:ascii="Aptos" w:hAnsi="Aptos" w:eastAsia="Aptos"/>
          <w:b w:val="0"/>
          <w:i w:val="0"/>
          <w:color w:val="0A1628"/>
          <w:sz w:val="20"/>
        </w:rPr>
        <w:t>If the rebate basis is not configured: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rebate_status = REQUIRES_CONTRACT_CONFIRMATION</w:t>
              <w:br/>
              <w:t>confirmed_rebate = null</w:t>
            </w:r>
          </w:p>
        </w:tc>
      </w:tr>
    </w:tbl>
    <w:p>
      <w:pPr>
        <w:spacing w:after="0"/>
      </w:pPr>
    </w:p>
    <w:p>
      <w:pPr>
        <w:pStyle w:val="Heading4"/>
        <w:keepNext/>
      </w:pPr>
      <w:r>
        <w:rPr>
          <w:rFonts w:ascii="Aptos" w:hAnsi="Aptos" w:eastAsia="Aptos"/>
          <w:b w:val="0"/>
          <w:i w:val="0"/>
          <w:color w:val="0A1628"/>
          <w:sz w:val="20"/>
        </w:rPr>
        <w:t>Test 8 - Routing Exclusion</w:t>
      </w:r>
    </w:p>
    <w:p>
      <w:r>
        <w:rPr>
          <w:rFonts w:ascii="Aptos" w:hAnsi="Aptos" w:eastAsia="Aptos"/>
          <w:b w:val="0"/>
          <w:i w:val="0"/>
          <w:color w:val="0A1628"/>
          <w:sz w:val="20"/>
        </w:rPr>
        <w:t>A Mandalay parcel must route to DK Delivery even though the Royal quotation contains a Mandalay row.</w:t>
      </w:r>
    </w:p>
    <w:p>
      <w:r>
        <w:rPr>
          <w:rFonts w:ascii="Aptos" w:hAnsi="Aptos" w:eastAsia="Aptos"/>
          <w:b w:val="0"/>
          <w:i w:val="0"/>
          <w:color w:val="0A1628"/>
          <w:sz w:val="20"/>
        </w:rPr>
        <w:t>Expected: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provider = DK_DELIVERY</w:t>
              <w:br/>
              <w:t>routing_rule = MDY_PRIMARY_DK</w:t>
            </w:r>
          </w:p>
        </w:tc>
      </w:tr>
    </w:tbl>
    <w:p>
      <w:pPr>
        <w:spacing w:after="0"/>
      </w:pPr>
    </w:p>
    <w:p>
      <w:pPr>
        <w:pBdr>
          <w:bottom w:val="single" w:sz="5" w:space="3" w:color="B8C4D1"/>
        </w:pBdr>
        <w:spacing w:after="100"/>
      </w:pPr>
    </w:p>
    <w:p>
      <w:pPr>
        <w:pStyle w:val="Heading3"/>
        <w:keepNext/>
      </w:pPr>
      <w:r>
        <w:rPr>
          <w:rFonts w:ascii="Aptos" w:hAnsi="Aptos" w:eastAsia="Aptos"/>
          <w:b w:val="0"/>
          <w:i w:val="0"/>
          <w:color w:val="0A1628"/>
          <w:sz w:val="20"/>
        </w:rPr>
        <w:t>10.12 Mandatory Business Confirmations Before Production Activation</w:t>
      </w:r>
    </w:p>
    <w:p>
      <w:pPr>
        <w:pStyle w:val="ListNumber"/>
        <w:ind w:left="0"/>
      </w:pPr>
      <w:r>
        <w:rPr>
          <w:rFonts w:ascii="Aptos" w:hAnsi="Aptos" w:eastAsia="Aptos"/>
          <w:b w:val="0"/>
          <w:i w:val="0"/>
          <w:color w:val="0A1628"/>
          <w:sz w:val="20"/>
        </w:rPr>
        <w:t>Exact DK areas assigned to 2,000, 2,500 and 3,000 MMK.</w:t>
      </w:r>
    </w:p>
    <w:p>
      <w:pPr>
        <w:pStyle w:val="ListNumber"/>
        <w:ind w:left="0"/>
      </w:pPr>
      <w:r>
        <w:rPr>
          <w:rFonts w:ascii="Aptos" w:hAnsi="Aptos" w:eastAsia="Aptos"/>
          <w:b w:val="0"/>
          <w:i w:val="0"/>
          <w:color w:val="0A1628"/>
          <w:sz w:val="20"/>
        </w:rPr>
        <w:t>Exact condition for DK 500 versus 1,000 MMK surcharge.</w:t>
      </w:r>
    </w:p>
    <w:p>
      <w:pPr>
        <w:pStyle w:val="ListNumber"/>
        <w:ind w:left="0"/>
      </w:pPr>
      <w:r>
        <w:rPr>
          <w:rFonts w:ascii="Aptos" w:hAnsi="Aptos" w:eastAsia="Aptos"/>
          <w:b w:val="0"/>
          <w:i w:val="0"/>
          <w:color w:val="0A1628"/>
          <w:sz w:val="20"/>
        </w:rPr>
        <w:t>Highway cost allocation method and approval authority.</w:t>
      </w:r>
    </w:p>
    <w:p>
      <w:pPr>
        <w:pStyle w:val="ListNumber"/>
        <w:ind w:left="0"/>
      </w:pPr>
      <w:r>
        <w:rPr>
          <w:rFonts w:ascii="Aptos" w:hAnsi="Aptos" w:eastAsia="Aptos"/>
          <w:b w:val="0"/>
          <w:i w:val="0"/>
          <w:color w:val="0A1628"/>
          <w:sz w:val="20"/>
        </w:rPr>
        <w:t>Whether Royal's 15% discount applies only to the first 3 kg or also to extra kilograms.</w:t>
      </w:r>
    </w:p>
    <w:p>
      <w:pPr>
        <w:pStyle w:val="ListNumber"/>
        <w:ind w:left="0"/>
      </w:pPr>
      <w:r>
        <w:rPr>
          <w:rFonts w:ascii="Aptos" w:hAnsi="Aptos" w:eastAsia="Aptos"/>
          <w:b w:val="0"/>
          <w:i w:val="0"/>
          <w:color w:val="0A1628"/>
          <w:sz w:val="20"/>
        </w:rPr>
        <w:t>Royal monthly rebate calculation base.</w:t>
      </w:r>
    </w:p>
    <w:p>
      <w:pPr>
        <w:pStyle w:val="ListNumber"/>
        <w:ind w:left="0"/>
      </w:pPr>
      <w:r>
        <w:rPr>
          <w:rFonts w:ascii="Aptos" w:hAnsi="Aptos" w:eastAsia="Aptos"/>
          <w:b w:val="0"/>
          <w:i w:val="0"/>
          <w:color w:val="0A1628"/>
          <w:sz w:val="20"/>
        </w:rPr>
        <w:t>Whether the monthly rebate is cumulative with the 15% discounted rate.</w:t>
      </w:r>
    </w:p>
    <w:p>
      <w:pPr>
        <w:pStyle w:val="ListNumber"/>
        <w:ind w:left="0"/>
      </w:pPr>
      <w:r>
        <w:rPr>
          <w:rFonts w:ascii="Aptos" w:hAnsi="Aptos" w:eastAsia="Aptos"/>
          <w:b w:val="0"/>
          <w:i w:val="0"/>
          <w:color w:val="0A1628"/>
          <w:sz w:val="20"/>
        </w:rPr>
        <w:t>Whether Royal COD service fee is absorbed by Britium, charged to merchant or charged to receiver.</w:t>
      </w:r>
    </w:p>
    <w:p>
      <w:pPr>
        <w:pStyle w:val="ListNumber"/>
        <w:ind w:left="0"/>
      </w:pPr>
      <w:r>
        <w:rPr>
          <w:rFonts w:ascii="Aptos" w:hAnsi="Aptos" w:eastAsia="Aptos"/>
          <w:b w:val="0"/>
          <w:i w:val="0"/>
          <w:color w:val="0A1628"/>
          <w:sz w:val="20"/>
        </w:rPr>
        <w:t>Royal percentage-fee rounding rule.</w:t>
      </w:r>
    </w:p>
    <w:p>
      <w:pPr>
        <w:pStyle w:val="ListNumber"/>
        <w:ind w:left="0"/>
      </w:pPr>
      <w:r>
        <w:rPr>
          <w:rFonts w:ascii="Aptos" w:hAnsi="Aptos" w:eastAsia="Aptos"/>
          <w:b w:val="0"/>
          <w:i w:val="0"/>
          <w:color w:val="0A1628"/>
          <w:sz w:val="20"/>
        </w:rPr>
        <w:t>Approved production activation date for the quotation.</w:t>
      </w:r>
    </w:p>
    <w:p>
      <w:pPr>
        <w:pStyle w:val="ListNumber"/>
        <w:ind w:left="0"/>
      </w:pPr>
      <w:r>
        <w:rPr>
          <w:rFonts w:ascii="Aptos" w:hAnsi="Aptos" w:eastAsia="Aptos"/>
          <w:b w:val="0"/>
          <w:i w:val="0"/>
          <w:color w:val="0A1628"/>
          <w:sz w:val="20"/>
        </w:rPr>
        <w:t>Return, redelivery and failed-delivery charges for both partners.</w:t>
      </w:r>
    </w:p>
    <w:p>
      <w:pPr>
        <w:pStyle w:val="ListNumber"/>
        <w:ind w:left="0"/>
      </w:pPr>
      <w:r>
        <w:rPr>
          <w:rFonts w:ascii="Aptos" w:hAnsi="Aptos" w:eastAsia="Aptos"/>
          <w:b w:val="0"/>
          <w:i w:val="0"/>
          <w:color w:val="0A1628"/>
          <w:sz w:val="20"/>
        </w:rPr>
        <w:t>Taxes and withholding treatment.</w:t>
      </w:r>
    </w:p>
    <w:p>
      <w:pPr>
        <w:pStyle w:val="ListNumber"/>
        <w:ind w:left="0"/>
      </w:pPr>
      <w:r>
        <w:rPr>
          <w:rFonts w:ascii="Aptos" w:hAnsi="Aptos" w:eastAsia="Aptos"/>
          <w:b w:val="0"/>
          <w:i w:val="0"/>
          <w:color w:val="0A1628"/>
          <w:sz w:val="20"/>
        </w:rPr>
        <w:t>Required invoice and credit-note documents.</w:t>
      </w:r>
    </w:p>
    <w:p>
      <w:r>
        <w:rPr>
          <w:rFonts w:ascii="Aptos" w:hAnsi="Aptos" w:eastAsia="Aptos"/>
          <w:b w:val="0"/>
          <w:i w:val="0"/>
          <w:color w:val="0A1628"/>
          <w:sz w:val="20"/>
        </w:rPr>
        <w:t xml:space="preserve">Until these points are approved, affected calculations must show </w:t>
      </w:r>
      <w:r>
        <w:rPr>
          <w:rFonts w:ascii="Consolas" w:hAnsi="Consolas" w:eastAsia="Consolas"/>
          <w:b w:val="0"/>
          <w:i w:val="0"/>
          <w:color w:val="0A1628"/>
          <w:sz w:val="17"/>
          <w:shd w:fill="EEF2F6"/>
        </w:rPr>
        <w:t>REVIEW</w:t>
      </w:r>
      <w:r>
        <w:rPr>
          <w:rFonts w:ascii="Aptos" w:hAnsi="Aptos" w:eastAsia="Aptos"/>
          <w:b w:val="0"/>
          <w:i w:val="0"/>
          <w:color w:val="0A1628"/>
          <w:sz w:val="20"/>
        </w:rPr>
        <w:t xml:space="preserve"> or </w:t>
      </w:r>
      <w:r>
        <w:rPr>
          <w:rFonts w:ascii="Consolas" w:hAnsi="Consolas" w:eastAsia="Consolas"/>
          <w:b w:val="0"/>
          <w:i w:val="0"/>
          <w:color w:val="0A1628"/>
          <w:sz w:val="17"/>
          <w:shd w:fill="EEF2F6"/>
        </w:rPr>
        <w:t>RATE_CONFIGURATION_INCOMPLETE</w:t>
      </w:r>
      <w:r>
        <w:rPr>
          <w:rFonts w:ascii="Aptos" w:hAnsi="Aptos" w:eastAsia="Aptos"/>
          <w:b w:val="0"/>
          <w:i w:val="0"/>
          <w:color w:val="0A1628"/>
          <w:sz w:val="20"/>
        </w:rPr>
        <w:t xml:space="preserve"> rather than silently applying assumptions.</w:t>
      </w:r>
    </w:p>
    <w:p>
      <w:pPr>
        <w:pBdr>
          <w:bottom w:val="single" w:sz="5" w:space="3" w:color="B8C4D1"/>
        </w:pBdr>
        <w:spacing w:after="100"/>
      </w:pPr>
    </w:p>
    <w:p>
      <w:pPr>
        <w:pStyle w:val="Heading3"/>
        <w:keepNext/>
      </w:pPr>
      <w:r>
        <w:rPr>
          <w:rFonts w:ascii="Aptos" w:hAnsi="Aptos" w:eastAsia="Aptos"/>
          <w:b w:val="0"/>
          <w:i w:val="0"/>
          <w:color w:val="0A1628"/>
          <w:sz w:val="20"/>
        </w:rPr>
        <w:t>10.13 Definition of Done</w:t>
      </w:r>
    </w:p>
    <w:p>
      <w:r>
        <w:rPr>
          <w:rFonts w:ascii="Aptos" w:hAnsi="Aptos" w:eastAsia="Aptos"/>
          <w:b w:val="0"/>
          <w:i w:val="0"/>
          <w:color w:val="0A1628"/>
          <w:sz w:val="20"/>
        </w:rPr>
        <w:t>The module is complete when:</w:t>
      </w:r>
    </w:p>
    <w:p>
      <w:pPr>
        <w:pStyle w:val="ListBullet"/>
        <w:ind w:left="0"/>
      </w:pPr>
      <w:r>
        <w:rPr>
          <w:rFonts w:ascii="Aptos" w:hAnsi="Aptos" w:eastAsia="Aptos"/>
          <w:b w:val="0"/>
          <w:i w:val="0"/>
          <w:color w:val="0A1628"/>
          <w:sz w:val="20"/>
        </w:rPr>
        <w:t>Mandalay customer tariffs remain Britium tariffs.</w:t>
      </w:r>
    </w:p>
    <w:p>
      <w:pPr>
        <w:pStyle w:val="ListBullet"/>
        <w:ind w:left="0"/>
      </w:pPr>
      <w:r>
        <w:rPr>
          <w:rFonts w:ascii="Aptos" w:hAnsi="Aptos" w:eastAsia="Aptos"/>
          <w:b w:val="0"/>
          <w:i w:val="0"/>
          <w:color w:val="0A1628"/>
          <w:sz w:val="20"/>
        </w:rPr>
        <w:t>Highway and DK costs are independently recorded and allocated.</w:t>
      </w:r>
    </w:p>
    <w:p>
      <w:pPr>
        <w:pStyle w:val="ListBullet"/>
        <w:ind w:left="0"/>
      </w:pPr>
      <w:r>
        <w:rPr>
          <w:rFonts w:ascii="Aptos" w:hAnsi="Aptos" w:eastAsia="Aptos"/>
          <w:b w:val="0"/>
          <w:i w:val="0"/>
          <w:color w:val="0A1628"/>
          <w:sz w:val="20"/>
        </w:rPr>
        <w:t>DK area rates and surcharge rules are versioned.</w:t>
      </w:r>
    </w:p>
    <w:p>
      <w:pPr>
        <w:pStyle w:val="ListBullet"/>
        <w:ind w:left="0"/>
      </w:pPr>
      <w:r>
        <w:rPr>
          <w:rFonts w:ascii="Aptos" w:hAnsi="Aptos" w:eastAsia="Aptos"/>
          <w:b w:val="0"/>
          <w:i w:val="0"/>
          <w:color w:val="0A1628"/>
          <w:sz w:val="20"/>
        </w:rPr>
        <w:t>Royal normal and discounted rates are separately stored.</w:t>
      </w:r>
    </w:p>
    <w:p>
      <w:pPr>
        <w:pStyle w:val="ListBullet"/>
        <w:ind w:left="0"/>
      </w:pPr>
      <w:r>
        <w:rPr>
          <w:rFonts w:ascii="Aptos" w:hAnsi="Aptos" w:eastAsia="Aptos"/>
          <w:b w:val="0"/>
          <w:i w:val="0"/>
          <w:color w:val="0A1628"/>
          <w:sz w:val="20"/>
        </w:rPr>
        <w:t>Royal COD fees are calculated by threshold.</w:t>
      </w:r>
    </w:p>
    <w:p>
      <w:pPr>
        <w:pStyle w:val="ListBullet"/>
        <w:ind w:left="0"/>
      </w:pPr>
      <w:r>
        <w:rPr>
          <w:rFonts w:ascii="Aptos" w:hAnsi="Aptos" w:eastAsia="Aptos"/>
          <w:b w:val="0"/>
          <w:i w:val="0"/>
          <w:color w:val="0A1628"/>
          <w:sz w:val="20"/>
        </w:rPr>
        <w:t>Monthly rebates are estimated and confirmed separately.</w:t>
      </w:r>
    </w:p>
    <w:p>
      <w:pPr>
        <w:pStyle w:val="ListBullet"/>
        <w:ind w:left="0"/>
      </w:pPr>
      <w:r>
        <w:rPr>
          <w:rFonts w:ascii="Aptos" w:hAnsi="Aptos" w:eastAsia="Aptos"/>
          <w:b w:val="0"/>
          <w:i w:val="0"/>
          <w:color w:val="0A1628"/>
          <w:sz w:val="20"/>
        </w:rPr>
        <w:t>Royal COD remittance is monitored against its SLA.</w:t>
      </w:r>
    </w:p>
    <w:p>
      <w:pPr>
        <w:pStyle w:val="ListBullet"/>
        <w:ind w:left="0"/>
      </w:pPr>
      <w:r>
        <w:rPr>
          <w:rFonts w:ascii="Aptos" w:hAnsi="Aptos" w:eastAsia="Aptos"/>
          <w:b w:val="0"/>
          <w:i w:val="0"/>
          <w:color w:val="0A1628"/>
          <w:sz w:val="20"/>
        </w:rPr>
        <w:t>Partner costs do not alter merchant settlement.</w:t>
      </w:r>
    </w:p>
    <w:p>
      <w:pPr>
        <w:pStyle w:val="ListBullet"/>
        <w:ind w:left="0"/>
      </w:pPr>
      <w:r>
        <w:rPr>
          <w:rFonts w:ascii="Aptos" w:hAnsi="Aptos" w:eastAsia="Aptos"/>
          <w:b w:val="0"/>
          <w:i w:val="0"/>
          <w:color w:val="0A1628"/>
          <w:sz w:val="20"/>
        </w:rPr>
        <w:t>Route precedence prevents Royal from replacing DK or Naypyitaw workflows.</w:t>
      </w:r>
    </w:p>
    <w:p>
      <w:pPr>
        <w:pStyle w:val="ListBullet"/>
        <w:ind w:left="0"/>
      </w:pPr>
      <w:r>
        <w:rPr>
          <w:rFonts w:ascii="Aptos" w:hAnsi="Aptos" w:eastAsia="Aptos"/>
          <w:b w:val="0"/>
          <w:i w:val="0"/>
          <w:color w:val="0A1628"/>
          <w:sz w:val="20"/>
        </w:rPr>
        <w:t>Settlement batches reconcile at Way level.</w:t>
      </w:r>
    </w:p>
    <w:p>
      <w:pPr>
        <w:pStyle w:val="ListBullet"/>
        <w:ind w:left="0"/>
      </w:pPr>
      <w:r>
        <w:rPr>
          <w:rFonts w:ascii="Aptos" w:hAnsi="Aptos" w:eastAsia="Aptos"/>
          <w:b w:val="0"/>
          <w:i w:val="0"/>
          <w:color w:val="0A1628"/>
          <w:sz w:val="20"/>
        </w:rPr>
        <w:t>Historical partner costs remain unchanged after future rate updates.</w:t>
      </w:r>
    </w:p>
    <w:p>
      <w:pPr>
        <w:pStyle w:val="ListBullet"/>
        <w:ind w:left="0"/>
      </w:pPr>
      <w:r>
        <w:rPr>
          <w:rFonts w:ascii="Aptos" w:hAnsi="Aptos" w:eastAsia="Aptos"/>
          <w:b w:val="0"/>
          <w:i w:val="0"/>
          <w:color w:val="0A1628"/>
          <w:sz w:val="20"/>
        </w:rPr>
        <w:t>All financial mutations are secured and audited.</w:t>
      </w:r>
    </w:p>
    <w:p>
      <w:pPr>
        <w:pBdr>
          <w:bottom w:val="single" w:sz="5" w:space="3" w:color="B8C4D1"/>
        </w:pBdr>
        <w:spacing w:after="100"/>
      </w:pPr>
    </w:p>
    <w:p>
      <w:pPr>
        <w:pStyle w:val="Heading1"/>
        <w:pBdr>
          <w:bottom w:val="single" w:sz="12" w:space="3" w:color="C09B30"/>
        </w:pBdr>
        <w:keepNext/>
      </w:pPr>
      <w:r>
        <w:rPr>
          <w:rFonts w:ascii="Aptos" w:hAnsi="Aptos" w:eastAsia="Aptos"/>
          <w:b w:val="0"/>
          <w:i w:val="0"/>
          <w:color w:val="0A1628"/>
          <w:sz w:val="20"/>
        </w:rPr>
        <w:t>Part II - Platform Remediation and Supporting Modules</w:t>
      </w:r>
    </w:p>
    <w:p>
      <w:pPr>
        <w:pStyle w:val="Heading2"/>
        <w:keepNext/>
      </w:pPr>
      <w:r>
        <w:rPr>
          <w:rFonts w:ascii="Aptos" w:hAnsi="Aptos" w:eastAsia="Aptos"/>
          <w:b w:val="0"/>
          <w:i w:val="0"/>
          <w:color w:val="0A1628"/>
          <w:sz w:val="20"/>
        </w:rPr>
        <w:t>11. Confirmed Current-State Technical Findings</w:t>
      </w:r>
    </w:p>
    <w:p>
      <w:pPr>
        <w:pStyle w:val="Heading3"/>
        <w:keepNext/>
      </w:pPr>
      <w:r>
        <w:rPr>
          <w:rFonts w:ascii="Aptos" w:hAnsi="Aptos" w:eastAsia="Aptos"/>
          <w:b w:val="0"/>
          <w:i w:val="0"/>
          <w:color w:val="0A1628"/>
          <w:sz w:val="20"/>
        </w:rPr>
        <w:t>11.1 Final synchronization</w:t>
      </w:r>
    </w:p>
    <w:p>
      <w:r>
        <w:rPr>
          <w:rFonts w:ascii="Consolas" w:hAnsi="Consolas" w:eastAsia="Consolas"/>
          <w:b w:val="0"/>
          <w:i w:val="0"/>
          <w:color w:val="0A1628"/>
          <w:sz w:val="17"/>
          <w:shd w:fill="EEF2F6"/>
        </w:rPr>
        <w:t>FinalSynchronizationV50.tsx</w:t>
      </w:r>
      <w:r>
        <w:rPr>
          <w:rFonts w:ascii="Aptos" w:hAnsi="Aptos" w:eastAsia="Aptos"/>
          <w:b w:val="0"/>
          <w:i w:val="0"/>
          <w:color w:val="0A1628"/>
          <w:sz w:val="20"/>
        </w:rPr>
        <w:t xml:space="preserve"> computes merchant codes from Way ID and Pickup ID in the browser and prevents the certify button when they differ. It does not repair canonical records. The supplied archive contains the RPC callers but not the SQL definitions for </w:t>
      </w:r>
      <w:r>
        <w:rPr>
          <w:rFonts w:ascii="Consolas" w:hAnsi="Consolas" w:eastAsia="Consolas"/>
          <w:b w:val="0"/>
          <w:i w:val="0"/>
          <w:color w:val="0A1628"/>
          <w:sz w:val="17"/>
          <w:shd w:fill="EEF2F6"/>
        </w:rPr>
        <w:t>be_final_sync_snapshot_v50</w:t>
      </w:r>
      <w:r>
        <w:rPr>
          <w:rFonts w:ascii="Aptos" w:hAnsi="Aptos" w:eastAsia="Aptos"/>
          <w:b w:val="0"/>
          <w:i w:val="0"/>
          <w:color w:val="0A1628"/>
          <w:sz w:val="20"/>
        </w:rPr>
        <w:t xml:space="preserve">, </w:t>
      </w:r>
      <w:r>
        <w:rPr>
          <w:rFonts w:ascii="Consolas" w:hAnsi="Consolas" w:eastAsia="Consolas"/>
          <w:b w:val="0"/>
          <w:i w:val="0"/>
          <w:color w:val="0A1628"/>
          <w:sz w:val="17"/>
          <w:shd w:fill="EEF2F6"/>
        </w:rPr>
        <w:t>be_final_sync_refresh_v50</w:t>
      </w:r>
      <w:r>
        <w:rPr>
          <w:rFonts w:ascii="Aptos" w:hAnsi="Aptos" w:eastAsia="Aptos"/>
          <w:b w:val="0"/>
          <w:i w:val="0"/>
          <w:color w:val="0A1628"/>
          <w:sz w:val="20"/>
        </w:rPr>
        <w:t xml:space="preserve">, or </w:t>
      </w:r>
      <w:r>
        <w:rPr>
          <w:rFonts w:ascii="Consolas" w:hAnsi="Consolas" w:eastAsia="Consolas"/>
          <w:b w:val="0"/>
          <w:i w:val="0"/>
          <w:color w:val="0A1628"/>
          <w:sz w:val="17"/>
          <w:shd w:fill="EEF2F6"/>
        </w:rPr>
        <w:t>be_final_sync_certify_v50</w:t>
      </w:r>
      <w:r>
        <w:rPr>
          <w:rFonts w:ascii="Aptos" w:hAnsi="Aptos" w:eastAsia="Aptos"/>
          <w:b w:val="0"/>
          <w:i w:val="0"/>
          <w:color w:val="0A1628"/>
          <w:sz w:val="20"/>
        </w:rPr>
        <w:t>.</w:t>
      </w:r>
    </w:p>
    <w:p>
      <w:pPr>
        <w:pStyle w:val="Heading3"/>
        <w:keepNext/>
      </w:pPr>
      <w:r>
        <w:rPr>
          <w:rFonts w:ascii="Aptos" w:hAnsi="Aptos" w:eastAsia="Aptos"/>
          <w:b w:val="0"/>
          <w:i w:val="0"/>
          <w:color w:val="0A1628"/>
          <w:sz w:val="20"/>
        </w:rPr>
        <w:t>11.2 Data Entry</w:t>
      </w:r>
    </w:p>
    <w:p>
      <w:r>
        <w:rPr>
          <w:rFonts w:ascii="Consolas" w:hAnsi="Consolas" w:eastAsia="Consolas"/>
          <w:b w:val="0"/>
          <w:i w:val="0"/>
          <w:color w:val="0A1628"/>
          <w:sz w:val="17"/>
          <w:shd w:fill="EEF2F6"/>
        </w:rPr>
        <w:t>DataEntryPage.tsx</w:t>
      </w:r>
      <w:r>
        <w:rPr>
          <w:rFonts w:ascii="Aptos" w:hAnsi="Aptos" w:eastAsia="Aptos"/>
          <w:b w:val="0"/>
          <w:i w:val="0"/>
          <w:color w:val="0A1628"/>
          <w:sz w:val="20"/>
        </w:rPr>
        <w:t xml:space="preserve"> still models a legacy parcel row around </w:t>
      </w:r>
      <w:r>
        <w:rPr>
          <w:rFonts w:ascii="Consolas" w:hAnsi="Consolas" w:eastAsia="Consolas"/>
          <w:b w:val="0"/>
          <w:i w:val="0"/>
          <w:color w:val="0A1628"/>
          <w:sz w:val="17"/>
          <w:shd w:fill="EEF2F6"/>
        </w:rPr>
        <w:t>parcel_sequence</w:t>
      </w:r>
      <w:r>
        <w:rPr>
          <w:rFonts w:ascii="Aptos" w:hAnsi="Aptos" w:eastAsia="Aptos"/>
          <w:b w:val="0"/>
          <w:i w:val="0"/>
          <w:color w:val="0A1628"/>
          <w:sz w:val="20"/>
        </w:rPr>
        <w:t xml:space="preserve">, editable </w:t>
      </w:r>
      <w:r>
        <w:rPr>
          <w:rFonts w:ascii="Consolas" w:hAnsi="Consolas" w:eastAsia="Consolas"/>
          <w:b w:val="0"/>
          <w:i w:val="0"/>
          <w:color w:val="0A1628"/>
          <w:sz w:val="17"/>
          <w:shd w:fill="EEF2F6"/>
        </w:rPr>
        <w:t>way_id</w:t>
      </w:r>
      <w:r>
        <w:rPr>
          <w:rFonts w:ascii="Aptos" w:hAnsi="Aptos" w:eastAsia="Aptos"/>
          <w:b w:val="0"/>
          <w:i w:val="0"/>
          <w:color w:val="0A1628"/>
          <w:sz w:val="20"/>
        </w:rPr>
        <w:t xml:space="preserve">, and a small set of operational fields. It performs local tariff calculations with hardcoded regional rates and sends legacy save RPC parameters. The page also directly upserts compatibility rows using </w:t>
      </w:r>
      <w:r>
        <w:rPr>
          <w:rFonts w:ascii="Consolas" w:hAnsi="Consolas" w:eastAsia="Consolas"/>
          <w:b w:val="0"/>
          <w:i w:val="0"/>
          <w:color w:val="0A1628"/>
          <w:sz w:val="17"/>
          <w:shd w:fill="EEF2F6"/>
        </w:rPr>
        <w:t>pickup_id, parcel_sequence</w:t>
      </w:r>
      <w:r>
        <w:rPr>
          <w:rFonts w:ascii="Aptos" w:hAnsi="Aptos" w:eastAsia="Aptos"/>
          <w:b w:val="0"/>
          <w:i w:val="0"/>
          <w:color w:val="0A1628"/>
          <w:sz w:val="20"/>
        </w:rPr>
        <w:t xml:space="preserve"> in one fallback path.</w:t>
      </w:r>
    </w:p>
    <w:p>
      <w:r>
        <w:rPr>
          <w:rFonts w:ascii="Aptos" w:hAnsi="Aptos" w:eastAsia="Aptos"/>
          <w:b w:val="0"/>
          <w:i w:val="0"/>
          <w:color w:val="0A1628"/>
          <w:sz w:val="20"/>
        </w:rPr>
        <w:t>The available updated workbook in the workspace exposes 47 columns, while the issue note states that the authoritative Financial V2 workbook contains 50 columns. The production implementation must use the authoritative workbook/schema version as the contract and must not rely on a hardcoded frontend column count.</w:t>
      </w:r>
    </w:p>
    <w:p>
      <w:pPr>
        <w:pStyle w:val="Heading3"/>
        <w:keepNext/>
      </w:pPr>
      <w:r>
        <w:rPr>
          <w:rFonts w:ascii="Aptos" w:hAnsi="Aptos" w:eastAsia="Aptos"/>
          <w:b w:val="0"/>
          <w:i w:val="0"/>
          <w:color w:val="0A1628"/>
          <w:sz w:val="20"/>
        </w:rPr>
        <w:t>11.3 Business Development</w:t>
      </w:r>
    </w:p>
    <w:p>
      <w:r>
        <w:rPr>
          <w:rFonts w:ascii="Aptos" w:hAnsi="Aptos" w:eastAsia="Aptos"/>
          <w:b w:val="0"/>
          <w:i w:val="0"/>
          <w:color w:val="0A1628"/>
          <w:sz w:val="20"/>
        </w:rPr>
        <w:t xml:space="preserve">The active </w:t>
      </w:r>
      <w:r>
        <w:rPr>
          <w:rFonts w:ascii="Consolas" w:hAnsi="Consolas" w:eastAsia="Consolas"/>
          <w:b w:val="0"/>
          <w:i w:val="0"/>
          <w:color w:val="0A1628"/>
          <w:sz w:val="17"/>
          <w:shd w:fill="EEF2F6"/>
        </w:rPr>
        <w:t>/biz-dev</w:t>
      </w:r>
      <w:r>
        <w:rPr>
          <w:rFonts w:ascii="Aptos" w:hAnsi="Aptos" w:eastAsia="Aptos"/>
          <w:b w:val="0"/>
          <w:i w:val="0"/>
          <w:color w:val="0A1628"/>
          <w:sz w:val="20"/>
        </w:rPr>
        <w:t xml:space="preserve"> route loads </w:t>
      </w:r>
      <w:r>
        <w:rPr>
          <w:rFonts w:ascii="Consolas" w:hAnsi="Consolas" w:eastAsia="Consolas"/>
          <w:b w:val="0"/>
          <w:i w:val="0"/>
          <w:color w:val="0A1628"/>
          <w:sz w:val="17"/>
          <w:shd w:fill="EEF2F6"/>
        </w:rPr>
        <w:t>BizDevPage.tsx</w:t>
      </w:r>
      <w:r>
        <w:rPr>
          <w:rFonts w:ascii="Aptos" w:hAnsi="Aptos" w:eastAsia="Aptos"/>
          <w:b w:val="0"/>
          <w:i w:val="0"/>
          <w:color w:val="0A1628"/>
          <w:sz w:val="20"/>
        </w:rPr>
        <w:t>, which contains zero-valued KPI cards and an empty prospect register. Other Business Development pages call three different RPC names and are not the active route. These must be consolidated.</w:t>
      </w:r>
    </w:p>
    <w:p>
      <w:pPr>
        <w:pStyle w:val="Heading3"/>
        <w:keepNext/>
      </w:pPr>
      <w:r>
        <w:rPr>
          <w:rFonts w:ascii="Aptos" w:hAnsi="Aptos" w:eastAsia="Aptos"/>
          <w:b w:val="0"/>
          <w:i w:val="0"/>
          <w:color w:val="0A1628"/>
          <w:sz w:val="20"/>
        </w:rPr>
        <w:t>11.4 Marketing</w:t>
      </w:r>
    </w:p>
    <w:p>
      <w:r>
        <w:rPr>
          <w:rFonts w:ascii="Consolas" w:hAnsi="Consolas" w:eastAsia="Consolas"/>
          <w:b w:val="0"/>
          <w:i w:val="0"/>
          <w:color w:val="0A1628"/>
          <w:sz w:val="17"/>
          <w:shd w:fill="EEF2F6"/>
        </w:rPr>
        <w:t>MarketingPage.tsx</w:t>
      </w:r>
      <w:r>
        <w:rPr>
          <w:rFonts w:ascii="Aptos" w:hAnsi="Aptos" w:eastAsia="Aptos"/>
          <w:b w:val="0"/>
          <w:i w:val="0"/>
          <w:color w:val="0A1628"/>
          <w:sz w:val="20"/>
        </w:rPr>
        <w:t xml:space="preserve"> reads a generic enterprise control-tower snapshot rather than a marketing-specific contract. </w:t>
      </w:r>
      <w:r>
        <w:rPr>
          <w:rFonts w:ascii="Consolas" w:hAnsi="Consolas" w:eastAsia="Consolas"/>
          <w:b w:val="0"/>
          <w:i w:val="0"/>
          <w:color w:val="0A1628"/>
          <w:sz w:val="17"/>
          <w:shd w:fill="EEF2F6"/>
        </w:rPr>
        <w:t>MarketingPortalPage.tsx</w:t>
      </w:r>
      <w:r>
        <w:rPr>
          <w:rFonts w:ascii="Aptos" w:hAnsi="Aptos" w:eastAsia="Aptos"/>
          <w:b w:val="0"/>
          <w:i w:val="0"/>
          <w:color w:val="0A1628"/>
          <w:sz w:val="20"/>
        </w:rPr>
        <w:t xml:space="preserve"> contains hardcoded leads, KPI values, and daily-focus text.</w:t>
      </w:r>
    </w:p>
    <w:p>
      <w:pPr>
        <w:pStyle w:val="Heading3"/>
        <w:keepNext/>
      </w:pPr>
      <w:r>
        <w:rPr>
          <w:rFonts w:ascii="Aptos" w:hAnsi="Aptos" w:eastAsia="Aptos"/>
          <w:b w:val="0"/>
          <w:i w:val="0"/>
          <w:color w:val="0A1628"/>
          <w:sz w:val="20"/>
        </w:rPr>
        <w:t>11.5 Mobile</w:t>
      </w:r>
    </w:p>
    <w:p>
      <w:r>
        <w:rPr>
          <w:rFonts w:ascii="Aptos" w:hAnsi="Aptos" w:eastAsia="Aptos"/>
          <w:b w:val="0"/>
          <w:i w:val="0"/>
          <w:color w:val="0A1628"/>
          <w:sz w:val="20"/>
        </w:rPr>
        <w:t xml:space="preserve">The sidebar labels </w:t>
      </w:r>
      <w:r>
        <w:rPr>
          <w:rFonts w:ascii="Consolas" w:hAnsi="Consolas" w:eastAsia="Consolas"/>
          <w:b w:val="0"/>
          <w:i w:val="0"/>
          <w:color w:val="0A1628"/>
          <w:sz w:val="17"/>
          <w:shd w:fill="EEF2F6"/>
        </w:rPr>
        <w:t>/rider-app</w:t>
      </w:r>
      <w:r>
        <w:rPr>
          <w:rFonts w:ascii="Aptos" w:hAnsi="Aptos" w:eastAsia="Aptos"/>
          <w:b w:val="0"/>
          <w:i w:val="0"/>
          <w:color w:val="0A1628"/>
          <w:sz w:val="20"/>
        </w:rPr>
        <w:t xml:space="preserve"> as "Mobile Sandbox", but the route is a real rider operational application with identity resolution, GPS, offline queueing, delivery result RPCs, support requests, and proof capture. An internal support console must be separated from the field rider application.</w:t>
      </w:r>
    </w:p>
    <w:p>
      <w:pPr>
        <w:pStyle w:val="Heading3"/>
        <w:keepNext/>
      </w:pPr>
      <w:r>
        <w:rPr>
          <w:rFonts w:ascii="Aptos" w:hAnsi="Aptos" w:eastAsia="Aptos"/>
          <w:b w:val="0"/>
          <w:i w:val="0"/>
          <w:color w:val="0A1628"/>
          <w:sz w:val="20"/>
        </w:rPr>
        <w:t>11.6 Admin/HR</w:t>
      </w:r>
    </w:p>
    <w:p>
      <w:r>
        <w:rPr>
          <w:rFonts w:ascii="Consolas" w:hAnsi="Consolas" w:eastAsia="Consolas"/>
          <w:b w:val="0"/>
          <w:i w:val="0"/>
          <w:color w:val="0A1628"/>
          <w:sz w:val="17"/>
          <w:shd w:fill="EEF2F6"/>
        </w:rPr>
        <w:t>AdminHRPage.tsx</w:t>
      </w:r>
      <w:r>
        <w:rPr>
          <w:rFonts w:ascii="Aptos" w:hAnsi="Aptos" w:eastAsia="Aptos"/>
          <w:b w:val="0"/>
          <w:i w:val="0"/>
          <w:color w:val="0A1628"/>
          <w:sz w:val="20"/>
        </w:rPr>
        <w:t xml:space="preserve"> loads snapshots only. Its Add Employee and Manage controls are not connected to secured mutations. It falls back to hardcoded employee records when loading fails.</w:t>
      </w:r>
    </w:p>
    <w:p>
      <w:pPr>
        <w:pStyle w:val="Heading3"/>
        <w:keepNext/>
      </w:pPr>
      <w:r>
        <w:rPr>
          <w:rFonts w:ascii="Aptos" w:hAnsi="Aptos" w:eastAsia="Aptos"/>
          <w:b w:val="0"/>
          <w:i w:val="0"/>
          <w:color w:val="0A1628"/>
          <w:sz w:val="20"/>
        </w:rPr>
        <w:t>11.7 Accounts</w:t>
      </w:r>
    </w:p>
    <w:p>
      <w:r>
        <w:rPr>
          <w:rFonts w:ascii="Consolas" w:hAnsi="Consolas" w:eastAsia="Consolas"/>
          <w:b w:val="0"/>
          <w:i w:val="0"/>
          <w:color w:val="0A1628"/>
          <w:sz w:val="17"/>
          <w:shd w:fill="EEF2F6"/>
        </w:rPr>
        <w:t>AccountsPage.tsx</w:t>
      </w:r>
      <w:r>
        <w:rPr>
          <w:rFonts w:ascii="Aptos" w:hAnsi="Aptos" w:eastAsia="Aptos"/>
          <w:b w:val="0"/>
          <w:i w:val="0"/>
          <w:color w:val="0A1628"/>
          <w:sz w:val="20"/>
        </w:rPr>
        <w:t xml:space="preserve"> is presentation-only. Create Account, Reset/Block, and Roles &amp; Permissions controls have no data source or mutation workflow.</w:t>
      </w:r>
    </w:p>
    <w:p>
      <w:pPr>
        <w:pStyle w:val="Heading3"/>
        <w:keepNext/>
      </w:pPr>
      <w:r>
        <w:rPr>
          <w:rFonts w:ascii="Aptos" w:hAnsi="Aptos" w:eastAsia="Aptos"/>
          <w:b w:val="0"/>
          <w:i w:val="0"/>
          <w:color w:val="0A1628"/>
          <w:sz w:val="20"/>
        </w:rPr>
        <w:t>11.8 Production environment</w:t>
      </w:r>
    </w:p>
    <w:p>
      <w:r>
        <w:rPr>
          <w:rFonts w:ascii="Consolas" w:hAnsi="Consolas" w:eastAsia="Consolas"/>
          <w:b w:val="0"/>
          <w:i w:val="0"/>
          <w:color w:val="0A1628"/>
          <w:sz w:val="17"/>
          <w:shd w:fill="EEF2F6"/>
        </w:rPr>
        <w:t>App.tsx</w:t>
      </w:r>
      <w:r>
        <w:rPr>
          <w:rFonts w:ascii="Aptos" w:hAnsi="Aptos" w:eastAsia="Aptos"/>
          <w:b w:val="0"/>
          <w:i w:val="0"/>
          <w:color w:val="0A1628"/>
          <w:sz w:val="20"/>
        </w:rPr>
        <w:t xml:space="preserve"> still imports and routes UAT-named pages and mounts an </w:t>
      </w:r>
      <w:r>
        <w:rPr>
          <w:rFonts w:ascii="Consolas" w:hAnsi="Consolas" w:eastAsia="Consolas"/>
          <w:b w:val="0"/>
          <w:i w:val="0"/>
          <w:color w:val="0A1628"/>
          <w:sz w:val="17"/>
          <w:shd w:fill="EEF2F6"/>
        </w:rPr>
        <w:t>EnvironmentBadge</w:t>
      </w:r>
      <w:r>
        <w:rPr>
          <w:rFonts w:ascii="Aptos" w:hAnsi="Aptos" w:eastAsia="Aptos"/>
          <w:b w:val="0"/>
          <w:i w:val="0"/>
          <w:color w:val="0A1628"/>
          <w:sz w:val="20"/>
        </w:rPr>
        <w:t xml:space="preserve">. The implementation of </w:t>
      </w:r>
      <w:r>
        <w:rPr>
          <w:rFonts w:ascii="Consolas" w:hAnsi="Consolas" w:eastAsia="Consolas"/>
          <w:b w:val="0"/>
          <w:i w:val="0"/>
          <w:color w:val="0A1628"/>
          <w:sz w:val="17"/>
          <w:shd w:fill="EEF2F6"/>
        </w:rPr>
        <w:t>EnvironmentBadge</w:t>
      </w:r>
      <w:r>
        <w:rPr>
          <w:rFonts w:ascii="Aptos" w:hAnsi="Aptos" w:eastAsia="Aptos"/>
          <w:b w:val="0"/>
          <w:i w:val="0"/>
          <w:color w:val="0A1628"/>
          <w:sz w:val="20"/>
        </w:rPr>
        <w:t xml:space="preserve"> and the UAT pages is not included in the supplied archive, so their exact source patches require those files or repository access.</w:t>
      </w:r>
    </w:p>
    <w:p>
      <w:pPr>
        <w:pStyle w:val="Heading3"/>
        <w:keepNext/>
      </w:pPr>
      <w:r>
        <w:rPr>
          <w:rFonts w:ascii="Aptos" w:hAnsi="Aptos" w:eastAsia="Aptos"/>
          <w:b w:val="0"/>
          <w:i w:val="0"/>
          <w:color w:val="0A1628"/>
          <w:sz w:val="20"/>
        </w:rPr>
        <w:t>11.9 Outsourced delivery and branch handling</w:t>
      </w:r>
    </w:p>
    <w:p>
      <w:r>
        <w:rPr>
          <w:rFonts w:ascii="Aptos" w:hAnsi="Aptos" w:eastAsia="Aptos"/>
          <w:b w:val="0"/>
          <w:i w:val="0"/>
          <w:color w:val="0A1628"/>
          <w:sz w:val="20"/>
        </w:rPr>
        <w:t>Britium uses branches and allied delivery services for destinations that are not served directly. The current business configuration identifies Royal Express, DK Delivery, Arlu Post, Ninja Van, and Safe Delivery Services as external providers; Mandalay is currently handled mainly through DK Delivery and Nay Pyi Taw is branch-managed. The existing production specification does not yet define provider routing, chain of custody, partner tracking, COD remittance, partner settlement, or branch reconciliation.</w:t>
      </w:r>
    </w:p>
    <w:p>
      <w:pPr>
        <w:pStyle w:val="Heading2"/>
        <w:keepNext/>
      </w:pPr>
      <w:r>
        <w:rPr>
          <w:rFonts w:ascii="Aptos" w:hAnsi="Aptos" w:eastAsia="Aptos"/>
          <w:b w:val="0"/>
          <w:i w:val="0"/>
          <w:color w:val="0A1628"/>
          <w:sz w:val="20"/>
        </w:rPr>
        <w:t>12. Cross-Cutting Engineering Requirements</w:t>
      </w:r>
    </w:p>
    <w:p>
      <w:pPr>
        <w:pStyle w:val="Heading3"/>
        <w:keepNext/>
      </w:pPr>
      <w:r>
        <w:rPr>
          <w:rFonts w:ascii="Aptos" w:hAnsi="Aptos" w:eastAsia="Aptos"/>
          <w:b w:val="0"/>
          <w:i w:val="0"/>
          <w:color w:val="0A1628"/>
          <w:sz w:val="20"/>
        </w:rPr>
        <w:t>12.1 Backend authority</w:t>
      </w:r>
    </w:p>
    <w:p>
      <w:r>
        <w:rPr>
          <w:rFonts w:ascii="Aptos" w:hAnsi="Aptos" w:eastAsia="Aptos"/>
          <w:b w:val="0"/>
          <w:i w:val="0"/>
          <w:color w:val="0A1628"/>
          <w:sz w:val="20"/>
        </w:rPr>
        <w:t>All identity, tariff, collection, settlement, authorization, account, and workflow-state decisions must be made by the backend. Frontend calculations may be displayed as previews but must never be persisted as trusted final values.</w:t>
      </w:r>
    </w:p>
    <w:p>
      <w:pPr>
        <w:pStyle w:val="Heading3"/>
        <w:keepNext/>
      </w:pPr>
      <w:r>
        <w:rPr>
          <w:rFonts w:ascii="Aptos" w:hAnsi="Aptos" w:eastAsia="Aptos"/>
          <w:b w:val="0"/>
          <w:i w:val="0"/>
          <w:color w:val="0A1628"/>
          <w:sz w:val="20"/>
        </w:rPr>
        <w:t>12.2 RPC response envelope</w:t>
      </w:r>
    </w:p>
    <w:p>
      <w:r>
        <w:rPr>
          <w:rFonts w:ascii="Aptos" w:hAnsi="Aptos" w:eastAsia="Aptos"/>
          <w:b w:val="0"/>
          <w:i w:val="0"/>
          <w:color w:val="0A1628"/>
          <w:sz w:val="20"/>
        </w:rPr>
        <w:t>New RPCs should return a consistent JSON envelope: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interface RpcEnvelope&lt;T&gt; {</w:t>
              <w:br/>
              <w:t xml:space="preserve">  ok: boolean;</w:t>
              <w:br/>
              <w:t xml:space="preserve">  build: string;</w:t>
              <w:br/>
              <w:t xml:space="preserve">  generated_at: string;</w:t>
              <w:br/>
              <w:t xml:space="preserve">  data?: T;</w:t>
              <w:br/>
              <w:t xml:space="preserve">  warnings?: Array&lt;{ code: string; message: string; field?: string }&gt;;</w:t>
              <w:br/>
              <w:t xml:space="preserve">  errors?: Array&lt;{ code: string; message: string; field?: string }&gt;;</w:t>
              <w:br/>
              <w:t>}</w:t>
            </w:r>
          </w:p>
        </w:tc>
      </w:tr>
    </w:tbl>
    <w:p>
      <w:pPr>
        <w:spacing w:after="0"/>
      </w:pPr>
    </w:p>
    <w:p>
      <w:pPr>
        <w:pStyle w:val="Heading3"/>
        <w:keepNext/>
      </w:pPr>
      <w:r>
        <w:rPr>
          <w:rFonts w:ascii="Aptos" w:hAnsi="Aptos" w:eastAsia="Aptos"/>
          <w:b w:val="0"/>
          <w:i w:val="0"/>
          <w:color w:val="0A1628"/>
          <w:sz w:val="20"/>
        </w:rPr>
        <w:t>12.3 Security-definer rules</w:t>
      </w:r>
    </w:p>
    <w:p>
      <w:r>
        <w:rPr>
          <w:rFonts w:ascii="Aptos" w:hAnsi="Aptos" w:eastAsia="Aptos"/>
          <w:b w:val="0"/>
          <w:i w:val="0"/>
          <w:color w:val="0A1628"/>
          <w:sz w:val="20"/>
        </w:rPr>
        <w:t>Every mutation RPC must:</w:t>
      </w:r>
    </w:p>
    <w:p>
      <w:pPr>
        <w:pStyle w:val="ListBullet"/>
        <w:ind w:left="0"/>
      </w:pPr>
      <w:r>
        <w:rPr>
          <w:rFonts w:ascii="Aptos" w:hAnsi="Aptos" w:eastAsia="Aptos"/>
          <w:b w:val="0"/>
          <w:i w:val="0"/>
          <w:color w:val="0A1628"/>
          <w:sz w:val="20"/>
        </w:rPr>
        <w:t xml:space="preserve">Use </w:t>
      </w:r>
      <w:r>
        <w:rPr>
          <w:rFonts w:ascii="Consolas" w:hAnsi="Consolas" w:eastAsia="Consolas"/>
          <w:b w:val="0"/>
          <w:i w:val="0"/>
          <w:color w:val="0A1628"/>
          <w:sz w:val="17"/>
          <w:shd w:fill="EEF2F6"/>
        </w:rPr>
        <w:t>security definer</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Use </w:t>
      </w:r>
      <w:r>
        <w:rPr>
          <w:rFonts w:ascii="Consolas" w:hAnsi="Consolas" w:eastAsia="Consolas"/>
          <w:b w:val="0"/>
          <w:i w:val="0"/>
          <w:color w:val="0A1628"/>
          <w:sz w:val="17"/>
          <w:shd w:fill="EEF2F6"/>
        </w:rPr>
        <w:t>set search_path = public</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Resolve the actor from </w:t>
      </w:r>
      <w:r>
        <w:rPr>
          <w:rFonts w:ascii="Consolas" w:hAnsi="Consolas" w:eastAsia="Consolas"/>
          <w:b w:val="0"/>
          <w:i w:val="0"/>
          <w:color w:val="0A1628"/>
          <w:sz w:val="17"/>
          <w:shd w:fill="EEF2F6"/>
        </w:rPr>
        <w:t>auth.uid()</w:t>
      </w:r>
      <w:r>
        <w:rPr>
          <w:rFonts w:ascii="Aptos" w:hAnsi="Aptos" w:eastAsia="Aptos"/>
          <w:b w:val="0"/>
          <w:i w:val="0"/>
          <w:color w:val="0A1628"/>
          <w:sz w:val="20"/>
        </w:rPr>
        <w:t xml:space="preserve"> and the authenticated profile.</w:t>
      </w:r>
    </w:p>
    <w:p>
      <w:pPr>
        <w:pStyle w:val="ListBullet"/>
        <w:ind w:left="0"/>
      </w:pPr>
      <w:r>
        <w:rPr>
          <w:rFonts w:ascii="Aptos" w:hAnsi="Aptos" w:eastAsia="Aptos"/>
          <w:b w:val="0"/>
          <w:i w:val="0"/>
          <w:color w:val="0A1628"/>
          <w:sz w:val="20"/>
        </w:rPr>
        <w:t>Perform explicit role and module-permission checks.</w:t>
      </w:r>
    </w:p>
    <w:p>
      <w:pPr>
        <w:pStyle w:val="ListBullet"/>
        <w:ind w:left="0"/>
      </w:pPr>
      <w:r>
        <w:rPr>
          <w:rFonts w:ascii="Aptos" w:hAnsi="Aptos" w:eastAsia="Aptos"/>
          <w:b w:val="0"/>
          <w:i w:val="0"/>
          <w:color w:val="0A1628"/>
          <w:sz w:val="20"/>
        </w:rPr>
        <w:t>Reject disabled, expired, unapproved, or branch-restricted accounts.</w:t>
      </w:r>
    </w:p>
    <w:p>
      <w:pPr>
        <w:pStyle w:val="ListBullet"/>
        <w:ind w:left="0"/>
      </w:pPr>
      <w:r>
        <w:rPr>
          <w:rFonts w:ascii="Aptos" w:hAnsi="Aptos" w:eastAsia="Aptos"/>
          <w:b w:val="0"/>
          <w:i w:val="0"/>
          <w:color w:val="0A1628"/>
          <w:sz w:val="20"/>
        </w:rPr>
        <w:t>Write an audit event in the same transaction.</w:t>
      </w:r>
    </w:p>
    <w:p>
      <w:pPr>
        <w:pStyle w:val="ListBullet"/>
        <w:ind w:left="0"/>
      </w:pPr>
      <w:r>
        <w:rPr>
          <w:rFonts w:ascii="Aptos" w:hAnsi="Aptos" w:eastAsia="Aptos"/>
          <w:b w:val="0"/>
          <w:i w:val="0"/>
          <w:color w:val="0A1628"/>
          <w:sz w:val="20"/>
        </w:rPr>
        <w:t>Never trust an actor email or role supplied by the client.</w:t>
      </w:r>
    </w:p>
    <w:p>
      <w:pPr>
        <w:pStyle w:val="Heading3"/>
        <w:keepNext/>
      </w:pPr>
      <w:r>
        <w:rPr>
          <w:rFonts w:ascii="Aptos" w:hAnsi="Aptos" w:eastAsia="Aptos"/>
          <w:b w:val="0"/>
          <w:i w:val="0"/>
          <w:color w:val="0A1628"/>
          <w:sz w:val="20"/>
        </w:rPr>
        <w:t>12.4 Audit events</w:t>
      </w:r>
    </w:p>
    <w:p>
      <w:r>
        <w:rPr>
          <w:rFonts w:ascii="Aptos" w:hAnsi="Aptos" w:eastAsia="Aptos"/>
          <w:b w:val="0"/>
          <w:i w:val="0"/>
          <w:color w:val="0A1628"/>
          <w:sz w:val="20"/>
        </w:rPr>
        <w:t>Create or standardize an audit table: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create table if not exists public.be_audit_events (</w:t>
              <w:br/>
              <w:t xml:space="preserve">  id uuid primary key default gen_random_uuid(),</w:t>
              <w:br/>
              <w:t xml:space="preserve">  module_code text not null,</w:t>
              <w:br/>
              <w:t xml:space="preserve">  action_code text not null,</w:t>
              <w:br/>
              <w:t xml:space="preserve">  entity_type text not null,</w:t>
              <w:br/>
              <w:t xml:space="preserve">  entity_id text not null,</w:t>
              <w:br/>
              <w:t xml:space="preserve">  actor_user_id uuid,</w:t>
              <w:br/>
              <w:t xml:space="preserve">  actor_employee_id text,</w:t>
              <w:br/>
              <w:t xml:space="preserve">  branch_code text,</w:t>
              <w:br/>
              <w:t xml:space="preserve">  before_value jsonb,</w:t>
              <w:br/>
              <w:t xml:space="preserve">  after_value jsonb,</w:t>
              <w:br/>
              <w:t xml:space="preserve">  reason text,</w:t>
              <w:br/>
              <w:t xml:space="preserve">  request_id text,</w:t>
              <w:br/>
              <w:t xml:space="preserve">  created_at timestamptz not null default now()</w:t>
              <w:br/>
              <w:t>);</w:t>
            </w:r>
          </w:p>
        </w:tc>
      </w:tr>
    </w:tbl>
    <w:p>
      <w:pPr>
        <w:spacing w:after="0"/>
      </w:pPr>
    </w:p>
    <w:p>
      <w:pPr>
        <w:pStyle w:val="Heading3"/>
        <w:keepNext/>
      </w:pPr>
      <w:r>
        <w:rPr>
          <w:rFonts w:ascii="Aptos" w:hAnsi="Aptos" w:eastAsia="Aptos"/>
          <w:b w:val="0"/>
          <w:i w:val="0"/>
          <w:color w:val="0A1628"/>
          <w:sz w:val="20"/>
        </w:rPr>
        <w:t>12.5 Idempotency</w:t>
      </w:r>
    </w:p>
    <w:p>
      <w:r>
        <w:rPr>
          <w:rFonts w:ascii="Aptos" w:hAnsi="Aptos" w:eastAsia="Aptos"/>
          <w:b w:val="0"/>
          <w:i w:val="0"/>
          <w:color w:val="0A1628"/>
          <w:sz w:val="20"/>
        </w:rPr>
        <w:t>Create, save, approve, certify, payment, resync, and account-admin actions must accept or derive an idempotency key. Duplicate requests must return the original result rather than create duplicate records.</w:t>
      </w:r>
    </w:p>
    <w:p>
      <w:pPr>
        <w:pStyle w:val="Heading3"/>
        <w:keepNext/>
      </w:pPr>
      <w:r>
        <w:rPr>
          <w:rFonts w:ascii="Aptos" w:hAnsi="Aptos" w:eastAsia="Aptos"/>
          <w:b w:val="0"/>
          <w:i w:val="0"/>
          <w:color w:val="0A1628"/>
          <w:sz w:val="20"/>
        </w:rPr>
        <w:t>12.6 No demonstration data</w:t>
      </w:r>
    </w:p>
    <w:p>
      <w:r>
        <w:rPr>
          <w:rFonts w:ascii="Aptos" w:hAnsi="Aptos" w:eastAsia="Aptos"/>
          <w:b w:val="0"/>
          <w:i w:val="0"/>
          <w:color w:val="0A1628"/>
          <w:sz w:val="20"/>
        </w:rPr>
        <w:t>Production pages must not render hardcoded employees, leads, KPIs, jobs, payments, parcels, or operational events. Empty states must be explicit and must identify the actual failed or empty data source.</w:t>
      </w:r>
    </w:p>
    <w:p>
      <w:pPr>
        <w:pStyle w:val="Heading2"/>
        <w:keepNext/>
      </w:pPr>
      <w:r>
        <w:rPr>
          <w:rFonts w:ascii="Aptos" w:hAnsi="Aptos" w:eastAsia="Aptos"/>
          <w:b w:val="0"/>
          <w:i w:val="0"/>
          <w:color w:val="0A1628"/>
          <w:sz w:val="20"/>
        </w:rPr>
        <w:t>13. Canonical Way, Pickup, and Merchant Lineage</w:t>
      </w:r>
    </w:p>
    <w:p>
      <w:pPr>
        <w:pStyle w:val="Heading3"/>
        <w:keepNext/>
      </w:pPr>
      <w:r>
        <w:rPr>
          <w:rFonts w:ascii="Aptos" w:hAnsi="Aptos" w:eastAsia="Aptos"/>
          <w:b w:val="0"/>
          <w:i w:val="0"/>
          <w:color w:val="0A1628"/>
          <w:sz w:val="20"/>
        </w:rPr>
        <w:t>13.1 Canonical identity source</w:t>
      </w:r>
    </w:p>
    <w:p>
      <w:r>
        <w:rPr>
          <w:rFonts w:ascii="Aptos" w:hAnsi="Aptos" w:eastAsia="Aptos"/>
          <w:b w:val="0"/>
          <w:i w:val="0"/>
          <w:color w:val="0A1628"/>
          <w:sz w:val="20"/>
        </w:rPr>
        <w:t xml:space="preserve">The canonical source for parcel lineage is the Data Entry row keyed by normalized </w:t>
      </w:r>
      <w:r>
        <w:rPr>
          <w:rFonts w:ascii="Consolas" w:hAnsi="Consolas" w:eastAsia="Consolas"/>
          <w:b w:val="0"/>
          <w:i w:val="0"/>
          <w:color w:val="0A1628"/>
          <w:sz w:val="17"/>
          <w:shd w:fill="EEF2F6"/>
        </w:rPr>
        <w:t>delivery_way_id</w:t>
      </w:r>
      <w:r>
        <w:rPr>
          <w:rFonts w:ascii="Aptos" w:hAnsi="Aptos" w:eastAsia="Aptos"/>
          <w:b w:val="0"/>
          <w:i w:val="0"/>
          <w:color w:val="0A1628"/>
          <w:sz w:val="20"/>
        </w:rPr>
        <w:t>.</w:t>
      </w:r>
    </w:p>
    <w:p>
      <w:r>
        <w:rPr>
          <w:rFonts w:ascii="Aptos" w:hAnsi="Aptos" w:eastAsia="Aptos"/>
          <w:b w:val="0"/>
          <w:i w:val="0"/>
          <w:color w:val="0A1628"/>
          <w:sz w:val="20"/>
        </w:rPr>
        <w:t>Standardize these fields:</w:t>
      </w:r>
    </w:p>
    <w:p>
      <w:pPr>
        <w:pStyle w:val="ListBullet"/>
        <w:ind w:left="0"/>
      </w:pPr>
      <w:r>
        <w:rPr>
          <w:rFonts w:ascii="Consolas" w:hAnsi="Consolas" w:eastAsia="Consolas"/>
          <w:b w:val="0"/>
          <w:i w:val="0"/>
          <w:color w:val="0A1628"/>
          <w:sz w:val="17"/>
          <w:shd w:fill="EEF2F6"/>
        </w:rPr>
        <w:t>delivery_way_id</w:t>
      </w:r>
      <w:r>
        <w:rPr>
          <w:rFonts w:ascii="Aptos" w:hAnsi="Aptos" w:eastAsia="Aptos"/>
          <w:b w:val="0"/>
          <w:i w:val="0"/>
          <w:color w:val="0A1628"/>
          <w:sz w:val="20"/>
        </w:rPr>
        <w:t>: canonical parcel key.</w:t>
      </w:r>
    </w:p>
    <w:p>
      <w:pPr>
        <w:pStyle w:val="ListBullet"/>
        <w:ind w:left="0"/>
      </w:pPr>
      <w:r>
        <w:rPr>
          <w:rFonts w:ascii="Consolas" w:hAnsi="Consolas" w:eastAsia="Consolas"/>
          <w:b w:val="0"/>
          <w:i w:val="0"/>
          <w:color w:val="0A1628"/>
          <w:sz w:val="17"/>
          <w:shd w:fill="EEF2F6"/>
        </w:rPr>
        <w:t>pickup_id</w:t>
      </w:r>
      <w:r>
        <w:rPr>
          <w:rFonts w:ascii="Aptos" w:hAnsi="Aptos" w:eastAsia="Aptos"/>
          <w:b w:val="0"/>
          <w:i w:val="0"/>
          <w:color w:val="0A1628"/>
          <w:sz w:val="20"/>
        </w:rPr>
        <w:t>: canonical parent pickup key.</w:t>
      </w:r>
    </w:p>
    <w:p>
      <w:pPr>
        <w:pStyle w:val="ListBullet"/>
        <w:ind w:left="0"/>
      </w:pPr>
      <w:r>
        <w:rPr>
          <w:rFonts w:ascii="Consolas" w:hAnsi="Consolas" w:eastAsia="Consolas"/>
          <w:b w:val="0"/>
          <w:i w:val="0"/>
          <w:color w:val="0A1628"/>
          <w:sz w:val="17"/>
          <w:shd w:fill="EEF2F6"/>
        </w:rPr>
        <w:t>merchant_code</w:t>
      </w:r>
      <w:r>
        <w:rPr>
          <w:rFonts w:ascii="Aptos" w:hAnsi="Aptos" w:eastAsia="Aptos"/>
          <w:b w:val="0"/>
          <w:i w:val="0"/>
          <w:color w:val="0A1628"/>
          <w:sz w:val="20"/>
        </w:rPr>
        <w:t>: canonical merchant code.</w:t>
      </w:r>
    </w:p>
    <w:p>
      <w:pPr>
        <w:pStyle w:val="ListBullet"/>
        <w:ind w:left="0"/>
      </w:pPr>
      <w:r>
        <w:rPr>
          <w:rFonts w:ascii="Consolas" w:hAnsi="Consolas" w:eastAsia="Consolas"/>
          <w:b w:val="0"/>
          <w:i w:val="0"/>
          <w:color w:val="0A1628"/>
          <w:sz w:val="17"/>
          <w:shd w:fill="EEF2F6"/>
        </w:rPr>
        <w:t>wayplan_id</w:t>
      </w:r>
      <w:r>
        <w:rPr>
          <w:rFonts w:ascii="Aptos" w:hAnsi="Aptos" w:eastAsia="Aptos"/>
          <w:b w:val="0"/>
          <w:i w:val="0"/>
          <w:color w:val="0A1628"/>
          <w:sz w:val="20"/>
        </w:rPr>
        <w:t>: downstream route assignment, not a lineage source.</w:t>
      </w:r>
    </w:p>
    <w:p>
      <w:r>
        <w:rPr>
          <w:rFonts w:ascii="Aptos" w:hAnsi="Aptos" w:eastAsia="Aptos"/>
          <w:b w:val="0"/>
          <w:i w:val="0"/>
          <w:color w:val="0A1628"/>
          <w:sz w:val="20"/>
        </w:rPr>
        <w:t xml:space="preserve">The current schema uses both </w:t>
      </w:r>
      <w:r>
        <w:rPr>
          <w:rFonts w:ascii="Consolas" w:hAnsi="Consolas" w:eastAsia="Consolas"/>
          <w:b w:val="0"/>
          <w:i w:val="0"/>
          <w:color w:val="0A1628"/>
          <w:sz w:val="17"/>
          <w:shd w:fill="EEF2F6"/>
        </w:rPr>
        <w:t>pickup_id</w:t>
      </w:r>
      <w:r>
        <w:rPr>
          <w:rFonts w:ascii="Aptos" w:hAnsi="Aptos" w:eastAsia="Aptos"/>
          <w:b w:val="0"/>
          <w:i w:val="0"/>
          <w:color w:val="0A1628"/>
          <w:sz w:val="20"/>
        </w:rPr>
        <w:t xml:space="preserve"> and </w:t>
      </w:r>
      <w:r>
        <w:rPr>
          <w:rFonts w:ascii="Consolas" w:hAnsi="Consolas" w:eastAsia="Consolas"/>
          <w:b w:val="0"/>
          <w:i w:val="0"/>
          <w:color w:val="0A1628"/>
          <w:sz w:val="17"/>
          <w:shd w:fill="EEF2F6"/>
        </w:rPr>
        <w:t>pickup_way_id</w:t>
      </w:r>
      <w:r>
        <w:rPr>
          <w:rFonts w:ascii="Aptos" w:hAnsi="Aptos" w:eastAsia="Aptos"/>
          <w:b w:val="0"/>
          <w:i w:val="0"/>
          <w:color w:val="0A1628"/>
          <w:sz w:val="20"/>
        </w:rPr>
        <w:t xml:space="preserve"> terminology. Migration must add or standardize </w:t>
      </w:r>
      <w:r>
        <w:rPr>
          <w:rFonts w:ascii="Consolas" w:hAnsi="Consolas" w:eastAsia="Consolas"/>
          <w:b w:val="0"/>
          <w:i w:val="0"/>
          <w:color w:val="0A1628"/>
          <w:sz w:val="17"/>
          <w:shd w:fill="EEF2F6"/>
        </w:rPr>
        <w:t>pickup_id</w:t>
      </w:r>
      <w:r>
        <w:rPr>
          <w:rFonts w:ascii="Aptos" w:hAnsi="Aptos" w:eastAsia="Aptos"/>
          <w:b w:val="0"/>
          <w:i w:val="0"/>
          <w:color w:val="0A1628"/>
          <w:sz w:val="20"/>
        </w:rPr>
        <w:t xml:space="preserve">; </w:t>
      </w:r>
      <w:r>
        <w:rPr>
          <w:rFonts w:ascii="Consolas" w:hAnsi="Consolas" w:eastAsia="Consolas"/>
          <w:b w:val="0"/>
          <w:i w:val="0"/>
          <w:color w:val="0A1628"/>
          <w:sz w:val="17"/>
          <w:shd w:fill="EEF2F6"/>
        </w:rPr>
        <w:t>pickup_way_id</w:t>
      </w:r>
      <w:r>
        <w:rPr>
          <w:rFonts w:ascii="Aptos" w:hAnsi="Aptos" w:eastAsia="Aptos"/>
          <w:b w:val="0"/>
          <w:i w:val="0"/>
          <w:color w:val="0A1628"/>
          <w:sz w:val="20"/>
        </w:rPr>
        <w:t xml:space="preserve"> may remain as a compatibility alias during the transition.</w:t>
      </w:r>
    </w:p>
    <w:p>
      <w:pPr>
        <w:pStyle w:val="Heading3"/>
        <w:keepNext/>
      </w:pPr>
      <w:r>
        <w:rPr>
          <w:rFonts w:ascii="Aptos" w:hAnsi="Aptos" w:eastAsia="Aptos"/>
          <w:b w:val="0"/>
          <w:i w:val="0"/>
          <w:color w:val="0A1628"/>
          <w:sz w:val="20"/>
        </w:rPr>
        <w:t>13.2 Shared operational-ID parser</w:t>
      </w:r>
    </w:p>
    <w:p>
      <w:r>
        <w:rPr>
          <w:rFonts w:ascii="Aptos" w:hAnsi="Aptos" w:eastAsia="Aptos"/>
          <w:b w:val="0"/>
          <w:i w:val="0"/>
          <w:color w:val="0A1628"/>
          <w:sz w:val="20"/>
        </w:rPr>
        <w:t>Create one database function and one matching TypeScript helper: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create or replace function public.be_operational_id_merchant_code(p_value text)</w:t>
              <w:br/>
              <w:t>returns text</w:t>
              <w:br/>
              <w:t>language sql</w:t>
              <w:br/>
              <w:t>immutable</w:t>
              <w:br/>
              <w:t>as $$</w:t>
              <w:br/>
              <w:t xml:space="preserve">  select case</w:t>
              <w:br/>
              <w:t xml:space="preserve">    when array_length(regexp_split_to_array(upper(trim(coalesce(p_value,''))), '-'), 1) &gt;= 3</w:t>
              <w:br/>
              <w:t xml:space="preserve">    then array_to_string(</w:t>
              <w:br/>
              <w:t xml:space="preserve">      (regexp_split_to_array(upper(trim(p_value)), '-'))[2:</w:t>
              <w:br/>
              <w:t xml:space="preserve">        array_length(regexp_split_to_array(upper(trim(p_value)), '-'), 1)-1],</w:t>
              <w:br/>
              <w:t xml:space="preserve">      '-'</w:t>
              <w:br/>
              <w:t xml:space="preserve">    )</w:t>
              <w:br/>
              <w:t xml:space="preserve">    else null</w:t>
              <w:br/>
              <w:t xml:space="preserve">  end;</w:t>
              <w:br/>
              <w:t>$$;</w:t>
            </w:r>
          </w:p>
        </w:tc>
      </w:tr>
    </w:tbl>
    <w:p>
      <w:pPr>
        <w:spacing w:after="0"/>
      </w:pPr>
    </w:p>
    <w:p>
      <w:r>
        <w:rPr>
          <w:rFonts w:ascii="Aptos" w:hAnsi="Aptos" w:eastAsia="Aptos"/>
          <w:b w:val="0"/>
          <w:i w:val="0"/>
          <w:color w:val="0A1628"/>
          <w:sz w:val="20"/>
        </w:rPr>
        <w:t xml:space="preserve">If the confirmed production format guarantees exactly one merchant segment, this may simplify to </w:t>
      </w:r>
      <w:r>
        <w:rPr>
          <w:rFonts w:ascii="Consolas" w:hAnsi="Consolas" w:eastAsia="Consolas"/>
          <w:b w:val="0"/>
          <w:i w:val="0"/>
          <w:color w:val="0A1628"/>
          <w:sz w:val="17"/>
          <w:shd w:fill="EEF2F6"/>
        </w:rPr>
        <w:t>split_part(value, '-', 2)</w:t>
      </w:r>
      <w:r>
        <w:rPr>
          <w:rFonts w:ascii="Aptos" w:hAnsi="Aptos" w:eastAsia="Aptos"/>
          <w:b w:val="0"/>
          <w:i w:val="0"/>
          <w:color w:val="0A1628"/>
          <w:sz w:val="20"/>
        </w:rPr>
        <w:t>. The same rule must be used by Data Entry, Final Sync, Waybill, Dispatch, and certification.</w:t>
      </w:r>
    </w:p>
    <w:p>
      <w:pPr>
        <w:pStyle w:val="Heading3"/>
        <w:keepNext/>
      </w:pPr>
      <w:r>
        <w:rPr>
          <w:rFonts w:ascii="Aptos" w:hAnsi="Aptos" w:eastAsia="Aptos"/>
          <w:b w:val="0"/>
          <w:i w:val="0"/>
          <w:color w:val="0A1628"/>
          <w:sz w:val="20"/>
        </w:rPr>
        <w:t>13.3 Refresh logic</w:t>
      </w:r>
    </w:p>
    <w:p>
      <w:r>
        <w:rPr>
          <w:rFonts w:ascii="Aptos" w:hAnsi="Aptos" w:eastAsia="Aptos"/>
          <w:b w:val="0"/>
          <w:i w:val="0"/>
          <w:color w:val="0A1628"/>
          <w:sz w:val="20"/>
        </w:rPr>
        <w:t xml:space="preserve">Replace any aggregated or arbitrary Pickup ID selection. In particular, do not use </w:t>
      </w:r>
      <w:r>
        <w:rPr>
          <w:rFonts w:ascii="Consolas" w:hAnsi="Consolas" w:eastAsia="Consolas"/>
          <w:b w:val="0"/>
          <w:i w:val="0"/>
          <w:color w:val="0A1628"/>
          <w:sz w:val="17"/>
          <w:shd w:fill="EEF2F6"/>
        </w:rPr>
        <w:t>max(pickup_id)</w:t>
      </w:r>
      <w:r>
        <w:rPr>
          <w:rFonts w:ascii="Aptos" w:hAnsi="Aptos" w:eastAsia="Aptos"/>
          <w:b w:val="0"/>
          <w:i w:val="0"/>
          <w:color w:val="0A1628"/>
          <w:sz w:val="20"/>
        </w:rPr>
        <w:t>.</w:t>
      </w:r>
    </w:p>
    <w:p>
      <w:r>
        <w:rPr>
          <w:rFonts w:ascii="Aptos" w:hAnsi="Aptos" w:eastAsia="Aptos"/>
          <w:b w:val="0"/>
          <w:i w:val="0"/>
          <w:color w:val="0A1628"/>
          <w:sz w:val="20"/>
        </w:rPr>
        <w:t>The canonical refresh query must join the source row to Data Entry by normalized Way ID: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left join public.be_data_entry_register_rows de</w:t>
              <w:br/>
              <w:t xml:space="preserve">  on upper(trim(de.delivery_way_id)) = upper(trim(source.delivery_way_id))</w:t>
            </w:r>
          </w:p>
        </w:tc>
      </w:tr>
    </w:tbl>
    <w:p>
      <w:pPr>
        <w:spacing w:after="0"/>
      </w:pPr>
    </w:p>
    <w:p>
      <w:r>
        <w:rPr>
          <w:rFonts w:ascii="Aptos" w:hAnsi="Aptos" w:eastAsia="Aptos"/>
          <w:b w:val="0"/>
          <w:i w:val="0"/>
          <w:color w:val="0A1628"/>
          <w:sz w:val="20"/>
        </w:rPr>
        <w:t xml:space="preserve">The refreshed row must take the following values from the same </w:t>
      </w:r>
      <w:r>
        <w:rPr>
          <w:rFonts w:ascii="Consolas" w:hAnsi="Consolas" w:eastAsia="Consolas"/>
          <w:b w:val="0"/>
          <w:i w:val="0"/>
          <w:color w:val="0A1628"/>
          <w:sz w:val="17"/>
          <w:shd w:fill="EEF2F6"/>
        </w:rPr>
        <w:t>de</w:t>
      </w:r>
      <w:r>
        <w:rPr>
          <w:rFonts w:ascii="Aptos" w:hAnsi="Aptos" w:eastAsia="Aptos"/>
          <w:b w:val="0"/>
          <w:i w:val="0"/>
          <w:color w:val="0A1628"/>
          <w:sz w:val="20"/>
        </w:rPr>
        <w:t xml:space="preserve"> row:</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delivery_way_id = de.delivery_way_id</w:t>
              <w:br/>
              <w:t>pickup_id       = de.pickup_id or migration-compatible pickup_way_id</w:t>
              <w:br/>
              <w:t>merchant_code   = de.merchant_code</w:t>
            </w:r>
          </w:p>
        </w:tc>
      </w:tr>
    </w:tbl>
    <w:p>
      <w:pPr>
        <w:spacing w:after="0"/>
      </w:pPr>
    </w:p>
    <w:p>
      <w:pPr>
        <w:pStyle w:val="Heading3"/>
        <w:keepNext/>
      </w:pPr>
      <w:r>
        <w:rPr>
          <w:rFonts w:ascii="Aptos" w:hAnsi="Aptos" w:eastAsia="Aptos"/>
          <w:b w:val="0"/>
          <w:i w:val="0"/>
          <w:color w:val="0A1628"/>
          <w:sz w:val="20"/>
        </w:rPr>
        <w:t>13.4 Server validation</w:t>
      </w:r>
    </w:p>
    <w:p>
      <w:r>
        <w:rPr>
          <w:rFonts w:ascii="Aptos" w:hAnsi="Aptos" w:eastAsia="Aptos"/>
          <w:b w:val="0"/>
          <w:i w:val="0"/>
          <w:color w:val="0A1628"/>
          <w:sz w:val="20"/>
        </w:rPr>
        <w:t>For every row, calculate: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way_merchant_code    = be_operational_id_merchant_code(delivery_way_id)</w:t>
              <w:br/>
              <w:t>pickup_merchant_code = be_operational_id_merchant_code(pickup_id)</w:t>
            </w:r>
          </w:p>
        </w:tc>
      </w:tr>
    </w:tbl>
    <w:p>
      <w:pPr>
        <w:spacing w:after="0"/>
      </w:pPr>
    </w:p>
    <w:p>
      <w:r>
        <w:rPr>
          <w:rFonts w:ascii="Aptos" w:hAnsi="Aptos" w:eastAsia="Aptos"/>
          <w:b w:val="0"/>
          <w:i w:val="0"/>
          <w:color w:val="0A1628"/>
          <w:sz w:val="20"/>
        </w:rPr>
        <w:t>The row is valid only when: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way_merchant_code = pickup_merchant_code = upper(merchant_code)</w:t>
            </w:r>
          </w:p>
        </w:tc>
      </w:tr>
    </w:tbl>
    <w:p>
      <w:pPr>
        <w:spacing w:after="0"/>
      </w:pPr>
    </w:p>
    <w:p>
      <w:r>
        <w:rPr>
          <w:rFonts w:ascii="Aptos" w:hAnsi="Aptos" w:eastAsia="Aptos"/>
          <w:b w:val="0"/>
          <w:i w:val="0"/>
          <w:color w:val="0A1628"/>
          <w:sz w:val="20"/>
        </w:rPr>
        <w:t>A mismatch must:</w:t>
      </w:r>
    </w:p>
    <w:p>
      <w:pPr>
        <w:pStyle w:val="ListBullet"/>
        <w:ind w:left="0"/>
      </w:pPr>
      <w:r>
        <w:rPr>
          <w:rFonts w:ascii="Aptos" w:hAnsi="Aptos" w:eastAsia="Aptos"/>
          <w:b w:val="0"/>
          <w:i w:val="0"/>
          <w:color w:val="0A1628"/>
          <w:sz w:val="20"/>
        </w:rPr>
        <w:t xml:space="preserve">Open or retain one </w:t>
      </w:r>
      <w:r>
        <w:rPr>
          <w:rFonts w:ascii="Consolas" w:hAnsi="Consolas" w:eastAsia="Consolas"/>
          <w:b w:val="0"/>
          <w:i w:val="0"/>
          <w:color w:val="0A1628"/>
          <w:sz w:val="17"/>
          <w:shd w:fill="EEF2F6"/>
        </w:rPr>
        <w:t>MERCHANT_CODE_MISMATCH</w:t>
      </w:r>
      <w:r>
        <w:rPr>
          <w:rFonts w:ascii="Aptos" w:hAnsi="Aptos" w:eastAsia="Aptos"/>
          <w:b w:val="0"/>
          <w:i w:val="0"/>
          <w:color w:val="0A1628"/>
          <w:sz w:val="20"/>
        </w:rPr>
        <w:t xml:space="preserve"> variance per Way ID.</w:t>
      </w:r>
    </w:p>
    <w:p>
      <w:pPr>
        <w:pStyle w:val="ListBullet"/>
        <w:ind w:left="0"/>
      </w:pPr>
      <w:r>
        <w:rPr>
          <w:rFonts w:ascii="Aptos" w:hAnsi="Aptos" w:eastAsia="Aptos"/>
          <w:b w:val="0"/>
          <w:i w:val="0"/>
          <w:color w:val="0A1628"/>
          <w:sz w:val="20"/>
        </w:rPr>
        <w:t xml:space="preserve">Set final sync status to </w:t>
      </w:r>
      <w:r>
        <w:rPr>
          <w:rFonts w:ascii="Consolas" w:hAnsi="Consolas" w:eastAsia="Consolas"/>
          <w:b w:val="0"/>
          <w:i w:val="0"/>
          <w:color w:val="0A1628"/>
          <w:sz w:val="17"/>
          <w:shd w:fill="EEF2F6"/>
        </w:rPr>
        <w:t>VARIANCE</w:t>
      </w:r>
      <w:r>
        <w:rPr>
          <w:rFonts w:ascii="Aptos" w:hAnsi="Aptos" w:eastAsia="Aptos"/>
          <w:b w:val="0"/>
          <w:i w:val="0"/>
          <w:color w:val="0A1628"/>
          <w:sz w:val="20"/>
        </w:rPr>
        <w:t xml:space="preserve"> or equivalent non-certifiable status.</w:t>
      </w:r>
    </w:p>
    <w:p>
      <w:pPr>
        <w:pStyle w:val="ListBullet"/>
        <w:ind w:left="0"/>
      </w:pPr>
      <w:r>
        <w:rPr>
          <w:rFonts w:ascii="Aptos" w:hAnsi="Aptos" w:eastAsia="Aptos"/>
          <w:b w:val="0"/>
          <w:i w:val="0"/>
          <w:color w:val="0A1628"/>
          <w:sz w:val="20"/>
        </w:rPr>
        <w:t xml:space="preserve">Prevent </w:t>
      </w:r>
      <w:r>
        <w:rPr>
          <w:rFonts w:ascii="Consolas" w:hAnsi="Consolas" w:eastAsia="Consolas"/>
          <w:b w:val="0"/>
          <w:i w:val="0"/>
          <w:color w:val="0A1628"/>
          <w:sz w:val="17"/>
          <w:shd w:fill="EEF2F6"/>
        </w:rPr>
        <w:t>READY_TO_CERTIFY</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Cause </w:t>
      </w:r>
      <w:r>
        <w:rPr>
          <w:rFonts w:ascii="Consolas" w:hAnsi="Consolas" w:eastAsia="Consolas"/>
          <w:b w:val="0"/>
          <w:i w:val="0"/>
          <w:color w:val="0A1628"/>
          <w:sz w:val="17"/>
          <w:shd w:fill="EEF2F6"/>
        </w:rPr>
        <w:t>be_final_sync_certify_v50</w:t>
      </w:r>
      <w:r>
        <w:rPr>
          <w:rFonts w:ascii="Aptos" w:hAnsi="Aptos" w:eastAsia="Aptos"/>
          <w:b w:val="0"/>
          <w:i w:val="0"/>
          <w:color w:val="0A1628"/>
          <w:sz w:val="20"/>
        </w:rPr>
        <w:t xml:space="preserve"> to fail server-side.</w:t>
      </w:r>
    </w:p>
    <w:p>
      <w:pPr>
        <w:pStyle w:val="ListBullet"/>
        <w:ind w:left="0"/>
      </w:pPr>
      <w:r>
        <w:rPr>
          <w:rFonts w:ascii="Aptos" w:hAnsi="Aptos" w:eastAsia="Aptos"/>
          <w:b w:val="0"/>
          <w:i w:val="0"/>
          <w:color w:val="0A1628"/>
          <w:sz w:val="20"/>
        </w:rPr>
        <w:t>Never replace the Pickup ID with another grouped value.</w:t>
      </w:r>
    </w:p>
    <w:p>
      <w:pPr>
        <w:pStyle w:val="Heading3"/>
        <w:keepNext/>
      </w:pPr>
      <w:r>
        <w:rPr>
          <w:rFonts w:ascii="Aptos" w:hAnsi="Aptos" w:eastAsia="Aptos"/>
          <w:b w:val="0"/>
          <w:i w:val="0"/>
          <w:color w:val="0A1628"/>
          <w:sz w:val="20"/>
        </w:rPr>
        <w:t>13.5 Required RPC behavior</w:t>
      </w:r>
    </w:p>
    <w:p>
      <w:pPr>
        <w:pStyle w:val="Heading4"/>
        <w:keepNext/>
      </w:pPr>
      <w:r>
        <w:rPr>
          <w:rFonts w:ascii="Consolas" w:hAnsi="Consolas" w:eastAsia="Consolas"/>
          <w:b w:val="0"/>
          <w:i w:val="0"/>
          <w:color w:val="0A1628"/>
          <w:sz w:val="17"/>
          <w:shd w:fill="EEF2F6"/>
        </w:rPr>
        <w:t>be_final_sync_refresh_v50(p_scope text default null)</w:t>
      </w:r>
    </w:p>
    <w:p>
      <w:r>
        <w:rPr>
          <w:rFonts w:ascii="Aptos" w:hAnsi="Aptos" w:eastAsia="Aptos"/>
          <w:b w:val="0"/>
          <w:i w:val="0"/>
          <w:color w:val="0A1628"/>
          <w:sz w:val="20"/>
        </w:rPr>
        <w:t>Return: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w:t>
              <w:br/>
              <w:t xml:space="preserve">  "ok": true,</w:t>
              <w:br/>
              <w:t xml:space="preserve">  "rows_refreshed": 0,</w:t>
              <w:br/>
              <w:t xml:space="preserve">  "variances_opened": 0,</w:t>
              <w:br/>
              <w:t xml:space="preserve">  "variances_resolved": 0,</w:t>
              <w:br/>
              <w:t xml:space="preserve">  "lineage_mismatch_count": 0,</w:t>
              <w:br/>
              <w:t xml:space="preserve">  "build": "FINAL_SYNC_LINEAGE_V51"</w:t>
              <w:br/>
              <w:t>}</w:t>
            </w:r>
          </w:p>
        </w:tc>
      </w:tr>
    </w:tbl>
    <w:p>
      <w:pPr>
        <w:spacing w:after="0"/>
      </w:pPr>
    </w:p>
    <w:p>
      <w:pPr>
        <w:pStyle w:val="Heading4"/>
        <w:keepNext/>
      </w:pPr>
      <w:r>
        <w:rPr>
          <w:rFonts w:ascii="Consolas" w:hAnsi="Consolas" w:eastAsia="Consolas"/>
          <w:b w:val="0"/>
          <w:i w:val="0"/>
          <w:color w:val="0A1628"/>
          <w:sz w:val="17"/>
          <w:shd w:fill="EEF2F6"/>
        </w:rPr>
        <w:t>be_final_sync_snapshot_v50(p_filter text, p_limit integer)</w:t>
      </w:r>
    </w:p>
    <w:p>
      <w:r>
        <w:rPr>
          <w:rFonts w:ascii="Aptos" w:hAnsi="Aptos" w:eastAsia="Aptos"/>
          <w:b w:val="0"/>
          <w:i w:val="0"/>
          <w:color w:val="0A1628"/>
          <w:sz w:val="20"/>
        </w:rPr>
        <w:t>Every row must include: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delivery_way_id</w:t>
              <w:br/>
              <w:t>pickup_id</w:t>
              <w:br/>
              <w:t>merchant_code</w:t>
              <w:br/>
              <w:t>way_merchant_code</w:t>
              <w:br/>
              <w:t>pickup_merchant_code</w:t>
              <w:br/>
              <w:t>lineage_valid</w:t>
              <w:br/>
              <w:t>issue_codes</w:t>
              <w:br/>
              <w:t>check_status</w:t>
              <w:br/>
              <w:t>certification_stale</w:t>
            </w:r>
          </w:p>
        </w:tc>
      </w:tr>
    </w:tbl>
    <w:p>
      <w:pPr>
        <w:spacing w:after="0"/>
      </w:pPr>
    </w:p>
    <w:p>
      <w:pPr>
        <w:pStyle w:val="Heading4"/>
        <w:keepNext/>
      </w:pPr>
      <w:r>
        <w:rPr>
          <w:rFonts w:ascii="Consolas" w:hAnsi="Consolas" w:eastAsia="Consolas"/>
          <w:b w:val="0"/>
          <w:i w:val="0"/>
          <w:color w:val="0A1628"/>
          <w:sz w:val="17"/>
          <w:shd w:fill="EEF2F6"/>
        </w:rPr>
        <w:t>be_final_sync_certify_v50(...)</w:t>
      </w:r>
    </w:p>
    <w:p>
      <w:r>
        <w:rPr>
          <w:rFonts w:ascii="Aptos" w:hAnsi="Aptos" w:eastAsia="Aptos"/>
          <w:b w:val="0"/>
          <w:i w:val="0"/>
          <w:color w:val="0A1628"/>
          <w:sz w:val="20"/>
        </w:rPr>
        <w:t>Certification must re-read current canonical lineage inside the transaction. It must not rely on the snapshot or frontend guard.</w:t>
      </w:r>
    </w:p>
    <w:p>
      <w:pPr>
        <w:pStyle w:val="Heading3"/>
        <w:keepNext/>
      </w:pPr>
      <w:r>
        <w:rPr>
          <w:rFonts w:ascii="Aptos" w:hAnsi="Aptos" w:eastAsia="Aptos"/>
          <w:b w:val="0"/>
          <w:i w:val="0"/>
          <w:color w:val="0A1628"/>
          <w:sz w:val="20"/>
        </w:rPr>
        <w:t>13.6 Historical remediation</w:t>
      </w:r>
    </w:p>
    <w:p>
      <w:pPr>
        <w:pStyle w:val="ListNumber"/>
        <w:ind w:left="0"/>
      </w:pPr>
      <w:r>
        <w:rPr>
          <w:rFonts w:ascii="Aptos" w:hAnsi="Aptos" w:eastAsia="Aptos"/>
          <w:b w:val="0"/>
          <w:i w:val="0"/>
          <w:color w:val="0A1628"/>
          <w:sz w:val="20"/>
        </w:rPr>
        <w:t>Run a read-only mismatch audit.</w:t>
      </w:r>
    </w:p>
    <w:p>
      <w:pPr>
        <w:pStyle w:val="ListNumber"/>
        <w:ind w:left="0"/>
      </w:pPr>
      <w:r>
        <w:rPr>
          <w:rFonts w:ascii="Aptos" w:hAnsi="Aptos" w:eastAsia="Aptos"/>
          <w:b w:val="0"/>
          <w:i w:val="0"/>
          <w:color w:val="0A1628"/>
          <w:sz w:val="20"/>
        </w:rPr>
        <w:t xml:space="preserve">Backfill canonical </w:t>
      </w:r>
      <w:r>
        <w:rPr>
          <w:rFonts w:ascii="Consolas" w:hAnsi="Consolas" w:eastAsia="Consolas"/>
          <w:b w:val="0"/>
          <w:i w:val="0"/>
          <w:color w:val="0A1628"/>
          <w:sz w:val="17"/>
          <w:shd w:fill="EEF2F6"/>
        </w:rPr>
        <w:t>pickup_id</w:t>
      </w:r>
      <w:r>
        <w:rPr>
          <w:rFonts w:ascii="Aptos" w:hAnsi="Aptos" w:eastAsia="Aptos"/>
          <w:b w:val="0"/>
          <w:i w:val="0"/>
          <w:color w:val="0A1628"/>
          <w:sz w:val="20"/>
        </w:rPr>
        <w:t xml:space="preserve"> from the exact Data Entry Way ID row.</w:t>
      </w:r>
    </w:p>
    <w:p>
      <w:pPr>
        <w:pStyle w:val="ListNumber"/>
        <w:ind w:left="0"/>
      </w:pPr>
      <w:r>
        <w:rPr>
          <w:rFonts w:ascii="Aptos" w:hAnsi="Aptos" w:eastAsia="Aptos"/>
          <w:b w:val="0"/>
          <w:i w:val="0"/>
          <w:color w:val="0A1628"/>
          <w:sz w:val="20"/>
        </w:rPr>
        <w:t>Refresh Final Sync.</w:t>
      </w:r>
    </w:p>
    <w:p>
      <w:pPr>
        <w:pStyle w:val="ListNumber"/>
        <w:ind w:left="0"/>
      </w:pPr>
      <w:r>
        <w:rPr>
          <w:rFonts w:ascii="Aptos" w:hAnsi="Aptos" w:eastAsia="Aptos"/>
          <w:b w:val="0"/>
          <w:i w:val="0"/>
          <w:color w:val="0A1628"/>
          <w:sz w:val="20"/>
        </w:rPr>
        <w:t>Open variances for unresolved or missing Data Entry lineage.</w:t>
      </w:r>
    </w:p>
    <w:p>
      <w:pPr>
        <w:pStyle w:val="ListNumber"/>
        <w:ind w:left="0"/>
      </w:pPr>
      <w:r>
        <w:rPr>
          <w:rFonts w:ascii="Aptos" w:hAnsi="Aptos" w:eastAsia="Aptos"/>
          <w:b w:val="0"/>
          <w:i w:val="0"/>
          <w:color w:val="0A1628"/>
          <w:sz w:val="20"/>
        </w:rPr>
        <w:t>Do not auto-certify repaired rows.</w:t>
      </w:r>
    </w:p>
    <w:p>
      <w:pPr>
        <w:pStyle w:val="ListNumber"/>
        <w:ind w:left="0"/>
      </w:pPr>
      <w:r>
        <w:rPr>
          <w:rFonts w:ascii="Aptos" w:hAnsi="Aptos" w:eastAsia="Aptos"/>
          <w:b w:val="0"/>
          <w:i w:val="0"/>
          <w:color w:val="0A1628"/>
          <w:sz w:val="20"/>
        </w:rPr>
        <w:t xml:space="preserve">Record before/after lineage in </w:t>
      </w:r>
      <w:r>
        <w:rPr>
          <w:rFonts w:ascii="Consolas" w:hAnsi="Consolas" w:eastAsia="Consolas"/>
          <w:b w:val="0"/>
          <w:i w:val="0"/>
          <w:color w:val="0A1628"/>
          <w:sz w:val="17"/>
          <w:shd w:fill="EEF2F6"/>
        </w:rPr>
        <w:t>be_audit_events</w:t>
      </w:r>
      <w:r>
        <w:rPr>
          <w:rFonts w:ascii="Aptos" w:hAnsi="Aptos" w:eastAsia="Aptos"/>
          <w:b w:val="0"/>
          <w:i w:val="0"/>
          <w:color w:val="0A1628"/>
          <w:sz w:val="20"/>
        </w:rPr>
        <w:t>.</w:t>
      </w:r>
    </w:p>
    <w:p>
      <w:pPr>
        <w:pStyle w:val="Heading3"/>
        <w:keepNext/>
      </w:pPr>
      <w:r>
        <w:rPr>
          <w:rFonts w:ascii="Aptos" w:hAnsi="Aptos" w:eastAsia="Aptos"/>
          <w:b w:val="0"/>
          <w:i w:val="0"/>
          <w:color w:val="0A1628"/>
          <w:sz w:val="20"/>
        </w:rPr>
        <w:t>13.7 Acceptance criteria</w:t>
      </w:r>
    </w:p>
    <w:p>
      <w:pPr>
        <w:pStyle w:val="ListBullet"/>
        <w:ind w:left="0"/>
      </w:pPr>
      <w:r>
        <w:rPr>
          <w:rFonts w:ascii="Aptos" w:hAnsi="Aptos" w:eastAsia="Aptos"/>
          <w:b w:val="0"/>
          <w:i w:val="0"/>
          <w:color w:val="0A1628"/>
          <w:sz w:val="20"/>
        </w:rPr>
        <w:t>One Way ID can resolve to only one canonical Pickup ID.</w:t>
      </w:r>
    </w:p>
    <w:p>
      <w:pPr>
        <w:pStyle w:val="ListBullet"/>
        <w:ind w:left="0"/>
      </w:pPr>
      <w:r>
        <w:rPr>
          <w:rFonts w:ascii="Aptos" w:hAnsi="Aptos" w:eastAsia="Aptos"/>
          <w:b w:val="0"/>
          <w:i w:val="0"/>
          <w:color w:val="0A1628"/>
          <w:sz w:val="20"/>
        </w:rPr>
        <w:t>A mismatch cannot be certified through UI, direct RPC, or replayed request.</w:t>
      </w:r>
    </w:p>
    <w:p>
      <w:pPr>
        <w:pStyle w:val="ListBullet"/>
        <w:ind w:left="0"/>
      </w:pPr>
      <w:r>
        <w:rPr>
          <w:rFonts w:ascii="Aptos" w:hAnsi="Aptos" w:eastAsia="Aptos"/>
          <w:b w:val="0"/>
          <w:i w:val="0"/>
          <w:color w:val="0A1628"/>
          <w:sz w:val="20"/>
        </w:rPr>
        <w:t xml:space="preserve">No refresh query contains </w:t>
      </w:r>
      <w:r>
        <w:rPr>
          <w:rFonts w:ascii="Consolas" w:hAnsi="Consolas" w:eastAsia="Consolas"/>
          <w:b w:val="0"/>
          <w:i w:val="0"/>
          <w:color w:val="0A1628"/>
          <w:sz w:val="17"/>
          <w:shd w:fill="EEF2F6"/>
        </w:rPr>
        <w:t>max(pickup_id)</w:t>
      </w:r>
      <w:r>
        <w:rPr>
          <w:rFonts w:ascii="Aptos" w:hAnsi="Aptos" w:eastAsia="Aptos"/>
          <w:b w:val="0"/>
          <w:i w:val="0"/>
          <w:color w:val="0A1628"/>
          <w:sz w:val="20"/>
        </w:rPr>
        <w:t xml:space="preserve"> or an equivalent arbitrary aggregate.</w:t>
      </w:r>
    </w:p>
    <w:p>
      <w:pPr>
        <w:pStyle w:val="ListBullet"/>
        <w:ind w:left="0"/>
      </w:pPr>
      <w:r>
        <w:rPr>
          <w:rFonts w:ascii="Aptos" w:hAnsi="Aptos" w:eastAsia="Aptos"/>
          <w:b w:val="0"/>
          <w:i w:val="0"/>
          <w:color w:val="0A1628"/>
          <w:sz w:val="20"/>
        </w:rPr>
        <w:t>Refreshing the same scope twice is idempotent.</w:t>
      </w:r>
    </w:p>
    <w:p>
      <w:pPr>
        <w:pStyle w:val="ListBullet"/>
        <w:ind w:left="0"/>
      </w:pPr>
      <w:r>
        <w:rPr>
          <w:rFonts w:ascii="Aptos" w:hAnsi="Aptos" w:eastAsia="Aptos"/>
          <w:b w:val="0"/>
          <w:i w:val="0"/>
          <w:color w:val="0A1628"/>
          <w:sz w:val="20"/>
        </w:rPr>
        <w:t>Valid rows remain valid and are not reassigned to another pickup.</w:t>
      </w:r>
    </w:p>
    <w:p>
      <w:pPr>
        <w:pStyle w:val="Heading2"/>
        <w:keepNext/>
      </w:pPr>
      <w:r>
        <w:rPr>
          <w:rFonts w:ascii="Aptos" w:hAnsi="Aptos" w:eastAsia="Aptos"/>
          <w:b w:val="0"/>
          <w:i w:val="0"/>
          <w:color w:val="0A1628"/>
          <w:sz w:val="20"/>
        </w:rPr>
        <w:t>14. Business Development Command Centre</w:t>
      </w:r>
    </w:p>
    <w:p>
      <w:pPr>
        <w:pStyle w:val="Heading3"/>
        <w:keepNext/>
      </w:pPr>
      <w:r>
        <w:rPr>
          <w:rFonts w:ascii="Aptos" w:hAnsi="Aptos" w:eastAsia="Aptos"/>
          <w:b w:val="0"/>
          <w:i w:val="0"/>
          <w:color w:val="0A1628"/>
          <w:sz w:val="20"/>
        </w:rPr>
        <w:t>14.1 Route consolidation</w:t>
      </w:r>
    </w:p>
    <w:p>
      <w:r>
        <w:rPr>
          <w:rFonts w:ascii="Aptos" w:hAnsi="Aptos" w:eastAsia="Aptos"/>
          <w:b w:val="0"/>
          <w:i w:val="0"/>
          <w:color w:val="0A1628"/>
          <w:sz w:val="20"/>
        </w:rPr>
        <w:t xml:space="preserve">Replace the active </w:t>
      </w:r>
      <w:r>
        <w:rPr>
          <w:rFonts w:ascii="Consolas" w:hAnsi="Consolas" w:eastAsia="Consolas"/>
          <w:b w:val="0"/>
          <w:i w:val="0"/>
          <w:color w:val="0A1628"/>
          <w:sz w:val="17"/>
          <w:shd w:fill="EEF2F6"/>
        </w:rPr>
        <w:t>/biz-dev</w:t>
      </w:r>
      <w:r>
        <w:rPr>
          <w:rFonts w:ascii="Aptos" w:hAnsi="Aptos" w:eastAsia="Aptos"/>
          <w:b w:val="0"/>
          <w:i w:val="0"/>
          <w:color w:val="0A1628"/>
          <w:sz w:val="20"/>
        </w:rPr>
        <w:t xml:space="preserve"> page with one production component: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src/pages/BusinessDevelopmentCommandPage.tsx</w:t>
            </w:r>
          </w:p>
        </w:tc>
      </w:tr>
    </w:tbl>
    <w:p>
      <w:pPr>
        <w:spacing w:after="0"/>
      </w:pPr>
    </w:p>
    <w:p>
      <w:r>
        <w:rPr>
          <w:rFonts w:ascii="Aptos" w:hAnsi="Aptos" w:eastAsia="Aptos"/>
          <w:b w:val="0"/>
          <w:i w:val="0"/>
          <w:color w:val="0A1628"/>
          <w:sz w:val="20"/>
        </w:rPr>
        <w:t>Remove or redirect duplicate Business Development page variants after parity testing. Do not maintain multiple pages calling different dashboard RPCs.</w:t>
      </w:r>
    </w:p>
    <w:p>
      <w:pPr>
        <w:pStyle w:val="Heading3"/>
        <w:keepNext/>
      </w:pPr>
      <w:r>
        <w:rPr>
          <w:rFonts w:ascii="Aptos" w:hAnsi="Aptos" w:eastAsia="Aptos"/>
          <w:b w:val="0"/>
          <w:i w:val="0"/>
          <w:color w:val="0A1628"/>
          <w:sz w:val="20"/>
        </w:rPr>
        <w:t>14.2 Consolidated RPC</w:t>
      </w:r>
    </w:p>
    <w:p>
      <w:r>
        <w:rPr>
          <w:rFonts w:ascii="Aptos" w:hAnsi="Aptos" w:eastAsia="Aptos"/>
          <w:b w:val="0"/>
          <w:i w:val="0"/>
          <w:color w:val="0A1628"/>
          <w:sz w:val="20"/>
        </w:rPr>
        <w:t>Create: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be_business_development_command_v54(p_payload jsonb default '{}'::jsonb)</w:t>
            </w:r>
          </w:p>
        </w:tc>
      </w:tr>
    </w:tbl>
    <w:p>
      <w:pPr>
        <w:spacing w:after="0"/>
      </w:pPr>
    </w:p>
    <w:p>
      <w:r>
        <w:rPr>
          <w:rFonts w:ascii="Aptos" w:hAnsi="Aptos" w:eastAsia="Aptos"/>
          <w:b w:val="0"/>
          <w:i w:val="0"/>
          <w:color w:val="0A1628"/>
          <w:sz w:val="20"/>
        </w:rPr>
        <w:t>Request filters: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period_from</w:t>
              <w:br/>
              <w:t>period_to</w:t>
              <w:br/>
              <w:t>branch_code</w:t>
              <w:br/>
              <w:t>township</w:t>
              <w:br/>
              <w:t>merchant_status</w:t>
              <w:br/>
              <w:t>owner_employee_id</w:t>
              <w:br/>
              <w:t>pipeline_stage</w:t>
            </w:r>
          </w:p>
        </w:tc>
      </w:tr>
    </w:tbl>
    <w:p>
      <w:pPr>
        <w:spacing w:after="0"/>
      </w:pPr>
    </w:p>
    <w:p>
      <w:r>
        <w:rPr>
          <w:rFonts w:ascii="Aptos" w:hAnsi="Aptos" w:eastAsia="Aptos"/>
          <w:b w:val="0"/>
          <w:i w:val="0"/>
          <w:color w:val="0A1628"/>
          <w:sz w:val="20"/>
        </w:rPr>
        <w:t>Response groups: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summary</w:t>
              <w:br/>
              <w:t>volume_series</w:t>
              <w:br/>
              <w:t>merchant_segments</w:t>
              <w:br/>
              <w:t>merchant_ranking</w:t>
              <w:br/>
              <w:t>merchant_growth</w:t>
              <w:br/>
              <w:t>pipeline</w:t>
              <w:br/>
              <w:t>onboarding</w:t>
              <w:br/>
              <w:t>marketing_attribution</w:t>
              <w:br/>
              <w:t>customer_service</w:t>
              <w:br/>
              <w:t>failed_deliveries</w:t>
              <w:br/>
              <w:t>settlements</w:t>
              <w:br/>
              <w:t>branches</w:t>
              <w:br/>
              <w:t>townships</w:t>
              <w:br/>
              <w:t>targets</w:t>
              <w:br/>
              <w:t>forecast</w:t>
              <w:br/>
              <w:t>capacity_warnings</w:t>
              <w:br/>
              <w:t>plans_policies</w:t>
            </w:r>
          </w:p>
        </w:tc>
      </w:tr>
    </w:tbl>
    <w:p>
      <w:pPr>
        <w:spacing w:after="0"/>
      </w:pPr>
    </w:p>
    <w:p>
      <w:pPr>
        <w:pStyle w:val="Heading3"/>
        <w:keepNext/>
      </w:pPr>
      <w:r>
        <w:rPr>
          <w:rFonts w:ascii="Aptos" w:hAnsi="Aptos" w:eastAsia="Aptos"/>
          <w:b w:val="0"/>
          <w:i w:val="0"/>
          <w:color w:val="0A1628"/>
          <w:sz w:val="20"/>
        </w:rPr>
        <w:t>14.3 Required tabs</w:t>
      </w:r>
    </w:p>
    <w:p>
      <w:pPr>
        <w:pStyle w:val="ListBullet"/>
        <w:ind w:left="0"/>
      </w:pPr>
      <w:r>
        <w:rPr>
          <w:rFonts w:ascii="Aptos" w:hAnsi="Aptos" w:eastAsia="Aptos"/>
          <w:b w:val="0"/>
          <w:i w:val="0"/>
          <w:color w:val="0A1628"/>
          <w:sz w:val="20"/>
        </w:rPr>
        <w:t>Executive Summary</w:t>
      </w:r>
    </w:p>
    <w:p>
      <w:pPr>
        <w:pStyle w:val="ListBullet"/>
        <w:ind w:left="0"/>
      </w:pPr>
      <w:r>
        <w:rPr>
          <w:rFonts w:ascii="Aptos" w:hAnsi="Aptos" w:eastAsia="Aptos"/>
          <w:b w:val="0"/>
          <w:i w:val="0"/>
          <w:color w:val="0A1628"/>
          <w:sz w:val="20"/>
        </w:rPr>
        <w:t>Merchant Growth</w:t>
      </w:r>
    </w:p>
    <w:p>
      <w:pPr>
        <w:pStyle w:val="ListBullet"/>
        <w:ind w:left="0"/>
      </w:pPr>
      <w:r>
        <w:rPr>
          <w:rFonts w:ascii="Aptos" w:hAnsi="Aptos" w:eastAsia="Aptos"/>
          <w:b w:val="0"/>
          <w:i w:val="0"/>
          <w:color w:val="0A1628"/>
          <w:sz w:val="20"/>
        </w:rPr>
        <w:t>Sales Pipeline</w:t>
      </w:r>
    </w:p>
    <w:p>
      <w:pPr>
        <w:pStyle w:val="ListBullet"/>
        <w:ind w:left="0"/>
      </w:pPr>
      <w:r>
        <w:rPr>
          <w:rFonts w:ascii="Aptos" w:hAnsi="Aptos" w:eastAsia="Aptos"/>
          <w:b w:val="0"/>
          <w:i w:val="0"/>
          <w:color w:val="0A1628"/>
          <w:sz w:val="20"/>
        </w:rPr>
        <w:t>Marketing Performance</w:t>
      </w:r>
    </w:p>
    <w:p>
      <w:pPr>
        <w:pStyle w:val="ListBullet"/>
        <w:ind w:left="0"/>
      </w:pPr>
      <w:r>
        <w:rPr>
          <w:rFonts w:ascii="Aptos" w:hAnsi="Aptos" w:eastAsia="Aptos"/>
          <w:b w:val="0"/>
          <w:i w:val="0"/>
          <w:color w:val="0A1628"/>
          <w:sz w:val="20"/>
        </w:rPr>
        <w:t>Customer Service</w:t>
      </w:r>
    </w:p>
    <w:p>
      <w:pPr>
        <w:pStyle w:val="ListBullet"/>
        <w:ind w:left="0"/>
      </w:pPr>
      <w:r>
        <w:rPr>
          <w:rFonts w:ascii="Aptos" w:hAnsi="Aptos" w:eastAsia="Aptos"/>
          <w:b w:val="0"/>
          <w:i w:val="0"/>
          <w:color w:val="0A1628"/>
          <w:sz w:val="20"/>
        </w:rPr>
        <w:t>Daily Operations</w:t>
      </w:r>
    </w:p>
    <w:p>
      <w:pPr>
        <w:pStyle w:val="ListBullet"/>
        <w:ind w:left="0"/>
      </w:pPr>
      <w:r>
        <w:rPr>
          <w:rFonts w:ascii="Aptos" w:hAnsi="Aptos" w:eastAsia="Aptos"/>
          <w:b w:val="0"/>
          <w:i w:val="0"/>
          <w:color w:val="0A1628"/>
          <w:sz w:val="20"/>
        </w:rPr>
        <w:t>Plans &amp; Policies</w:t>
      </w:r>
    </w:p>
    <w:p>
      <w:pPr>
        <w:pStyle w:val="Heading3"/>
        <w:keepNext/>
      </w:pPr>
      <w:r>
        <w:rPr>
          <w:rFonts w:ascii="Aptos" w:hAnsi="Aptos" w:eastAsia="Aptos"/>
          <w:b w:val="0"/>
          <w:i w:val="0"/>
          <w:color w:val="0A1628"/>
          <w:sz w:val="20"/>
        </w:rPr>
        <w:t>14.4 Core metrics</w:t>
      </w:r>
    </w:p>
    <w:p>
      <w:pPr>
        <w:pStyle w:val="ListBullet"/>
        <w:ind w:left="0"/>
      </w:pPr>
      <w:r>
        <w:rPr>
          <w:rFonts w:ascii="Aptos" w:hAnsi="Aptos" w:eastAsia="Aptos"/>
          <w:b w:val="0"/>
          <w:i w:val="0"/>
          <w:color w:val="0A1628"/>
          <w:sz w:val="20"/>
        </w:rPr>
        <w:t>Daily, weekly, and monthly parcel volume.</w:t>
      </w:r>
    </w:p>
    <w:p>
      <w:pPr>
        <w:pStyle w:val="ListBullet"/>
        <w:ind w:left="0"/>
      </w:pPr>
      <w:r>
        <w:rPr>
          <w:rFonts w:ascii="Aptos" w:hAnsi="Aptos" w:eastAsia="Aptos"/>
          <w:b w:val="0"/>
          <w:i w:val="0"/>
          <w:color w:val="0A1628"/>
          <w:sz w:val="20"/>
        </w:rPr>
        <w:t>New merchants acquired.</w:t>
      </w:r>
    </w:p>
    <w:p>
      <w:pPr>
        <w:pStyle w:val="ListBullet"/>
        <w:ind w:left="0"/>
      </w:pPr>
      <w:r>
        <w:rPr>
          <w:rFonts w:ascii="Aptos" w:hAnsi="Aptos" w:eastAsia="Aptos"/>
          <w:b w:val="0"/>
          <w:i w:val="0"/>
          <w:color w:val="0A1628"/>
          <w:sz w:val="20"/>
        </w:rPr>
        <w:t>Active, dormant, and lost merchants.</w:t>
      </w:r>
    </w:p>
    <w:p>
      <w:pPr>
        <w:pStyle w:val="ListBullet"/>
        <w:ind w:left="0"/>
      </w:pPr>
      <w:r>
        <w:rPr>
          <w:rFonts w:ascii="Aptos" w:hAnsi="Aptos" w:eastAsia="Aptos"/>
          <w:b w:val="0"/>
          <w:i w:val="0"/>
          <w:color w:val="0A1628"/>
          <w:sz w:val="20"/>
        </w:rPr>
        <w:t>Merchant ranking and volume share.</w:t>
      </w:r>
    </w:p>
    <w:p>
      <w:pPr>
        <w:pStyle w:val="ListBullet"/>
        <w:ind w:left="0"/>
      </w:pPr>
      <w:r>
        <w:rPr>
          <w:rFonts w:ascii="Aptos" w:hAnsi="Aptos" w:eastAsia="Aptos"/>
          <w:b w:val="0"/>
          <w:i w:val="0"/>
          <w:color w:val="0A1628"/>
          <w:sz w:val="20"/>
        </w:rPr>
        <w:t>Pipeline count and value by stage.</w:t>
      </w:r>
    </w:p>
    <w:p>
      <w:pPr>
        <w:pStyle w:val="ListBullet"/>
        <w:ind w:left="0"/>
      </w:pPr>
      <w:r>
        <w:rPr>
          <w:rFonts w:ascii="Aptos" w:hAnsi="Aptos" w:eastAsia="Aptos"/>
          <w:b w:val="0"/>
          <w:i w:val="0"/>
          <w:color w:val="0A1628"/>
          <w:sz w:val="20"/>
        </w:rPr>
        <w:t>Prospect-to-merchant conversion.</w:t>
      </w:r>
    </w:p>
    <w:p>
      <w:pPr>
        <w:pStyle w:val="ListBullet"/>
        <w:ind w:left="0"/>
      </w:pPr>
      <w:r>
        <w:rPr>
          <w:rFonts w:ascii="Aptos" w:hAnsi="Aptos" w:eastAsia="Aptos"/>
          <w:b w:val="0"/>
          <w:i w:val="0"/>
          <w:color w:val="0A1628"/>
          <w:sz w:val="20"/>
        </w:rPr>
        <w:t>Merchant onboarding progress.</w:t>
      </w:r>
    </w:p>
    <w:p>
      <w:pPr>
        <w:pStyle w:val="ListBullet"/>
        <w:ind w:left="0"/>
      </w:pPr>
      <w:r>
        <w:rPr>
          <w:rFonts w:ascii="Aptos" w:hAnsi="Aptos" w:eastAsia="Aptos"/>
          <w:b w:val="0"/>
          <w:i w:val="0"/>
          <w:color w:val="0A1628"/>
          <w:sz w:val="20"/>
        </w:rPr>
        <w:t>Marketing leads and conversions.</w:t>
      </w:r>
    </w:p>
    <w:p>
      <w:pPr>
        <w:pStyle w:val="ListBullet"/>
        <w:ind w:left="0"/>
      </w:pPr>
      <w:r>
        <w:rPr>
          <w:rFonts w:ascii="Aptos" w:hAnsi="Aptos" w:eastAsia="Aptos"/>
          <w:b w:val="0"/>
          <w:i w:val="0"/>
          <w:color w:val="0A1628"/>
          <w:sz w:val="20"/>
        </w:rPr>
        <w:t>Complaint count and closure time.</w:t>
      </w:r>
    </w:p>
    <w:p>
      <w:pPr>
        <w:pStyle w:val="ListBullet"/>
        <w:ind w:left="0"/>
      </w:pPr>
      <w:r>
        <w:rPr>
          <w:rFonts w:ascii="Aptos" w:hAnsi="Aptos" w:eastAsia="Aptos"/>
          <w:b w:val="0"/>
          <w:i w:val="0"/>
          <w:color w:val="0A1628"/>
          <w:sz w:val="20"/>
        </w:rPr>
        <w:t>Failed deliveries and exception reasons.</w:t>
      </w:r>
    </w:p>
    <w:p>
      <w:pPr>
        <w:pStyle w:val="ListBullet"/>
        <w:ind w:left="0"/>
      </w:pPr>
      <w:r>
        <w:rPr>
          <w:rFonts w:ascii="Aptos" w:hAnsi="Aptos" w:eastAsia="Aptos"/>
          <w:b w:val="0"/>
          <w:i w:val="0"/>
          <w:color w:val="0A1628"/>
          <w:sz w:val="20"/>
        </w:rPr>
        <w:t>COD collection and settlement performance.</w:t>
      </w:r>
    </w:p>
    <w:p>
      <w:pPr>
        <w:pStyle w:val="ListBullet"/>
        <w:ind w:left="0"/>
      </w:pPr>
      <w:r>
        <w:rPr>
          <w:rFonts w:ascii="Aptos" w:hAnsi="Aptos" w:eastAsia="Aptos"/>
          <w:b w:val="0"/>
          <w:i w:val="0"/>
          <w:color w:val="0A1628"/>
          <w:sz w:val="20"/>
        </w:rPr>
        <w:t>Branch and township growth.</w:t>
      </w:r>
    </w:p>
    <w:p>
      <w:pPr>
        <w:pStyle w:val="ListBullet"/>
        <w:ind w:left="0"/>
      </w:pPr>
      <w:r>
        <w:rPr>
          <w:rFonts w:ascii="Aptos" w:hAnsi="Aptos" w:eastAsia="Aptos"/>
          <w:b w:val="0"/>
          <w:i w:val="0"/>
          <w:color w:val="0A1628"/>
          <w:sz w:val="20"/>
        </w:rPr>
        <w:t>Target versus actual.</w:t>
      </w:r>
    </w:p>
    <w:p>
      <w:pPr>
        <w:pStyle w:val="ListBullet"/>
        <w:ind w:left="0"/>
      </w:pPr>
      <w:r>
        <w:rPr>
          <w:rFonts w:ascii="Aptos" w:hAnsi="Aptos" w:eastAsia="Aptos"/>
          <w:b w:val="0"/>
          <w:i w:val="0"/>
          <w:color w:val="0A1628"/>
          <w:sz w:val="20"/>
        </w:rPr>
        <w:t>Forecasted volume.</w:t>
      </w:r>
    </w:p>
    <w:p>
      <w:pPr>
        <w:pStyle w:val="ListBullet"/>
        <w:ind w:left="0"/>
      </w:pPr>
      <w:r>
        <w:rPr>
          <w:rFonts w:ascii="Aptos" w:hAnsi="Aptos" w:eastAsia="Aptos"/>
          <w:b w:val="0"/>
          <w:i w:val="0"/>
          <w:color w:val="0A1628"/>
          <w:sz w:val="20"/>
        </w:rPr>
        <w:t>Operational capacity warnings.</w:t>
      </w:r>
    </w:p>
    <w:p>
      <w:pPr>
        <w:pStyle w:val="Heading3"/>
        <w:keepNext/>
      </w:pPr>
      <w:r>
        <w:rPr>
          <w:rFonts w:ascii="Aptos" w:hAnsi="Aptos" w:eastAsia="Aptos"/>
          <w:b w:val="0"/>
          <w:i w:val="0"/>
          <w:color w:val="0A1628"/>
          <w:sz w:val="20"/>
        </w:rPr>
        <w:t>14.5 Plans and policies</w:t>
      </w:r>
    </w:p>
    <w:p>
      <w:r>
        <w:rPr>
          <w:rFonts w:ascii="Aptos" w:hAnsi="Aptos" w:eastAsia="Aptos"/>
          <w:b w:val="0"/>
          <w:i w:val="0"/>
          <w:color w:val="0A1628"/>
          <w:sz w:val="20"/>
        </w:rPr>
        <w:t>Create records with:</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owner_employee_id</w:t>
              <w:br/>
              <w:t>department_code</w:t>
              <w:br/>
              <w:t>title</w:t>
              <w:br/>
              <w:t>description</w:t>
              <w:br/>
              <w:t>target_date</w:t>
              <w:br/>
              <w:t>kpi_code</w:t>
              <w:br/>
              <w:t>target_value</w:t>
              <w:br/>
              <w:t>current_result</w:t>
              <w:br/>
              <w:t>status</w:t>
              <w:br/>
              <w:t>review_note</w:t>
              <w:br/>
              <w:t>approval_status</w:t>
              <w:br/>
              <w:t>approved_by</w:t>
              <w:br/>
              <w:t>approved_at</w:t>
            </w:r>
          </w:p>
        </w:tc>
      </w:tr>
    </w:tbl>
    <w:p>
      <w:pPr>
        <w:spacing w:after="0"/>
      </w:pPr>
    </w:p>
    <w:p>
      <w:r>
        <w:rPr>
          <w:rFonts w:ascii="Aptos" w:hAnsi="Aptos" w:eastAsia="Aptos"/>
          <w:b w:val="0"/>
          <w:i w:val="0"/>
          <w:color w:val="0A1628"/>
          <w:sz w:val="20"/>
        </w:rPr>
        <w:t>Mutation RPCs: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be_bd_plan_create_v54</w:t>
              <w:br/>
              <w:t>be_bd_plan_update_v54</w:t>
              <w:br/>
              <w:t>be_bd_plan_submit_v54</w:t>
              <w:br/>
              <w:t>be_bd_plan_approve_v54</w:t>
              <w:br/>
              <w:t>be_bd_plan_reject_v54</w:t>
            </w:r>
          </w:p>
        </w:tc>
      </w:tr>
    </w:tbl>
    <w:p>
      <w:pPr>
        <w:spacing w:after="0"/>
      </w:pPr>
    </w:p>
    <w:p>
      <w:pPr>
        <w:pStyle w:val="Heading3"/>
        <w:keepNext/>
      </w:pPr>
      <w:r>
        <w:rPr>
          <w:rFonts w:ascii="Aptos" w:hAnsi="Aptos" w:eastAsia="Aptos"/>
          <w:b w:val="0"/>
          <w:i w:val="0"/>
          <w:color w:val="0A1628"/>
          <w:sz w:val="20"/>
        </w:rPr>
        <w:t>14.6 Acceptance criteria</w:t>
      </w:r>
    </w:p>
    <w:p>
      <w:pPr>
        <w:pStyle w:val="ListBullet"/>
        <w:ind w:left="0"/>
      </w:pPr>
      <w:r>
        <w:rPr>
          <w:rFonts w:ascii="Aptos" w:hAnsi="Aptos" w:eastAsia="Aptos"/>
          <w:b w:val="0"/>
          <w:i w:val="0"/>
          <w:color w:val="0A1628"/>
          <w:sz w:val="20"/>
        </w:rPr>
        <w:t>No KPI is hardcoded.</w:t>
      </w:r>
    </w:p>
    <w:p>
      <w:pPr>
        <w:pStyle w:val="ListBullet"/>
        <w:ind w:left="0"/>
      </w:pPr>
      <w:r>
        <w:rPr>
          <w:rFonts w:ascii="Aptos" w:hAnsi="Aptos" w:eastAsia="Aptos"/>
          <w:b w:val="0"/>
          <w:i w:val="0"/>
          <w:color w:val="0A1628"/>
          <w:sz w:val="20"/>
        </w:rPr>
        <w:t>Every metric contains a defined source and date range.</w:t>
      </w:r>
    </w:p>
    <w:p>
      <w:pPr>
        <w:pStyle w:val="ListBullet"/>
        <w:ind w:left="0"/>
      </w:pPr>
      <w:r>
        <w:rPr>
          <w:rFonts w:ascii="Aptos" w:hAnsi="Aptos" w:eastAsia="Aptos"/>
          <w:b w:val="0"/>
          <w:i w:val="0"/>
          <w:color w:val="0A1628"/>
          <w:sz w:val="20"/>
        </w:rPr>
        <w:t>Merchant counts reconcile to the merchant master and parcel facts.</w:t>
      </w:r>
    </w:p>
    <w:p>
      <w:pPr>
        <w:pStyle w:val="ListBullet"/>
        <w:ind w:left="0"/>
      </w:pPr>
      <w:r>
        <w:rPr>
          <w:rFonts w:ascii="Aptos" w:hAnsi="Aptos" w:eastAsia="Aptos"/>
          <w:b w:val="0"/>
          <w:i w:val="0"/>
          <w:color w:val="0A1628"/>
          <w:sz w:val="20"/>
        </w:rPr>
        <w:t>Drill-down totals equal dashboard totals.</w:t>
      </w:r>
    </w:p>
    <w:p>
      <w:pPr>
        <w:pStyle w:val="ListBullet"/>
        <w:ind w:left="0"/>
      </w:pPr>
      <w:r>
        <w:rPr>
          <w:rFonts w:ascii="Aptos" w:hAnsi="Aptos" w:eastAsia="Aptos"/>
          <w:b w:val="0"/>
          <w:i w:val="0"/>
          <w:color w:val="0A1628"/>
          <w:sz w:val="20"/>
        </w:rPr>
        <w:t>Empty states distinguish "no records" from "RPC failed".</w:t>
      </w:r>
    </w:p>
    <w:p>
      <w:pPr>
        <w:pStyle w:val="ListBullet"/>
        <w:ind w:left="0"/>
      </w:pPr>
      <w:r>
        <w:rPr>
          <w:rFonts w:ascii="Aptos" w:hAnsi="Aptos" w:eastAsia="Aptos"/>
          <w:b w:val="0"/>
          <w:i w:val="0"/>
          <w:color w:val="0A1628"/>
          <w:sz w:val="20"/>
        </w:rPr>
        <w:t>Exported reports use the same filtered dataset as the UI.</w:t>
      </w:r>
    </w:p>
    <w:p>
      <w:pPr>
        <w:pStyle w:val="Heading2"/>
        <w:keepNext/>
      </w:pPr>
      <w:r>
        <w:rPr>
          <w:rFonts w:ascii="Aptos" w:hAnsi="Aptos" w:eastAsia="Aptos"/>
          <w:b w:val="0"/>
          <w:i w:val="0"/>
          <w:color w:val="0A1628"/>
          <w:sz w:val="20"/>
        </w:rPr>
        <w:t>15. Live Marketing and Marketing Portal</w:t>
      </w:r>
    </w:p>
    <w:p>
      <w:pPr>
        <w:pStyle w:val="Heading3"/>
        <w:keepNext/>
      </w:pPr>
      <w:r>
        <w:rPr>
          <w:rFonts w:ascii="Aptos" w:hAnsi="Aptos" w:eastAsia="Aptos"/>
          <w:b w:val="0"/>
          <w:i w:val="0"/>
          <w:color w:val="0A1628"/>
          <w:sz w:val="20"/>
        </w:rPr>
        <w:t>15.1 Live Marketing purpose</w:t>
      </w:r>
    </w:p>
    <w:p>
      <w:r>
        <w:rPr>
          <w:rFonts w:ascii="Aptos" w:hAnsi="Aptos" w:eastAsia="Aptos"/>
          <w:b w:val="0"/>
          <w:i w:val="0"/>
          <w:color w:val="0A1628"/>
          <w:sz w:val="20"/>
        </w:rPr>
        <w:t xml:space="preserve">Route: </w:t>
      </w:r>
      <w:r>
        <w:rPr>
          <w:rFonts w:ascii="Consolas" w:hAnsi="Consolas" w:eastAsia="Consolas"/>
          <w:b w:val="0"/>
          <w:i w:val="0"/>
          <w:color w:val="0A1628"/>
          <w:sz w:val="17"/>
          <w:shd w:fill="EEF2F6"/>
        </w:rPr>
        <w:t>/marketing</w:t>
      </w:r>
    </w:p>
    <w:p>
      <w:r>
        <w:rPr>
          <w:rFonts w:ascii="Aptos" w:hAnsi="Aptos" w:eastAsia="Aptos"/>
          <w:b w:val="0"/>
          <w:i w:val="0"/>
          <w:color w:val="0A1628"/>
          <w:sz w:val="20"/>
        </w:rPr>
        <w:t>Purpose: analytical performance dashboard based on real merchant, parcel, campaign, finance, branch, and township facts.</w:t>
      </w:r>
    </w:p>
    <w:p>
      <w:r>
        <w:rPr>
          <w:rFonts w:ascii="Aptos" w:hAnsi="Aptos" w:eastAsia="Aptos"/>
          <w:b w:val="0"/>
          <w:i w:val="0"/>
          <w:color w:val="0A1628"/>
          <w:sz w:val="20"/>
        </w:rPr>
        <w:t>Create: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be_live_marketing_snapshot_v54(p_payload jsonb)</w:t>
            </w:r>
          </w:p>
        </w:tc>
      </w:tr>
    </w:tbl>
    <w:p>
      <w:pPr>
        <w:spacing w:after="0"/>
      </w:pPr>
    </w:p>
    <w:p>
      <w:r>
        <w:rPr>
          <w:rFonts w:ascii="Aptos" w:hAnsi="Aptos" w:eastAsia="Aptos"/>
          <w:b w:val="0"/>
          <w:i w:val="0"/>
          <w:color w:val="0A1628"/>
          <w:sz w:val="20"/>
        </w:rPr>
        <w:t>Required content:</w:t>
      </w:r>
    </w:p>
    <w:p>
      <w:pPr>
        <w:pStyle w:val="ListBullet"/>
        <w:ind w:left="0"/>
      </w:pPr>
      <w:r>
        <w:rPr>
          <w:rFonts w:ascii="Aptos" w:hAnsi="Aptos" w:eastAsia="Aptos"/>
          <w:b w:val="0"/>
          <w:i w:val="0"/>
          <w:color w:val="0A1628"/>
          <w:sz w:val="20"/>
        </w:rPr>
        <w:t>Merchant ranking highest to lowest.</w:t>
      </w:r>
    </w:p>
    <w:p>
      <w:pPr>
        <w:pStyle w:val="ListBullet"/>
        <w:ind w:left="0"/>
      </w:pPr>
      <w:r>
        <w:rPr>
          <w:rFonts w:ascii="Aptos" w:hAnsi="Aptos" w:eastAsia="Aptos"/>
          <w:b w:val="0"/>
          <w:i w:val="0"/>
          <w:color w:val="0A1628"/>
          <w:sz w:val="20"/>
        </w:rPr>
        <w:t>Merchant volume share.</w:t>
      </w:r>
    </w:p>
    <w:p>
      <w:pPr>
        <w:pStyle w:val="ListBullet"/>
        <w:ind w:left="0"/>
      </w:pPr>
      <w:r>
        <w:rPr>
          <w:rFonts w:ascii="Aptos" w:hAnsi="Aptos" w:eastAsia="Aptos"/>
          <w:b w:val="0"/>
          <w:i w:val="0"/>
          <w:color w:val="0A1628"/>
          <w:sz w:val="20"/>
        </w:rPr>
        <w:t>Daily, weekly, and monthly volume.</w:t>
      </w:r>
    </w:p>
    <w:p>
      <w:pPr>
        <w:pStyle w:val="ListBullet"/>
        <w:ind w:left="0"/>
      </w:pPr>
      <w:r>
        <w:rPr>
          <w:rFonts w:ascii="Aptos" w:hAnsi="Aptos" w:eastAsia="Aptos"/>
          <w:b w:val="0"/>
          <w:i w:val="0"/>
          <w:color w:val="0A1628"/>
          <w:sz w:val="20"/>
        </w:rPr>
        <w:t>Sales target versus actual.</w:t>
      </w:r>
    </w:p>
    <w:p>
      <w:pPr>
        <w:pStyle w:val="ListBullet"/>
        <w:ind w:left="0"/>
      </w:pPr>
      <w:r>
        <w:rPr>
          <w:rFonts w:ascii="Aptos" w:hAnsi="Aptos" w:eastAsia="Aptos"/>
          <w:b w:val="0"/>
          <w:i w:val="0"/>
          <w:color w:val="0A1628"/>
          <w:sz w:val="20"/>
        </w:rPr>
        <w:t>Achievement percentage.</w:t>
      </w:r>
    </w:p>
    <w:p>
      <w:pPr>
        <w:pStyle w:val="ListBullet"/>
        <w:ind w:left="0"/>
      </w:pPr>
      <w:r>
        <w:rPr>
          <w:rFonts w:ascii="Aptos" w:hAnsi="Aptos" w:eastAsia="Aptos"/>
          <w:b w:val="0"/>
          <w:i w:val="0"/>
          <w:color w:val="0A1628"/>
          <w:sz w:val="20"/>
        </w:rPr>
        <w:t>Merchant acquisition trend.</w:t>
      </w:r>
    </w:p>
    <w:p>
      <w:pPr>
        <w:pStyle w:val="ListBullet"/>
        <w:ind w:left="0"/>
      </w:pPr>
      <w:r>
        <w:rPr>
          <w:rFonts w:ascii="Aptos" w:hAnsi="Aptos" w:eastAsia="Aptos"/>
          <w:b w:val="0"/>
          <w:i w:val="0"/>
          <w:color w:val="0A1628"/>
          <w:sz w:val="20"/>
        </w:rPr>
        <w:t>Active versus dormant percentages.</w:t>
      </w:r>
    </w:p>
    <w:p>
      <w:pPr>
        <w:pStyle w:val="ListBullet"/>
        <w:ind w:left="0"/>
      </w:pPr>
      <w:r>
        <w:rPr>
          <w:rFonts w:ascii="Aptos" w:hAnsi="Aptos" w:eastAsia="Aptos"/>
          <w:b w:val="0"/>
          <w:i w:val="0"/>
          <w:color w:val="0A1628"/>
          <w:sz w:val="20"/>
        </w:rPr>
        <w:t>Revenue and COD contribution.</w:t>
      </w:r>
    </w:p>
    <w:p>
      <w:pPr>
        <w:pStyle w:val="ListBullet"/>
        <w:ind w:left="0"/>
      </w:pPr>
      <w:r>
        <w:rPr>
          <w:rFonts w:ascii="Aptos" w:hAnsi="Aptos" w:eastAsia="Aptos"/>
          <w:b w:val="0"/>
          <w:i w:val="0"/>
          <w:color w:val="0A1628"/>
          <w:sz w:val="20"/>
        </w:rPr>
        <w:t>Branch and township breakdown.</w:t>
      </w:r>
    </w:p>
    <w:p>
      <w:pPr>
        <w:pStyle w:val="ListBullet"/>
        <w:ind w:left="0"/>
      </w:pPr>
      <w:r>
        <w:rPr>
          <w:rFonts w:ascii="Aptos" w:hAnsi="Aptos" w:eastAsia="Aptos"/>
          <w:b w:val="0"/>
          <w:i w:val="0"/>
          <w:color w:val="0A1628"/>
          <w:sz w:val="20"/>
        </w:rPr>
        <w:t>Fastest-growing and declining merchants.</w:t>
      </w:r>
    </w:p>
    <w:p>
      <w:pPr>
        <w:pStyle w:val="ListBullet"/>
        <w:ind w:left="0"/>
      </w:pPr>
      <w:r>
        <w:rPr>
          <w:rFonts w:ascii="Aptos" w:hAnsi="Aptos" w:eastAsia="Aptos"/>
          <w:b w:val="0"/>
          <w:i w:val="0"/>
          <w:color w:val="0A1628"/>
          <w:sz w:val="20"/>
        </w:rPr>
        <w:t>Campaign-attributed parcels.</w:t>
      </w:r>
    </w:p>
    <w:p>
      <w:pPr>
        <w:pStyle w:val="ListBullet"/>
        <w:ind w:left="0"/>
      </w:pPr>
      <w:r>
        <w:rPr>
          <w:rFonts w:ascii="Aptos" w:hAnsi="Aptos" w:eastAsia="Aptos"/>
          <w:b w:val="0"/>
          <w:i w:val="0"/>
          <w:color w:val="0A1628"/>
          <w:sz w:val="20"/>
        </w:rPr>
        <w:t>Exportable merchant performance report.</w:t>
      </w:r>
    </w:p>
    <w:p>
      <w:r>
        <w:rPr>
          <w:rFonts w:ascii="Aptos" w:hAnsi="Aptos" w:eastAsia="Aptos"/>
          <w:b w:val="0"/>
          <w:i w:val="0"/>
          <w:color w:val="0A1628"/>
          <w:sz w:val="20"/>
        </w:rPr>
        <w:t>Use Recharts for supported visualizations, but tables and exports must remain available for exact values.</w:t>
      </w:r>
    </w:p>
    <w:p>
      <w:pPr>
        <w:pStyle w:val="Heading3"/>
        <w:keepNext/>
      </w:pPr>
      <w:r>
        <w:rPr>
          <w:rFonts w:ascii="Aptos" w:hAnsi="Aptos" w:eastAsia="Aptos"/>
          <w:b w:val="0"/>
          <w:i w:val="0"/>
          <w:color w:val="0A1628"/>
          <w:sz w:val="20"/>
        </w:rPr>
        <w:t>15.2 Marketing Portal purpose</w:t>
      </w:r>
    </w:p>
    <w:p>
      <w:r>
        <w:rPr>
          <w:rFonts w:ascii="Aptos" w:hAnsi="Aptos" w:eastAsia="Aptos"/>
          <w:b w:val="0"/>
          <w:i w:val="0"/>
          <w:color w:val="0A1628"/>
          <w:sz w:val="20"/>
        </w:rPr>
        <w:t xml:space="preserve">Route: </w:t>
      </w:r>
      <w:r>
        <w:rPr>
          <w:rFonts w:ascii="Consolas" w:hAnsi="Consolas" w:eastAsia="Consolas"/>
          <w:b w:val="0"/>
          <w:i w:val="0"/>
          <w:color w:val="0A1628"/>
          <w:sz w:val="17"/>
          <w:shd w:fill="EEF2F6"/>
        </w:rPr>
        <w:t>/marketing-portal</w:t>
      </w:r>
    </w:p>
    <w:p>
      <w:r>
        <w:rPr>
          <w:rFonts w:ascii="Aptos" w:hAnsi="Aptos" w:eastAsia="Aptos"/>
          <w:b w:val="0"/>
          <w:i w:val="0"/>
          <w:color w:val="0A1628"/>
          <w:sz w:val="20"/>
        </w:rPr>
        <w:t>Purpose: manage the Marketing team's plans, activities, visits, leads, campaigns, evidence, approvals, and employee performance.</w:t>
      </w:r>
    </w:p>
    <w:p>
      <w:r>
        <w:rPr>
          <w:rFonts w:ascii="Aptos" w:hAnsi="Aptos" w:eastAsia="Aptos"/>
          <w:b w:val="0"/>
          <w:i w:val="0"/>
          <w:color w:val="0A1628"/>
          <w:sz w:val="20"/>
        </w:rPr>
        <w:t>Create snapshot RPC:</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be_marketing_portal_snapshot_v54(p_payload jsonb)</w:t>
            </w:r>
          </w:p>
        </w:tc>
      </w:tr>
    </w:tbl>
    <w:p>
      <w:pPr>
        <w:spacing w:after="0"/>
      </w:pPr>
    </w:p>
    <w:p>
      <w:r>
        <w:rPr>
          <w:rFonts w:ascii="Aptos" w:hAnsi="Aptos" w:eastAsia="Aptos"/>
          <w:b w:val="0"/>
          <w:i w:val="0"/>
          <w:color w:val="0A1628"/>
          <w:sz w:val="20"/>
        </w:rPr>
        <w:t>Create mutation RPCs: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be_marketing_plan_create_v54</w:t>
              <w:br/>
              <w:t>be_marketing_plan_update_v54</w:t>
              <w:br/>
              <w:t>be_marketing_activity_log_v54</w:t>
              <w:br/>
              <w:t>be_marketing_visit_record_v54</w:t>
              <w:br/>
              <w:t>be_marketing_lead_create_v54</w:t>
              <w:br/>
              <w:t>be_marketing_followup_update_v54</w:t>
              <w:br/>
              <w:t>be_marketing_campaign_save_v54</w:t>
              <w:br/>
              <w:t>be_marketing_report_submit_v54</w:t>
              <w:br/>
              <w:t>be_marketing_manager_review_v54</w:t>
            </w:r>
          </w:p>
        </w:tc>
      </w:tr>
    </w:tbl>
    <w:p>
      <w:pPr>
        <w:spacing w:after="0"/>
      </w:pPr>
    </w:p>
    <w:p>
      <w:pPr>
        <w:pStyle w:val="Heading3"/>
        <w:keepNext/>
      </w:pPr>
      <w:r>
        <w:rPr>
          <w:rFonts w:ascii="Aptos" w:hAnsi="Aptos" w:eastAsia="Aptos"/>
          <w:b w:val="0"/>
          <w:i w:val="0"/>
          <w:color w:val="0A1628"/>
          <w:sz w:val="20"/>
        </w:rPr>
        <w:t>15.3 Required operational fields</w:t>
      </w:r>
    </w:p>
    <w:p>
      <w:pPr>
        <w:pStyle w:val="ListBullet"/>
        <w:ind w:left="0"/>
      </w:pPr>
      <w:r>
        <w:rPr>
          <w:rFonts w:ascii="Aptos" w:hAnsi="Aptos" w:eastAsia="Aptos"/>
          <w:b w:val="0"/>
          <w:i w:val="0"/>
          <w:color w:val="0A1628"/>
          <w:sz w:val="20"/>
        </w:rPr>
        <w:t>Employee.</w:t>
      </w:r>
    </w:p>
    <w:p>
      <w:pPr>
        <w:pStyle w:val="ListBullet"/>
        <w:ind w:left="0"/>
      </w:pPr>
      <w:r>
        <w:rPr>
          <w:rFonts w:ascii="Aptos" w:hAnsi="Aptos" w:eastAsia="Aptos"/>
          <w:b w:val="0"/>
          <w:i w:val="0"/>
          <w:color w:val="0A1628"/>
          <w:sz w:val="20"/>
        </w:rPr>
        <w:t>Plan date.</w:t>
      </w:r>
    </w:p>
    <w:p>
      <w:pPr>
        <w:pStyle w:val="ListBullet"/>
        <w:ind w:left="0"/>
      </w:pPr>
      <w:r>
        <w:rPr>
          <w:rFonts w:ascii="Aptos" w:hAnsi="Aptos" w:eastAsia="Aptos"/>
          <w:b w:val="0"/>
          <w:i w:val="0"/>
          <w:color w:val="0A1628"/>
          <w:sz w:val="20"/>
        </w:rPr>
        <w:t>Planned activity.</w:t>
      </w:r>
    </w:p>
    <w:p>
      <w:pPr>
        <w:pStyle w:val="ListBullet"/>
        <w:ind w:left="0"/>
      </w:pPr>
      <w:r>
        <w:rPr>
          <w:rFonts w:ascii="Aptos" w:hAnsi="Aptos" w:eastAsia="Aptos"/>
          <w:b w:val="0"/>
          <w:i w:val="0"/>
          <w:color w:val="0A1628"/>
          <w:sz w:val="20"/>
        </w:rPr>
        <w:t>Actual activity.</w:t>
      </w:r>
    </w:p>
    <w:p>
      <w:pPr>
        <w:pStyle w:val="ListBullet"/>
        <w:ind w:left="0"/>
      </w:pPr>
      <w:r>
        <w:rPr>
          <w:rFonts w:ascii="Aptos" w:hAnsi="Aptos" w:eastAsia="Aptos"/>
          <w:b w:val="0"/>
          <w:i w:val="0"/>
          <w:color w:val="0A1628"/>
          <w:sz w:val="20"/>
        </w:rPr>
        <w:t>Merchant visited.</w:t>
      </w:r>
    </w:p>
    <w:p>
      <w:pPr>
        <w:pStyle w:val="ListBullet"/>
        <w:ind w:left="0"/>
      </w:pPr>
      <w:r>
        <w:rPr>
          <w:rFonts w:ascii="Aptos" w:hAnsi="Aptos" w:eastAsia="Aptos"/>
          <w:b w:val="0"/>
          <w:i w:val="0"/>
          <w:color w:val="0A1628"/>
          <w:sz w:val="20"/>
        </w:rPr>
        <w:t>Lead created.</w:t>
      </w:r>
    </w:p>
    <w:p>
      <w:pPr>
        <w:pStyle w:val="ListBullet"/>
        <w:ind w:left="0"/>
      </w:pPr>
      <w:r>
        <w:rPr>
          <w:rFonts w:ascii="Aptos" w:hAnsi="Aptos" w:eastAsia="Aptos"/>
          <w:b w:val="0"/>
          <w:i w:val="0"/>
          <w:color w:val="0A1628"/>
          <w:sz w:val="20"/>
        </w:rPr>
        <w:t>Lead source.</w:t>
      </w:r>
    </w:p>
    <w:p>
      <w:pPr>
        <w:pStyle w:val="ListBullet"/>
        <w:ind w:left="0"/>
      </w:pPr>
      <w:r>
        <w:rPr>
          <w:rFonts w:ascii="Aptos" w:hAnsi="Aptos" w:eastAsia="Aptos"/>
          <w:b w:val="0"/>
          <w:i w:val="0"/>
          <w:color w:val="0A1628"/>
          <w:sz w:val="20"/>
        </w:rPr>
        <w:t>Follow-up commitment and due date.</w:t>
      </w:r>
    </w:p>
    <w:p>
      <w:pPr>
        <w:pStyle w:val="ListBullet"/>
        <w:ind w:left="0"/>
      </w:pPr>
      <w:r>
        <w:rPr>
          <w:rFonts w:ascii="Aptos" w:hAnsi="Aptos" w:eastAsia="Aptos"/>
          <w:b w:val="0"/>
          <w:i w:val="0"/>
          <w:color w:val="0A1628"/>
          <w:sz w:val="20"/>
        </w:rPr>
        <w:t>Campaign.</w:t>
      </w:r>
    </w:p>
    <w:p>
      <w:pPr>
        <w:pStyle w:val="ListBullet"/>
        <w:ind w:left="0"/>
      </w:pPr>
      <w:r>
        <w:rPr>
          <w:rFonts w:ascii="Aptos" w:hAnsi="Aptos" w:eastAsia="Aptos"/>
          <w:b w:val="0"/>
          <w:i w:val="0"/>
          <w:color w:val="0A1628"/>
          <w:sz w:val="20"/>
        </w:rPr>
        <w:t>Budget.</w:t>
      </w:r>
    </w:p>
    <w:p>
      <w:pPr>
        <w:pStyle w:val="ListBullet"/>
        <w:ind w:left="0"/>
      </w:pPr>
      <w:r>
        <w:rPr>
          <w:rFonts w:ascii="Aptos" w:hAnsi="Aptos" w:eastAsia="Aptos"/>
          <w:b w:val="0"/>
          <w:i w:val="0"/>
          <w:color w:val="0A1628"/>
          <w:sz w:val="20"/>
        </w:rPr>
        <w:t>Target merchants.</w:t>
      </w:r>
    </w:p>
    <w:p>
      <w:pPr>
        <w:pStyle w:val="ListBullet"/>
        <w:ind w:left="0"/>
      </w:pPr>
      <w:r>
        <w:rPr>
          <w:rFonts w:ascii="Aptos" w:hAnsi="Aptos" w:eastAsia="Aptos"/>
          <w:b w:val="0"/>
          <w:i w:val="0"/>
          <w:color w:val="0A1628"/>
          <w:sz w:val="20"/>
        </w:rPr>
        <w:t>Daily and monthly report.</w:t>
      </w:r>
    </w:p>
    <w:p>
      <w:pPr>
        <w:pStyle w:val="ListBullet"/>
        <w:ind w:left="0"/>
      </w:pPr>
      <w:r>
        <w:rPr>
          <w:rFonts w:ascii="Aptos" w:hAnsi="Aptos" w:eastAsia="Aptos"/>
          <w:b w:val="0"/>
          <w:i w:val="0"/>
          <w:color w:val="0A1628"/>
          <w:sz w:val="20"/>
        </w:rPr>
        <w:t>Evidence attachments.</w:t>
      </w:r>
    </w:p>
    <w:p>
      <w:pPr>
        <w:pStyle w:val="ListBullet"/>
        <w:ind w:left="0"/>
      </w:pPr>
      <w:r>
        <w:rPr>
          <w:rFonts w:ascii="Aptos" w:hAnsi="Aptos" w:eastAsia="Aptos"/>
          <w:b w:val="0"/>
          <w:i w:val="0"/>
          <w:color w:val="0A1628"/>
          <w:sz w:val="20"/>
        </w:rPr>
        <w:t>Manager comments.</w:t>
      </w:r>
    </w:p>
    <w:p>
      <w:pPr>
        <w:pStyle w:val="ListBullet"/>
        <w:ind w:left="0"/>
      </w:pPr>
      <w:r>
        <w:rPr>
          <w:rFonts w:ascii="Aptos" w:hAnsi="Aptos" w:eastAsia="Aptos"/>
          <w:b w:val="0"/>
          <w:i w:val="0"/>
          <w:color w:val="0A1628"/>
          <w:sz w:val="20"/>
        </w:rPr>
        <w:t>Approval or rejection status.</w:t>
      </w:r>
    </w:p>
    <w:p>
      <w:pPr>
        <w:pStyle w:val="Heading3"/>
        <w:keepNext/>
      </w:pPr>
      <w:r>
        <w:rPr>
          <w:rFonts w:ascii="Aptos" w:hAnsi="Aptos" w:eastAsia="Aptos"/>
          <w:b w:val="0"/>
          <w:i w:val="0"/>
          <w:color w:val="0A1628"/>
          <w:sz w:val="20"/>
        </w:rPr>
        <w:t>15.4 Acceptance criteria</w:t>
      </w:r>
    </w:p>
    <w:p>
      <w:pPr>
        <w:pStyle w:val="ListBullet"/>
        <w:ind w:left="0"/>
      </w:pPr>
      <w:r>
        <w:rPr>
          <w:rFonts w:ascii="Aptos" w:hAnsi="Aptos" w:eastAsia="Aptos"/>
          <w:b w:val="0"/>
          <w:i w:val="0"/>
          <w:color w:val="0A1628"/>
          <w:sz w:val="20"/>
        </w:rPr>
        <w:t>Remove static leads and KPI values.</w:t>
      </w:r>
    </w:p>
    <w:p>
      <w:pPr>
        <w:pStyle w:val="ListBullet"/>
        <w:ind w:left="0"/>
      </w:pPr>
      <w:r>
        <w:rPr>
          <w:rFonts w:ascii="Aptos" w:hAnsi="Aptos" w:eastAsia="Aptos"/>
          <w:b w:val="0"/>
          <w:i w:val="0"/>
          <w:color w:val="0A1628"/>
          <w:sz w:val="20"/>
        </w:rPr>
        <w:t>Missing RPC data produces a real error state, not demo rows.</w:t>
      </w:r>
    </w:p>
    <w:p>
      <w:pPr>
        <w:pStyle w:val="ListBullet"/>
        <w:ind w:left="0"/>
      </w:pPr>
      <w:r>
        <w:rPr>
          <w:rFonts w:ascii="Aptos" w:hAnsi="Aptos" w:eastAsia="Aptos"/>
          <w:b w:val="0"/>
          <w:i w:val="0"/>
          <w:color w:val="0A1628"/>
          <w:sz w:val="20"/>
        </w:rPr>
        <w:t>Manager approval is server-authorized and audited.</w:t>
      </w:r>
    </w:p>
    <w:p>
      <w:pPr>
        <w:pStyle w:val="ListBullet"/>
        <w:ind w:left="0"/>
      </w:pPr>
      <w:r>
        <w:rPr>
          <w:rFonts w:ascii="Aptos" w:hAnsi="Aptos" w:eastAsia="Aptos"/>
          <w:b w:val="0"/>
          <w:i w:val="0"/>
          <w:color w:val="0A1628"/>
          <w:sz w:val="20"/>
        </w:rPr>
        <w:t>Overdue plans and missing reports are calculated from due dates.</w:t>
      </w:r>
    </w:p>
    <w:p>
      <w:pPr>
        <w:pStyle w:val="ListBullet"/>
        <w:ind w:left="0"/>
      </w:pPr>
      <w:r>
        <w:rPr>
          <w:rFonts w:ascii="Aptos" w:hAnsi="Aptos" w:eastAsia="Aptos"/>
          <w:b w:val="0"/>
          <w:i w:val="0"/>
          <w:color w:val="0A1628"/>
          <w:sz w:val="20"/>
        </w:rPr>
        <w:t>Live Marketing and Marketing Portal do not duplicate responsibilities.</w:t>
      </w:r>
    </w:p>
    <w:p>
      <w:pPr>
        <w:pStyle w:val="Heading2"/>
        <w:keepNext/>
      </w:pPr>
      <w:r>
        <w:rPr>
          <w:rFonts w:ascii="Aptos" w:hAnsi="Aptos" w:eastAsia="Aptos"/>
          <w:b w:val="0"/>
          <w:i w:val="0"/>
          <w:color w:val="0A1628"/>
          <w:sz w:val="20"/>
        </w:rPr>
        <w:t>16. Mobile Operations</w:t>
      </w:r>
    </w:p>
    <w:p>
      <w:pPr>
        <w:pStyle w:val="Heading3"/>
        <w:keepNext/>
      </w:pPr>
      <w:r>
        <w:rPr>
          <w:rFonts w:ascii="Aptos" w:hAnsi="Aptos" w:eastAsia="Aptos"/>
          <w:b w:val="0"/>
          <w:i w:val="0"/>
          <w:color w:val="0A1628"/>
          <w:sz w:val="20"/>
        </w:rPr>
        <w:t>16.1 Route separation</w:t>
      </w:r>
    </w:p>
    <w:p>
      <w:r>
        <w:rPr>
          <w:rFonts w:ascii="Aptos" w:hAnsi="Aptos" w:eastAsia="Aptos"/>
          <w:b w:val="0"/>
          <w:i w:val="0"/>
          <w:color w:val="0A1628"/>
          <w:sz w:val="20"/>
        </w:rPr>
        <w:t>Do not replace the real Rider application with an internal support console.</w:t>
      </w:r>
    </w:p>
    <w:p>
      <w:r>
        <w:rPr>
          <w:rFonts w:ascii="Aptos" w:hAnsi="Aptos" w:eastAsia="Aptos"/>
          <w:b w:val="0"/>
          <w:i w:val="0"/>
          <w:color w:val="0A1628"/>
          <w:sz w:val="20"/>
        </w:rPr>
        <w:t>Recommended routing:</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/rider-app          Field Rider application; rider-scoped access</w:t>
              <w:br/>
              <w:t>/mobile-operations  Internal production support and monitoring console</w:t>
            </w:r>
          </w:p>
        </w:tc>
      </w:tr>
    </w:tbl>
    <w:p>
      <w:pPr>
        <w:spacing w:after="0"/>
      </w:pPr>
    </w:p>
    <w:p>
      <w:r>
        <w:rPr>
          <w:rFonts w:ascii="Aptos" w:hAnsi="Aptos" w:eastAsia="Aptos"/>
          <w:b w:val="0"/>
          <w:i w:val="0"/>
          <w:color w:val="0A1628"/>
          <w:sz w:val="20"/>
        </w:rPr>
        <w:t xml:space="preserve">Update the internal sidebar label from "Mobile Sandbox" to "Mobile Operations" and point it to </w:t>
      </w:r>
      <w:r>
        <w:rPr>
          <w:rFonts w:ascii="Consolas" w:hAnsi="Consolas" w:eastAsia="Consolas"/>
          <w:b w:val="0"/>
          <w:i w:val="0"/>
          <w:color w:val="0A1628"/>
          <w:sz w:val="17"/>
          <w:shd w:fill="EEF2F6"/>
        </w:rPr>
        <w:t>/mobile-operations</w:t>
      </w:r>
      <w:r>
        <w:rPr>
          <w:rFonts w:ascii="Aptos" w:hAnsi="Aptos" w:eastAsia="Aptos"/>
          <w:b w:val="0"/>
          <w:i w:val="0"/>
          <w:color w:val="0A1628"/>
          <w:sz w:val="20"/>
        </w:rPr>
        <w:t>. Hide the field rider route from unrelated internal roles.</w:t>
      </w:r>
    </w:p>
    <w:p>
      <w:pPr>
        <w:pStyle w:val="Heading3"/>
        <w:keepNext/>
      </w:pPr>
      <w:r>
        <w:rPr>
          <w:rFonts w:ascii="Aptos" w:hAnsi="Aptos" w:eastAsia="Aptos"/>
          <w:b w:val="0"/>
          <w:i w:val="0"/>
          <w:color w:val="0A1628"/>
          <w:sz w:val="20"/>
        </w:rPr>
        <w:t>16.2 Snapshot RPC</w:t>
      </w:r>
    </w:p>
    <w:p>
      <w:r>
        <w:rPr>
          <w:rFonts w:ascii="Aptos" w:hAnsi="Aptos" w:eastAsia="Aptos"/>
          <w:b w:val="0"/>
          <w:i w:val="0"/>
          <w:color w:val="0A1628"/>
          <w:sz w:val="20"/>
        </w:rPr>
        <w:t>Create: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be_mobile_operations_snapshot_v54(p_payload jsonb)</w:t>
            </w:r>
          </w:p>
        </w:tc>
      </w:tr>
    </w:tbl>
    <w:p>
      <w:pPr>
        <w:spacing w:after="0"/>
      </w:pPr>
    </w:p>
    <w:p>
      <w:r>
        <w:rPr>
          <w:rFonts w:ascii="Aptos" w:hAnsi="Aptos" w:eastAsia="Aptos"/>
          <w:b w:val="0"/>
          <w:i w:val="0"/>
          <w:color w:val="0A1628"/>
          <w:sz w:val="20"/>
        </w:rPr>
        <w:t>Filters: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workforce_code</w:t>
              <w:br/>
              <w:t>workforce_type</w:t>
              <w:br/>
              <w:t>branch_code</w:t>
              <w:br/>
              <w:t>account_status</w:t>
              <w:br/>
              <w:t>sync_status</w:t>
              <w:br/>
              <w:t>issue_type</w:t>
            </w:r>
          </w:p>
        </w:tc>
      </w:tr>
    </w:tbl>
    <w:p>
      <w:pPr>
        <w:spacing w:after="0"/>
      </w:pPr>
    </w:p>
    <w:p>
      <w:r>
        <w:rPr>
          <w:rFonts w:ascii="Aptos" w:hAnsi="Aptos" w:eastAsia="Aptos"/>
          <w:b w:val="0"/>
          <w:i w:val="0"/>
          <w:color w:val="0A1628"/>
          <w:sz w:val="20"/>
        </w:rPr>
        <w:t>Return:</w:t>
      </w:r>
    </w:p>
    <w:p>
      <w:pPr>
        <w:pStyle w:val="ListBullet"/>
        <w:ind w:left="0"/>
      </w:pPr>
      <w:r>
        <w:rPr>
          <w:rFonts w:ascii="Aptos" w:hAnsi="Aptos" w:eastAsia="Aptos"/>
          <w:b w:val="0"/>
          <w:i w:val="0"/>
          <w:color w:val="0A1628"/>
          <w:sz w:val="20"/>
        </w:rPr>
        <w:t>Resolved rider/driver/helper identity.</w:t>
      </w:r>
    </w:p>
    <w:p>
      <w:pPr>
        <w:pStyle w:val="ListBullet"/>
        <w:ind w:left="0"/>
      </w:pPr>
      <w:r>
        <w:rPr>
          <w:rFonts w:ascii="Aptos" w:hAnsi="Aptos" w:eastAsia="Aptos"/>
          <w:b w:val="0"/>
          <w:i w:val="0"/>
          <w:color w:val="0A1628"/>
          <w:sz w:val="20"/>
        </w:rPr>
        <w:t>Linked account and PIN status.</w:t>
      </w:r>
    </w:p>
    <w:p>
      <w:pPr>
        <w:pStyle w:val="ListBullet"/>
        <w:ind w:left="0"/>
      </w:pPr>
      <w:r>
        <w:rPr>
          <w:rFonts w:ascii="Aptos" w:hAnsi="Aptos" w:eastAsia="Aptos"/>
          <w:b w:val="0"/>
          <w:i w:val="0"/>
          <w:color w:val="0A1628"/>
          <w:sz w:val="20"/>
        </w:rPr>
        <w:t>Assigned pickups.</w:t>
      </w:r>
    </w:p>
    <w:p>
      <w:pPr>
        <w:pStyle w:val="ListBullet"/>
        <w:ind w:left="0"/>
      </w:pPr>
      <w:r>
        <w:rPr>
          <w:rFonts w:ascii="Aptos" w:hAnsi="Aptos" w:eastAsia="Aptos"/>
          <w:b w:val="0"/>
          <w:i w:val="0"/>
          <w:color w:val="0A1628"/>
          <w:sz w:val="20"/>
        </w:rPr>
        <w:t>Assigned wayplans.</w:t>
      </w:r>
    </w:p>
    <w:p>
      <w:pPr>
        <w:pStyle w:val="ListBullet"/>
        <w:ind w:left="0"/>
      </w:pPr>
      <w:r>
        <w:rPr>
          <w:rFonts w:ascii="Aptos" w:hAnsi="Aptos" w:eastAsia="Aptos"/>
          <w:b w:val="0"/>
          <w:i w:val="0"/>
          <w:color w:val="0A1628"/>
          <w:sz w:val="20"/>
        </w:rPr>
        <w:t>Current delivery route.</w:t>
      </w:r>
    </w:p>
    <w:p>
      <w:pPr>
        <w:pStyle w:val="ListBullet"/>
        <w:ind w:left="0"/>
      </w:pPr>
      <w:r>
        <w:rPr>
          <w:rFonts w:ascii="Aptos" w:hAnsi="Aptos" w:eastAsia="Aptos"/>
          <w:b w:val="0"/>
          <w:i w:val="0"/>
          <w:color w:val="0A1628"/>
          <w:sz w:val="20"/>
        </w:rPr>
        <w:t>Device and browser metadata.</w:t>
      </w:r>
    </w:p>
    <w:p>
      <w:pPr>
        <w:pStyle w:val="ListBullet"/>
        <w:ind w:left="0"/>
      </w:pPr>
      <w:r>
        <w:rPr>
          <w:rFonts w:ascii="Aptos" w:hAnsi="Aptos" w:eastAsia="Aptos"/>
          <w:b w:val="0"/>
          <w:i w:val="0"/>
          <w:color w:val="0A1628"/>
          <w:sz w:val="20"/>
        </w:rPr>
        <w:t>GPS permission and latest location.</w:t>
      </w:r>
    </w:p>
    <w:p>
      <w:pPr>
        <w:pStyle w:val="ListBullet"/>
        <w:ind w:left="0"/>
      </w:pPr>
      <w:r>
        <w:rPr>
          <w:rFonts w:ascii="Aptos" w:hAnsi="Aptos" w:eastAsia="Aptos"/>
          <w:b w:val="0"/>
          <w:i w:val="0"/>
          <w:color w:val="0A1628"/>
          <w:sz w:val="20"/>
        </w:rPr>
        <w:t>Camera/photo diagnostics.</w:t>
      </w:r>
    </w:p>
    <w:p>
      <w:pPr>
        <w:pStyle w:val="ListBullet"/>
        <w:ind w:left="0"/>
      </w:pPr>
      <w:r>
        <w:rPr>
          <w:rFonts w:ascii="Aptos" w:hAnsi="Aptos" w:eastAsia="Aptos"/>
          <w:b w:val="0"/>
          <w:i w:val="0"/>
          <w:color w:val="0A1628"/>
          <w:sz w:val="20"/>
        </w:rPr>
        <w:t>Offline queue count and oldest event.</w:t>
      </w:r>
    </w:p>
    <w:p>
      <w:pPr>
        <w:pStyle w:val="ListBullet"/>
        <w:ind w:left="0"/>
      </w:pPr>
      <w:r>
        <w:rPr>
          <w:rFonts w:ascii="Aptos" w:hAnsi="Aptos" w:eastAsia="Aptos"/>
          <w:b w:val="0"/>
          <w:i w:val="0"/>
          <w:color w:val="0A1628"/>
          <w:sz w:val="20"/>
        </w:rPr>
        <w:t>Last successful synchronization.</w:t>
      </w:r>
    </w:p>
    <w:p>
      <w:pPr>
        <w:pStyle w:val="ListBullet"/>
        <w:ind w:left="0"/>
      </w:pPr>
      <w:r>
        <w:rPr>
          <w:rFonts w:ascii="Aptos" w:hAnsi="Aptos" w:eastAsia="Aptos"/>
          <w:b w:val="0"/>
          <w:i w:val="0"/>
          <w:color w:val="0A1628"/>
          <w:sz w:val="20"/>
        </w:rPr>
        <w:t>Failed mobile events.</w:t>
      </w:r>
    </w:p>
    <w:p>
      <w:pPr>
        <w:pStyle w:val="ListBullet"/>
        <w:ind w:left="0"/>
      </w:pPr>
      <w:r>
        <w:rPr>
          <w:rFonts w:ascii="Aptos" w:hAnsi="Aptos" w:eastAsia="Aptos"/>
          <w:b w:val="0"/>
          <w:i w:val="0"/>
          <w:color w:val="0A1628"/>
          <w:sz w:val="20"/>
        </w:rPr>
        <w:t>Notification status.</w:t>
      </w:r>
    </w:p>
    <w:p>
      <w:pPr>
        <w:pStyle w:val="ListBullet"/>
        <w:ind w:left="0"/>
      </w:pPr>
      <w:r>
        <w:rPr>
          <w:rFonts w:ascii="Aptos" w:hAnsi="Aptos" w:eastAsia="Aptos"/>
          <w:b w:val="0"/>
          <w:i w:val="0"/>
          <w:color w:val="0A1628"/>
          <w:sz w:val="20"/>
        </w:rPr>
        <w:t>Delivery proof status.</w:t>
      </w:r>
    </w:p>
    <w:p>
      <w:pPr>
        <w:pStyle w:val="ListBullet"/>
        <w:ind w:left="0"/>
      </w:pPr>
      <w:r>
        <w:rPr>
          <w:rFonts w:ascii="Aptos" w:hAnsi="Aptos" w:eastAsia="Aptos"/>
          <w:b w:val="0"/>
          <w:i w:val="0"/>
          <w:color w:val="0A1628"/>
          <w:sz w:val="20"/>
        </w:rPr>
        <w:t>COD handover status.</w:t>
      </w:r>
    </w:p>
    <w:p>
      <w:pPr>
        <w:pStyle w:val="ListBullet"/>
        <w:ind w:left="0"/>
      </w:pPr>
      <w:r>
        <w:rPr>
          <w:rFonts w:ascii="Aptos" w:hAnsi="Aptos" w:eastAsia="Aptos"/>
          <w:b w:val="0"/>
          <w:i w:val="0"/>
          <w:color w:val="0A1628"/>
          <w:sz w:val="20"/>
        </w:rPr>
        <w:t>Open support requests.</w:t>
      </w:r>
    </w:p>
    <w:p>
      <w:pPr>
        <w:pStyle w:val="ListBullet"/>
        <w:ind w:left="0"/>
      </w:pPr>
      <w:r>
        <w:rPr>
          <w:rFonts w:ascii="Aptos" w:hAnsi="Aptos" w:eastAsia="Aptos"/>
          <w:b w:val="0"/>
          <w:i w:val="0"/>
          <w:color w:val="0A1628"/>
          <w:sz w:val="20"/>
        </w:rPr>
        <w:t>Audit history.</w:t>
      </w:r>
    </w:p>
    <w:p>
      <w:pPr>
        <w:pStyle w:val="Heading3"/>
        <w:keepNext/>
      </w:pPr>
      <w:r>
        <w:rPr>
          <w:rFonts w:ascii="Aptos" w:hAnsi="Aptos" w:eastAsia="Aptos"/>
          <w:b w:val="0"/>
          <w:i w:val="0"/>
          <w:color w:val="0A1628"/>
          <w:sz w:val="20"/>
        </w:rPr>
        <w:t>16.3 Safe actions</w:t>
      </w:r>
    </w:p>
    <w:p>
      <w:r>
        <w:rPr>
          <w:rFonts w:ascii="Aptos" w:hAnsi="Aptos" w:eastAsia="Aptos"/>
          <w:b w:val="0"/>
          <w:i w:val="0"/>
          <w:color w:val="0A1628"/>
          <w:sz w:val="20"/>
        </w:rPr>
        <w:t>Create secured actions: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be_mobile_operations_create_support_v54</w:t>
              <w:br/>
              <w:t>be_mobile_operations_safe_resync_v54</w:t>
              <w:br/>
              <w:t>be_mobile_operations_retry_event_v54</w:t>
              <w:br/>
              <w:t>be_mobile_operations_reset_pin_request_v54</w:t>
              <w:br/>
              <w:t>be_mobile_operations_unlock_account_v54</w:t>
            </w:r>
          </w:p>
        </w:tc>
      </w:tr>
    </w:tbl>
    <w:p>
      <w:pPr>
        <w:spacing w:after="0"/>
      </w:pPr>
    </w:p>
    <w:p>
      <w:r>
        <w:rPr>
          <w:rFonts w:ascii="Aptos" w:hAnsi="Aptos" w:eastAsia="Aptos"/>
          <w:b w:val="0"/>
          <w:i w:val="0"/>
          <w:color w:val="0A1628"/>
          <w:sz w:val="20"/>
        </w:rPr>
        <w:t>Safe resync must replay existing canonical queued events only. It must never create fake jobs, fake deliveries, fake GPS points, or synthetic proof records.</w:t>
      </w:r>
    </w:p>
    <w:p>
      <w:pPr>
        <w:pStyle w:val="Heading3"/>
        <w:keepNext/>
      </w:pPr>
      <w:r>
        <w:rPr>
          <w:rFonts w:ascii="Aptos" w:hAnsi="Aptos" w:eastAsia="Aptos"/>
          <w:b w:val="0"/>
          <w:i w:val="0"/>
          <w:color w:val="0A1628"/>
          <w:sz w:val="20"/>
        </w:rPr>
        <w:t>16.4 Acceptance criteria</w:t>
      </w:r>
    </w:p>
    <w:p>
      <w:pPr>
        <w:pStyle w:val="ListBullet"/>
        <w:ind w:left="0"/>
      </w:pPr>
      <w:r>
        <w:rPr>
          <w:rFonts w:ascii="Aptos" w:hAnsi="Aptos" w:eastAsia="Aptos"/>
          <w:b w:val="0"/>
          <w:i w:val="0"/>
          <w:color w:val="0A1628"/>
          <w:sz w:val="20"/>
        </w:rPr>
        <w:t>The support console is read-mostly.</w:t>
      </w:r>
    </w:p>
    <w:p>
      <w:pPr>
        <w:pStyle w:val="ListBullet"/>
        <w:ind w:left="0"/>
      </w:pPr>
      <w:r>
        <w:rPr>
          <w:rFonts w:ascii="Aptos" w:hAnsi="Aptos" w:eastAsia="Aptos"/>
          <w:b w:val="0"/>
          <w:i w:val="0"/>
          <w:color w:val="0A1628"/>
          <w:sz w:val="20"/>
        </w:rPr>
        <w:t>Every mutation names the real mobile event or account affected.</w:t>
      </w:r>
    </w:p>
    <w:p>
      <w:pPr>
        <w:pStyle w:val="ListBullet"/>
        <w:ind w:left="0"/>
      </w:pPr>
      <w:r>
        <w:rPr>
          <w:rFonts w:ascii="Aptos" w:hAnsi="Aptos" w:eastAsia="Aptos"/>
          <w:b w:val="0"/>
          <w:i w:val="0"/>
          <w:color w:val="0A1628"/>
          <w:sz w:val="20"/>
        </w:rPr>
        <w:t>Resync is idempotent.</w:t>
      </w:r>
    </w:p>
    <w:p>
      <w:pPr>
        <w:pStyle w:val="ListBullet"/>
        <w:ind w:left="0"/>
      </w:pPr>
      <w:r>
        <w:rPr>
          <w:rFonts w:ascii="Aptos" w:hAnsi="Aptos" w:eastAsia="Aptos"/>
          <w:b w:val="0"/>
          <w:i w:val="0"/>
          <w:color w:val="0A1628"/>
          <w:sz w:val="20"/>
        </w:rPr>
        <w:t>Rider field actions continue using existing real RPC flows.</w:t>
      </w:r>
    </w:p>
    <w:p>
      <w:pPr>
        <w:pStyle w:val="ListBullet"/>
        <w:ind w:left="0"/>
      </w:pPr>
      <w:r>
        <w:rPr>
          <w:rFonts w:ascii="Aptos" w:hAnsi="Aptos" w:eastAsia="Aptos"/>
          <w:b w:val="0"/>
          <w:i w:val="0"/>
          <w:color w:val="0A1628"/>
          <w:sz w:val="20"/>
        </w:rPr>
        <w:t>No production route is called "Sandbox".</w:t>
      </w:r>
    </w:p>
    <w:p>
      <w:pPr>
        <w:pStyle w:val="Heading2"/>
        <w:keepNext/>
      </w:pPr>
      <w:r>
        <w:rPr>
          <w:rFonts w:ascii="Aptos" w:hAnsi="Aptos" w:eastAsia="Aptos"/>
          <w:b w:val="0"/>
          <w:i w:val="0"/>
          <w:color w:val="0A1628"/>
          <w:sz w:val="20"/>
        </w:rPr>
        <w:t>17. Secured Admin and HR</w:t>
      </w:r>
    </w:p>
    <w:p>
      <w:pPr>
        <w:pStyle w:val="Heading3"/>
        <w:keepNext/>
      </w:pPr>
      <w:r>
        <w:rPr>
          <w:rFonts w:ascii="Aptos" w:hAnsi="Aptos" w:eastAsia="Aptos"/>
          <w:b w:val="0"/>
          <w:i w:val="0"/>
          <w:color w:val="0A1628"/>
          <w:sz w:val="20"/>
        </w:rPr>
        <w:t>17.1 Remove production fallback data</w:t>
      </w:r>
    </w:p>
    <w:p>
      <w:r>
        <w:rPr>
          <w:rFonts w:ascii="Aptos" w:hAnsi="Aptos" w:eastAsia="Aptos"/>
          <w:b w:val="0"/>
          <w:i w:val="0"/>
          <w:color w:val="0A1628"/>
          <w:sz w:val="20"/>
        </w:rPr>
        <w:t xml:space="preserve">Remove </w:t>
      </w:r>
      <w:r>
        <w:rPr>
          <w:rFonts w:ascii="Consolas" w:hAnsi="Consolas" w:eastAsia="Consolas"/>
          <w:b w:val="0"/>
          <w:i w:val="0"/>
          <w:color w:val="0A1628"/>
          <w:sz w:val="17"/>
          <w:shd w:fill="EEF2F6"/>
        </w:rPr>
        <w:t>FALLBACK_EMPLOYEES</w:t>
      </w:r>
      <w:r>
        <w:rPr>
          <w:rFonts w:ascii="Aptos" w:hAnsi="Aptos" w:eastAsia="Aptos"/>
          <w:b w:val="0"/>
          <w:i w:val="0"/>
          <w:color w:val="0A1628"/>
          <w:sz w:val="20"/>
        </w:rPr>
        <w:t xml:space="preserve"> from production behavior. A failed snapshot must display an error and a retry action. It must not display invented employees.</w:t>
      </w:r>
    </w:p>
    <w:p>
      <w:pPr>
        <w:pStyle w:val="Heading3"/>
        <w:keepNext/>
      </w:pPr>
      <w:r>
        <w:rPr>
          <w:rFonts w:ascii="Aptos" w:hAnsi="Aptos" w:eastAsia="Aptos"/>
          <w:b w:val="0"/>
          <w:i w:val="0"/>
          <w:color w:val="0A1628"/>
          <w:sz w:val="20"/>
        </w:rPr>
        <w:t>17.2 Employee model</w:t>
      </w:r>
    </w:p>
    <w:p>
      <w:r>
        <w:rPr>
          <w:rFonts w:ascii="Aptos" w:hAnsi="Aptos" w:eastAsia="Aptos"/>
          <w:b w:val="0"/>
          <w:i w:val="0"/>
          <w:color w:val="0A1628"/>
          <w:sz w:val="20"/>
        </w:rPr>
        <w:t>Standardize: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employee_id</w:t>
              <w:br/>
              <w:t>employee_code</w:t>
              <w:br/>
              <w:t>display_name</w:t>
              <w:br/>
              <w:t>legal_name</w:t>
              <w:br/>
              <w:t>email</w:t>
              <w:br/>
              <w:t>phone_primary</w:t>
              <w:br/>
              <w:t>department_code</w:t>
              <w:br/>
              <w:t>position_code</w:t>
              <w:br/>
              <w:t>branch_code</w:t>
              <w:br/>
              <w:t>employment_status</w:t>
              <w:br/>
              <w:t>employment_start_date</w:t>
              <w:br/>
              <w:t>employment_end_date</w:t>
              <w:br/>
              <w:t>manager_employee_id</w:t>
              <w:br/>
              <w:t>linked_user_id</w:t>
              <w:br/>
              <w:t>is_active</w:t>
              <w:br/>
              <w:t>created_at</w:t>
              <w:br/>
              <w:t>updated_at</w:t>
            </w:r>
          </w:p>
        </w:tc>
      </w:tr>
    </w:tbl>
    <w:p>
      <w:pPr>
        <w:spacing w:after="0"/>
      </w:pPr>
    </w:p>
    <w:p>
      <w:r>
        <w:rPr>
          <w:rFonts w:ascii="Aptos" w:hAnsi="Aptos" w:eastAsia="Aptos"/>
          <w:b w:val="0"/>
          <w:i w:val="0"/>
          <w:color w:val="0A1628"/>
          <w:sz w:val="20"/>
        </w:rPr>
        <w:t>Create an employment-history table for department, branch, position, manager, and status changes.</w:t>
      </w:r>
    </w:p>
    <w:p>
      <w:pPr>
        <w:pStyle w:val="Heading3"/>
        <w:keepNext/>
      </w:pPr>
      <w:r>
        <w:rPr>
          <w:rFonts w:ascii="Aptos" w:hAnsi="Aptos" w:eastAsia="Aptos"/>
          <w:b w:val="0"/>
          <w:i w:val="0"/>
          <w:color w:val="0A1628"/>
          <w:sz w:val="20"/>
        </w:rPr>
        <w:t>17.3 Snapshot</w:t>
      </w:r>
    </w:p>
    <w:p>
      <w:r>
        <w:rPr>
          <w:rFonts w:ascii="Aptos" w:hAnsi="Aptos" w:eastAsia="Aptos"/>
          <w:b w:val="0"/>
          <w:i w:val="0"/>
          <w:color w:val="0A1628"/>
          <w:sz w:val="20"/>
        </w:rPr>
        <w:t>Create or finalize: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be_admin_hr_snapshot(p_payload jsonb default '{}'::jsonb)</w:t>
            </w:r>
          </w:p>
        </w:tc>
      </w:tr>
    </w:tbl>
    <w:p>
      <w:pPr>
        <w:spacing w:after="0"/>
      </w:pPr>
    </w:p>
    <w:p>
      <w:r>
        <w:rPr>
          <w:rFonts w:ascii="Aptos" w:hAnsi="Aptos" w:eastAsia="Aptos"/>
          <w:b w:val="0"/>
          <w:i w:val="0"/>
          <w:color w:val="0A1628"/>
          <w:sz w:val="20"/>
        </w:rPr>
        <w:t>Return employees, departments, positions, branches, application roles, account-link state, and permissions.</w:t>
      </w:r>
    </w:p>
    <w:p>
      <w:pPr>
        <w:pStyle w:val="Heading3"/>
        <w:keepNext/>
      </w:pPr>
      <w:r>
        <w:rPr>
          <w:rFonts w:ascii="Aptos" w:hAnsi="Aptos" w:eastAsia="Aptos"/>
          <w:b w:val="0"/>
          <w:i w:val="0"/>
          <w:color w:val="0A1628"/>
          <w:sz w:val="20"/>
        </w:rPr>
        <w:t>17.4 Mutation RPCs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be_hr_employee_create_v54</w:t>
              <w:br/>
              <w:t>be_hr_employee_update_v54</w:t>
              <w:br/>
              <w:t>be_hr_employee_set_status_v54</w:t>
              <w:br/>
              <w:t>be_hr_employee_transfer_department_v54</w:t>
              <w:br/>
              <w:t>be_hr_employee_change_branch_v54</w:t>
              <w:br/>
              <w:t>be_hr_employee_assign_position_v54</w:t>
              <w:br/>
              <w:t>be_hr_employee_assign_app_role_v54</w:t>
              <w:br/>
              <w:t>be_hr_employee_link_account_v54</w:t>
              <w:br/>
              <w:t>be_hr_employee_reset_access_v54</w:t>
              <w:br/>
              <w:t>be_hr_employee_history_v54</w:t>
            </w:r>
          </w:p>
        </w:tc>
      </w:tr>
    </w:tbl>
    <w:p>
      <w:pPr>
        <w:spacing w:after="0"/>
      </w:pPr>
    </w:p>
    <w:p>
      <w:pPr>
        <w:pStyle w:val="Heading3"/>
        <w:keepNext/>
      </w:pPr>
      <w:r>
        <w:rPr>
          <w:rFonts w:ascii="Aptos" w:hAnsi="Aptos" w:eastAsia="Aptos"/>
          <w:b w:val="0"/>
          <w:i w:val="0"/>
          <w:color w:val="0A1628"/>
          <w:sz w:val="20"/>
        </w:rPr>
        <w:t>17.5 Authorization</w:t>
      </w:r>
    </w:p>
    <w:p>
      <w:pPr>
        <w:pStyle w:val="ListBullet"/>
        <w:ind w:left="0"/>
      </w:pPr>
      <w:r>
        <w:rPr>
          <w:rFonts w:ascii="Aptos" w:hAnsi="Aptos" w:eastAsia="Aptos"/>
          <w:b w:val="0"/>
          <w:i w:val="0"/>
          <w:color w:val="0A1628"/>
          <w:sz w:val="20"/>
        </w:rPr>
        <w:t>Create/edit/transfer: HR administrator or superadmin.</w:t>
      </w:r>
    </w:p>
    <w:p>
      <w:pPr>
        <w:pStyle w:val="ListBullet"/>
        <w:ind w:left="0"/>
      </w:pPr>
      <w:r>
        <w:rPr>
          <w:rFonts w:ascii="Aptos" w:hAnsi="Aptos" w:eastAsia="Aptos"/>
          <w:b w:val="0"/>
          <w:i w:val="0"/>
          <w:color w:val="0A1628"/>
          <w:sz w:val="20"/>
        </w:rPr>
        <w:t>App-role assignment and account linking: administrator plus account-security permission.</w:t>
      </w:r>
    </w:p>
    <w:p>
      <w:pPr>
        <w:pStyle w:val="ListBullet"/>
        <w:ind w:left="0"/>
      </w:pPr>
      <w:r>
        <w:rPr>
          <w:rFonts w:ascii="Aptos" w:hAnsi="Aptos" w:eastAsia="Aptos"/>
          <w:b w:val="0"/>
          <w:i w:val="0"/>
          <w:color w:val="0A1628"/>
          <w:sz w:val="20"/>
        </w:rPr>
        <w:t>Deactivation or termination: HR administrator, with reason and effective date.</w:t>
      </w:r>
    </w:p>
    <w:p>
      <w:pPr>
        <w:pStyle w:val="ListBullet"/>
        <w:ind w:left="0"/>
      </w:pPr>
      <w:r>
        <w:rPr>
          <w:rFonts w:ascii="Aptos" w:hAnsi="Aptos" w:eastAsia="Aptos"/>
          <w:b w:val="0"/>
          <w:i w:val="0"/>
          <w:color w:val="0A1628"/>
          <w:sz w:val="20"/>
        </w:rPr>
        <w:t>Reset access: authorized security administrator only.</w:t>
      </w:r>
    </w:p>
    <w:p>
      <w:pPr>
        <w:pStyle w:val="ListBullet"/>
        <w:ind w:left="0"/>
      </w:pPr>
      <w:r>
        <w:rPr>
          <w:rFonts w:ascii="Aptos" w:hAnsi="Aptos" w:eastAsia="Aptos"/>
          <w:b w:val="0"/>
          <w:i w:val="0"/>
          <w:color w:val="0A1628"/>
          <w:sz w:val="20"/>
        </w:rPr>
        <w:t>Users may not mutate their own privileged role or approval state.</w:t>
      </w:r>
    </w:p>
    <w:p>
      <w:pPr>
        <w:pStyle w:val="Heading3"/>
        <w:keepNext/>
      </w:pPr>
      <w:r>
        <w:rPr>
          <w:rFonts w:ascii="Aptos" w:hAnsi="Aptos" w:eastAsia="Aptos"/>
          <w:b w:val="0"/>
          <w:i w:val="0"/>
          <w:color w:val="0A1628"/>
          <w:sz w:val="20"/>
        </w:rPr>
        <w:t>17.6 Frontend</w:t>
      </w:r>
    </w:p>
    <w:p>
      <w:r>
        <w:rPr>
          <w:rFonts w:ascii="Aptos" w:hAnsi="Aptos" w:eastAsia="Aptos"/>
          <w:b w:val="0"/>
          <w:i w:val="0"/>
          <w:color w:val="0A1628"/>
          <w:sz w:val="20"/>
        </w:rPr>
        <w:t>Connect Add Employee and Manage controls to validated forms. Show before/after confirmation for branch, department, position, active status, and application-role changes.</w:t>
      </w:r>
    </w:p>
    <w:p>
      <w:pPr>
        <w:pStyle w:val="Heading3"/>
        <w:keepNext/>
      </w:pPr>
      <w:r>
        <w:rPr>
          <w:rFonts w:ascii="Aptos" w:hAnsi="Aptos" w:eastAsia="Aptos"/>
          <w:b w:val="0"/>
          <w:i w:val="0"/>
          <w:color w:val="0A1628"/>
          <w:sz w:val="20"/>
        </w:rPr>
        <w:t>17.7 Acceptance criteria</w:t>
      </w:r>
    </w:p>
    <w:p>
      <w:pPr>
        <w:pStyle w:val="ListBullet"/>
        <w:ind w:left="0"/>
      </w:pPr>
      <w:r>
        <w:rPr>
          <w:rFonts w:ascii="Aptos" w:hAnsi="Aptos" w:eastAsia="Aptos"/>
          <w:b w:val="0"/>
          <w:i w:val="0"/>
          <w:color w:val="0A1628"/>
          <w:sz w:val="20"/>
        </w:rPr>
        <w:t>Every mutation creates history and audit records.</w:t>
      </w:r>
    </w:p>
    <w:p>
      <w:pPr>
        <w:pStyle w:val="ListBullet"/>
        <w:ind w:left="0"/>
      </w:pPr>
      <w:r>
        <w:rPr>
          <w:rFonts w:ascii="Aptos" w:hAnsi="Aptos" w:eastAsia="Aptos"/>
          <w:b w:val="0"/>
          <w:i w:val="0"/>
          <w:color w:val="0A1628"/>
          <w:sz w:val="20"/>
        </w:rPr>
        <w:t>Direct client writes to employee/security tables are denied.</w:t>
      </w:r>
    </w:p>
    <w:p>
      <w:pPr>
        <w:pStyle w:val="ListBullet"/>
        <w:ind w:left="0"/>
      </w:pPr>
      <w:r>
        <w:rPr>
          <w:rFonts w:ascii="Aptos" w:hAnsi="Aptos" w:eastAsia="Aptos"/>
          <w:b w:val="0"/>
          <w:i w:val="0"/>
          <w:color w:val="0A1628"/>
          <w:sz w:val="20"/>
        </w:rPr>
        <w:t>Deactivated employees cannot remain eligible for workforce commission after their employment end date.</w:t>
      </w:r>
    </w:p>
    <w:p>
      <w:pPr>
        <w:pStyle w:val="ListBullet"/>
        <w:ind w:left="0"/>
      </w:pPr>
      <w:r>
        <w:rPr>
          <w:rFonts w:ascii="Aptos" w:hAnsi="Aptos" w:eastAsia="Aptos"/>
          <w:b w:val="0"/>
          <w:i w:val="0"/>
          <w:color w:val="0A1628"/>
          <w:sz w:val="20"/>
        </w:rPr>
        <w:t>Linked user and employee identities are unique and traceable.</w:t>
      </w:r>
    </w:p>
    <w:p>
      <w:pPr>
        <w:pStyle w:val="ListBullet"/>
        <w:ind w:left="0"/>
      </w:pPr>
      <w:r>
        <w:rPr>
          <w:rFonts w:ascii="Aptos" w:hAnsi="Aptos" w:eastAsia="Aptos"/>
          <w:b w:val="0"/>
          <w:i w:val="0"/>
          <w:color w:val="0A1628"/>
          <w:sz w:val="20"/>
        </w:rPr>
        <w:t>Export uses current filters and excludes secret account data.</w:t>
      </w:r>
    </w:p>
    <w:p>
      <w:pPr>
        <w:pStyle w:val="Heading2"/>
        <w:keepNext/>
      </w:pPr>
      <w:r>
        <w:rPr>
          <w:rFonts w:ascii="Aptos" w:hAnsi="Aptos" w:eastAsia="Aptos"/>
          <w:b w:val="0"/>
          <w:i w:val="0"/>
          <w:color w:val="0A1628"/>
          <w:sz w:val="20"/>
        </w:rPr>
        <w:t>18. Accounts and Permissions</w:t>
      </w:r>
    </w:p>
    <w:p>
      <w:pPr>
        <w:pStyle w:val="Heading3"/>
        <w:keepNext/>
      </w:pPr>
      <w:r>
        <w:rPr>
          <w:rFonts w:ascii="Aptos" w:hAnsi="Aptos" w:eastAsia="Aptos"/>
          <w:b w:val="0"/>
          <w:i w:val="0"/>
          <w:color w:val="0A1628"/>
          <w:sz w:val="20"/>
        </w:rPr>
        <w:t>18.1 Trusted administration boundary</w:t>
      </w:r>
    </w:p>
    <w:p>
      <w:r>
        <w:rPr>
          <w:rFonts w:ascii="Aptos" w:hAnsi="Aptos" w:eastAsia="Aptos"/>
          <w:b w:val="0"/>
          <w:i w:val="0"/>
          <w:color w:val="0A1628"/>
          <w:sz w:val="20"/>
        </w:rPr>
        <w:t>Privileged auth operations must run in a trusted server-side service or Supabase Edge Function using protected administrative credentials. The browser must never receive a service-role key.</w:t>
      </w:r>
    </w:p>
    <w:p>
      <w:r>
        <w:rPr>
          <w:rFonts w:ascii="Aptos" w:hAnsi="Aptos" w:eastAsia="Aptos"/>
          <w:b w:val="0"/>
          <w:i w:val="0"/>
          <w:color w:val="0A1628"/>
          <w:sz w:val="20"/>
        </w:rPr>
        <w:t>Database RPCs may manage requests, profiles, roles, permissions, branches, expiry, and audit records, while the trusted auth-admin service creates users, sends recovery actions, or performs provider-level blocks.</w:t>
      </w:r>
    </w:p>
    <w:p>
      <w:pPr>
        <w:pStyle w:val="Heading3"/>
        <w:keepNext/>
      </w:pPr>
      <w:r>
        <w:rPr>
          <w:rFonts w:ascii="Aptos" w:hAnsi="Aptos" w:eastAsia="Aptos"/>
          <w:b w:val="0"/>
          <w:i w:val="0"/>
          <w:color w:val="0A1628"/>
          <w:sz w:val="20"/>
        </w:rPr>
        <w:t>18.2 Account states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REQUESTED</w:t>
              <w:br/>
              <w:t>PENDING_APPROVAL</w:t>
              <w:br/>
              <w:t>ACTIVE</w:t>
              <w:br/>
              <w:t>BLOCKED</w:t>
              <w:br/>
              <w:t>SUSPENDED</w:t>
              <w:br/>
              <w:t>EXPIRED</w:t>
              <w:br/>
              <w:t>DEACTIVATED</w:t>
              <w:br/>
              <w:t>REJECTED</w:t>
            </w:r>
          </w:p>
        </w:tc>
      </w:tr>
    </w:tbl>
    <w:p>
      <w:pPr>
        <w:spacing w:after="0"/>
      </w:pPr>
    </w:p>
    <w:p>
      <w:pPr>
        <w:pStyle w:val="Heading3"/>
        <w:keepNext/>
      </w:pPr>
      <w:r>
        <w:rPr>
          <w:rFonts w:ascii="Aptos" w:hAnsi="Aptos" w:eastAsia="Aptos"/>
          <w:b w:val="0"/>
          <w:i w:val="0"/>
          <w:color w:val="0A1628"/>
          <w:sz w:val="20"/>
        </w:rPr>
        <w:t>18.3 Required operations</w:t>
      </w:r>
    </w:p>
    <w:p>
      <w:pPr>
        <w:pStyle w:val="ListBullet"/>
        <w:ind w:left="0"/>
      </w:pPr>
      <w:r>
        <w:rPr>
          <w:rFonts w:ascii="Aptos" w:hAnsi="Aptos" w:eastAsia="Aptos"/>
          <w:b w:val="0"/>
          <w:i w:val="0"/>
          <w:color w:val="0A1628"/>
          <w:sz w:val="20"/>
        </w:rPr>
        <w:t>Create account request.</w:t>
      </w:r>
    </w:p>
    <w:p>
      <w:pPr>
        <w:pStyle w:val="ListBullet"/>
        <w:ind w:left="0"/>
      </w:pPr>
      <w:r>
        <w:rPr>
          <w:rFonts w:ascii="Aptos" w:hAnsi="Aptos" w:eastAsia="Aptos"/>
          <w:b w:val="0"/>
          <w:i w:val="0"/>
          <w:color w:val="0A1628"/>
          <w:sz w:val="20"/>
        </w:rPr>
        <w:t>Approve or reject request.</w:t>
      </w:r>
    </w:p>
    <w:p>
      <w:pPr>
        <w:pStyle w:val="ListBullet"/>
        <w:ind w:left="0"/>
      </w:pPr>
      <w:r>
        <w:rPr>
          <w:rFonts w:ascii="Aptos" w:hAnsi="Aptos" w:eastAsia="Aptos"/>
          <w:b w:val="0"/>
          <w:i w:val="0"/>
          <w:color w:val="0A1628"/>
          <w:sz w:val="20"/>
        </w:rPr>
        <w:t>Create/link authenticated account.</w:t>
      </w:r>
    </w:p>
    <w:p>
      <w:pPr>
        <w:pStyle w:val="ListBullet"/>
        <w:ind w:left="0"/>
      </w:pPr>
      <w:r>
        <w:rPr>
          <w:rFonts w:ascii="Aptos" w:hAnsi="Aptos" w:eastAsia="Aptos"/>
          <w:b w:val="0"/>
          <w:i w:val="0"/>
          <w:color w:val="0A1628"/>
          <w:sz w:val="20"/>
        </w:rPr>
        <w:t>Reset password or PIN.</w:t>
      </w:r>
    </w:p>
    <w:p>
      <w:pPr>
        <w:pStyle w:val="ListBullet"/>
        <w:ind w:left="0"/>
      </w:pPr>
      <w:r>
        <w:rPr>
          <w:rFonts w:ascii="Aptos" w:hAnsi="Aptos" w:eastAsia="Aptos"/>
          <w:b w:val="0"/>
          <w:i w:val="0"/>
          <w:color w:val="0A1628"/>
          <w:sz w:val="20"/>
        </w:rPr>
        <w:t>Block/unblock.</w:t>
      </w:r>
    </w:p>
    <w:p>
      <w:pPr>
        <w:pStyle w:val="ListBullet"/>
        <w:ind w:left="0"/>
      </w:pPr>
      <w:r>
        <w:rPr>
          <w:rFonts w:ascii="Aptos" w:hAnsi="Aptos" w:eastAsia="Aptos"/>
          <w:b w:val="0"/>
          <w:i w:val="0"/>
          <w:color w:val="0A1628"/>
          <w:sz w:val="20"/>
        </w:rPr>
        <w:t>Activate/deactivate.</w:t>
      </w:r>
    </w:p>
    <w:p>
      <w:pPr>
        <w:pStyle w:val="ListBullet"/>
        <w:ind w:left="0"/>
      </w:pPr>
      <w:r>
        <w:rPr>
          <w:rFonts w:ascii="Aptos" w:hAnsi="Aptos" w:eastAsia="Aptos"/>
          <w:b w:val="0"/>
          <w:i w:val="0"/>
          <w:color w:val="0A1628"/>
          <w:sz w:val="20"/>
        </w:rPr>
        <w:t>Assign role.</w:t>
      </w:r>
    </w:p>
    <w:p>
      <w:pPr>
        <w:pStyle w:val="ListBullet"/>
        <w:ind w:left="0"/>
      </w:pPr>
      <w:r>
        <w:rPr>
          <w:rFonts w:ascii="Aptos" w:hAnsi="Aptos" w:eastAsia="Aptos"/>
          <w:b w:val="0"/>
          <w:i w:val="0"/>
          <w:color w:val="0A1628"/>
          <w:sz w:val="20"/>
        </w:rPr>
        <w:t>Assign granular permissions.</w:t>
      </w:r>
    </w:p>
    <w:p>
      <w:pPr>
        <w:pStyle w:val="ListBullet"/>
        <w:ind w:left="0"/>
      </w:pPr>
      <w:r>
        <w:rPr>
          <w:rFonts w:ascii="Aptos" w:hAnsi="Aptos" w:eastAsia="Aptos"/>
          <w:b w:val="0"/>
          <w:i w:val="0"/>
          <w:color w:val="0A1628"/>
          <w:sz w:val="20"/>
        </w:rPr>
        <w:t>Restrict branch.</w:t>
      </w:r>
    </w:p>
    <w:p>
      <w:pPr>
        <w:pStyle w:val="ListBullet"/>
        <w:ind w:left="0"/>
      </w:pPr>
      <w:r>
        <w:rPr>
          <w:rFonts w:ascii="Aptos" w:hAnsi="Aptos" w:eastAsia="Aptos"/>
          <w:b w:val="0"/>
          <w:i w:val="0"/>
          <w:color w:val="0A1628"/>
          <w:sz w:val="20"/>
        </w:rPr>
        <w:t>Set account expiry.</w:t>
      </w:r>
    </w:p>
    <w:p>
      <w:pPr>
        <w:pStyle w:val="ListBullet"/>
        <w:ind w:left="0"/>
      </w:pPr>
      <w:r>
        <w:rPr>
          <w:rFonts w:ascii="Aptos" w:hAnsi="Aptos" w:eastAsia="Aptos"/>
          <w:b w:val="0"/>
          <w:i w:val="0"/>
          <w:color w:val="0A1628"/>
          <w:sz w:val="20"/>
        </w:rPr>
        <w:t>View login history.</w:t>
      </w:r>
    </w:p>
    <w:p>
      <w:pPr>
        <w:pStyle w:val="ListBullet"/>
        <w:ind w:left="0"/>
      </w:pPr>
      <w:r>
        <w:rPr>
          <w:rFonts w:ascii="Aptos" w:hAnsi="Aptos" w:eastAsia="Aptos"/>
          <w:b w:val="0"/>
          <w:i w:val="0"/>
          <w:color w:val="0A1628"/>
          <w:sz w:val="20"/>
        </w:rPr>
        <w:t>View audit history.</w:t>
      </w:r>
    </w:p>
    <w:p>
      <w:pPr>
        <w:pStyle w:val="Heading3"/>
        <w:keepNext/>
      </w:pPr>
      <w:r>
        <w:rPr>
          <w:rFonts w:ascii="Aptos" w:hAnsi="Aptos" w:eastAsia="Aptos"/>
          <w:b w:val="0"/>
          <w:i w:val="0"/>
          <w:color w:val="0A1628"/>
          <w:sz w:val="20"/>
        </w:rPr>
        <w:t>18.4 APIs</w:t>
      </w:r>
    </w:p>
    <w:p>
      <w:r>
        <w:rPr>
          <w:rFonts w:ascii="Aptos" w:hAnsi="Aptos" w:eastAsia="Aptos"/>
          <w:b w:val="0"/>
          <w:i w:val="0"/>
          <w:color w:val="0A1628"/>
          <w:sz w:val="20"/>
        </w:rPr>
        <w:t>Trusted server endpoints or Edge Functions: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POST /account-admin/create</w:t>
              <w:br/>
              <w:t>POST /account-admin/reset-password</w:t>
              <w:br/>
              <w:t>POST /account-admin/reset-pin</w:t>
              <w:br/>
              <w:t>POST /account-admin/block</w:t>
              <w:br/>
              <w:t>POST /account-admin/unblock</w:t>
            </w:r>
          </w:p>
        </w:tc>
      </w:tr>
    </w:tbl>
    <w:p>
      <w:pPr>
        <w:spacing w:after="0"/>
      </w:pPr>
    </w:p>
    <w:p>
      <w:r>
        <w:rPr>
          <w:rFonts w:ascii="Aptos" w:hAnsi="Aptos" w:eastAsia="Aptos"/>
          <w:b w:val="0"/>
          <w:i w:val="0"/>
          <w:color w:val="0A1628"/>
          <w:sz w:val="20"/>
        </w:rPr>
        <w:t>Secured database RPCs: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be_account_request_create_v54</w:t>
              <w:br/>
              <w:t>be_account_request_review_v54</w:t>
              <w:br/>
              <w:t>be_account_profile_update_v54</w:t>
              <w:br/>
              <w:t>be_account_role_assign_v54</w:t>
              <w:br/>
              <w:t>be_account_permission_assign_v54</w:t>
              <w:br/>
              <w:t>be_account_branch_restrict_v54</w:t>
              <w:br/>
              <w:t>be_account_expiry_set_v54</w:t>
              <w:br/>
              <w:t>be_account_login_history_v54</w:t>
              <w:br/>
              <w:t>be_account_audit_history_v54</w:t>
            </w:r>
          </w:p>
        </w:tc>
      </w:tr>
    </w:tbl>
    <w:p>
      <w:pPr>
        <w:spacing w:after="0"/>
      </w:pPr>
    </w:p>
    <w:p>
      <w:pPr>
        <w:pStyle w:val="Heading3"/>
        <w:keepNext/>
      </w:pPr>
      <w:r>
        <w:rPr>
          <w:rFonts w:ascii="Aptos" w:hAnsi="Aptos" w:eastAsia="Aptos"/>
          <w:b w:val="0"/>
          <w:i w:val="0"/>
          <w:color w:val="0A1628"/>
          <w:sz w:val="20"/>
        </w:rPr>
        <w:t>18.5 Maker-checker controls</w:t>
      </w:r>
    </w:p>
    <w:p>
      <w:r>
        <w:rPr>
          <w:rFonts w:ascii="Aptos" w:hAnsi="Aptos" w:eastAsia="Aptos"/>
          <w:b w:val="0"/>
          <w:i w:val="0"/>
          <w:color w:val="0A1628"/>
          <w:sz w:val="20"/>
        </w:rPr>
        <w:t xml:space="preserve">Role assignment to </w:t>
      </w:r>
      <w:r>
        <w:rPr>
          <w:rFonts w:ascii="Consolas" w:hAnsi="Consolas" w:eastAsia="Consolas"/>
          <w:b w:val="0"/>
          <w:i w:val="0"/>
          <w:color w:val="0A1628"/>
          <w:sz w:val="17"/>
          <w:shd w:fill="EEF2F6"/>
        </w:rPr>
        <w:t>superadmin</w:t>
      </w:r>
      <w:r>
        <w:rPr>
          <w:rFonts w:ascii="Aptos" w:hAnsi="Aptos" w:eastAsia="Aptos"/>
          <w:b w:val="0"/>
          <w:i w:val="0"/>
          <w:color w:val="0A1628"/>
          <w:sz w:val="20"/>
        </w:rPr>
        <w:t xml:space="preserve">, </w:t>
      </w:r>
      <w:r>
        <w:rPr>
          <w:rFonts w:ascii="Consolas" w:hAnsi="Consolas" w:eastAsia="Consolas"/>
          <w:b w:val="0"/>
          <w:i w:val="0"/>
          <w:color w:val="0A1628"/>
          <w:sz w:val="17"/>
          <w:shd w:fill="EEF2F6"/>
        </w:rPr>
        <w:t>admin</w:t>
      </w:r>
      <w:r>
        <w:rPr>
          <w:rFonts w:ascii="Aptos" w:hAnsi="Aptos" w:eastAsia="Aptos"/>
          <w:b w:val="0"/>
          <w:i w:val="0"/>
          <w:color w:val="0A1628"/>
          <w:sz w:val="20"/>
        </w:rPr>
        <w:t xml:space="preserve">, </w:t>
      </w:r>
      <w:r>
        <w:rPr>
          <w:rFonts w:ascii="Consolas" w:hAnsi="Consolas" w:eastAsia="Consolas"/>
          <w:b w:val="0"/>
          <w:i w:val="0"/>
          <w:color w:val="0A1628"/>
          <w:sz w:val="17"/>
          <w:shd w:fill="EEF2F6"/>
        </w:rPr>
        <w:t>finance_approver</w:t>
      </w:r>
      <w:r>
        <w:rPr>
          <w:rFonts w:ascii="Aptos" w:hAnsi="Aptos" w:eastAsia="Aptos"/>
          <w:b w:val="0"/>
          <w:i w:val="0"/>
          <w:color w:val="0A1628"/>
          <w:sz w:val="20"/>
        </w:rPr>
        <w:t>, or equivalent privileged roles must require a second authorized approver and must not be self-approved.</w:t>
      </w:r>
    </w:p>
    <w:p>
      <w:pPr>
        <w:pStyle w:val="Heading3"/>
        <w:keepNext/>
      </w:pPr>
      <w:r>
        <w:rPr>
          <w:rFonts w:ascii="Aptos" w:hAnsi="Aptos" w:eastAsia="Aptos"/>
          <w:b w:val="0"/>
          <w:i w:val="0"/>
          <w:color w:val="0A1628"/>
          <w:sz w:val="20"/>
        </w:rPr>
        <w:t>18.6 Frontend</w:t>
      </w:r>
    </w:p>
    <w:p>
      <w:r>
        <w:rPr>
          <w:rFonts w:ascii="Aptos" w:hAnsi="Aptos" w:eastAsia="Aptos"/>
          <w:b w:val="0"/>
          <w:i w:val="0"/>
          <w:color w:val="0A1628"/>
          <w:sz w:val="20"/>
        </w:rPr>
        <w:t>Replace presentation-only buttons with:</w:t>
      </w:r>
    </w:p>
    <w:p>
      <w:pPr>
        <w:pStyle w:val="ListBullet"/>
        <w:ind w:left="0"/>
      </w:pPr>
      <w:r>
        <w:rPr>
          <w:rFonts w:ascii="Aptos" w:hAnsi="Aptos" w:eastAsia="Aptos"/>
          <w:b w:val="0"/>
          <w:i w:val="0"/>
          <w:color w:val="0A1628"/>
          <w:sz w:val="20"/>
        </w:rPr>
        <w:t>Account registry and filters.</w:t>
      </w:r>
    </w:p>
    <w:p>
      <w:pPr>
        <w:pStyle w:val="ListBullet"/>
        <w:ind w:left="0"/>
      </w:pPr>
      <w:r>
        <w:rPr>
          <w:rFonts w:ascii="Aptos" w:hAnsi="Aptos" w:eastAsia="Aptos"/>
          <w:b w:val="0"/>
          <w:i w:val="0"/>
          <w:color w:val="0A1628"/>
          <w:sz w:val="20"/>
        </w:rPr>
        <w:t>Account request queue.</w:t>
      </w:r>
    </w:p>
    <w:p>
      <w:pPr>
        <w:pStyle w:val="ListBullet"/>
        <w:ind w:left="0"/>
      </w:pPr>
      <w:r>
        <w:rPr>
          <w:rFonts w:ascii="Aptos" w:hAnsi="Aptos" w:eastAsia="Aptos"/>
          <w:b w:val="0"/>
          <w:i w:val="0"/>
          <w:color w:val="0A1628"/>
          <w:sz w:val="20"/>
        </w:rPr>
        <w:t>Create/approve modal.</w:t>
      </w:r>
    </w:p>
    <w:p>
      <w:pPr>
        <w:pStyle w:val="ListBullet"/>
        <w:ind w:left="0"/>
      </w:pPr>
      <w:r>
        <w:rPr>
          <w:rFonts w:ascii="Aptos" w:hAnsi="Aptos" w:eastAsia="Aptos"/>
          <w:b w:val="0"/>
          <w:i w:val="0"/>
          <w:color w:val="0A1628"/>
          <w:sz w:val="20"/>
        </w:rPr>
        <w:t>Status action modal.</w:t>
      </w:r>
    </w:p>
    <w:p>
      <w:pPr>
        <w:pStyle w:val="ListBullet"/>
        <w:ind w:left="0"/>
      </w:pPr>
      <w:r>
        <w:rPr>
          <w:rFonts w:ascii="Aptos" w:hAnsi="Aptos" w:eastAsia="Aptos"/>
          <w:b w:val="0"/>
          <w:i w:val="0"/>
          <w:color w:val="0A1628"/>
          <w:sz w:val="20"/>
        </w:rPr>
        <w:t>Roles and permissions editor.</w:t>
      </w:r>
    </w:p>
    <w:p>
      <w:pPr>
        <w:pStyle w:val="ListBullet"/>
        <w:ind w:left="0"/>
      </w:pPr>
      <w:r>
        <w:rPr>
          <w:rFonts w:ascii="Aptos" w:hAnsi="Aptos" w:eastAsia="Aptos"/>
          <w:b w:val="0"/>
          <w:i w:val="0"/>
          <w:color w:val="0A1628"/>
          <w:sz w:val="20"/>
        </w:rPr>
        <w:t>Branch/expiry editor.</w:t>
      </w:r>
    </w:p>
    <w:p>
      <w:pPr>
        <w:pStyle w:val="ListBullet"/>
        <w:ind w:left="0"/>
      </w:pPr>
      <w:r>
        <w:rPr>
          <w:rFonts w:ascii="Aptos" w:hAnsi="Aptos" w:eastAsia="Aptos"/>
          <w:b w:val="0"/>
          <w:i w:val="0"/>
          <w:color w:val="0A1628"/>
          <w:sz w:val="20"/>
        </w:rPr>
        <w:t>Login and audit history drawers.</w:t>
      </w:r>
    </w:p>
    <w:p>
      <w:pPr>
        <w:pStyle w:val="Heading3"/>
        <w:keepNext/>
      </w:pPr>
      <w:r>
        <w:rPr>
          <w:rFonts w:ascii="Aptos" w:hAnsi="Aptos" w:eastAsia="Aptos"/>
          <w:b w:val="0"/>
          <w:i w:val="0"/>
          <w:color w:val="0A1628"/>
          <w:sz w:val="20"/>
        </w:rPr>
        <w:t>18.7 Acceptance criteria</w:t>
      </w:r>
    </w:p>
    <w:p>
      <w:pPr>
        <w:pStyle w:val="ListBullet"/>
        <w:ind w:left="0"/>
      </w:pPr>
      <w:r>
        <w:rPr>
          <w:rFonts w:ascii="Aptos" w:hAnsi="Aptos" w:eastAsia="Aptos"/>
          <w:b w:val="0"/>
          <w:i w:val="0"/>
          <w:color w:val="0A1628"/>
          <w:sz w:val="20"/>
        </w:rPr>
        <w:t>No privileged account is created directly from browser Supabase calls.</w:t>
      </w:r>
    </w:p>
    <w:p>
      <w:pPr>
        <w:pStyle w:val="ListBullet"/>
        <w:ind w:left="0"/>
      </w:pPr>
      <w:r>
        <w:rPr>
          <w:rFonts w:ascii="Aptos" w:hAnsi="Aptos" w:eastAsia="Aptos"/>
          <w:b w:val="0"/>
          <w:i w:val="0"/>
          <w:color w:val="0A1628"/>
          <w:sz w:val="20"/>
        </w:rPr>
        <w:t>Role and permission changes are transactional and audited.</w:t>
      </w:r>
    </w:p>
    <w:p>
      <w:pPr>
        <w:pStyle w:val="ListBullet"/>
        <w:ind w:left="0"/>
      </w:pPr>
      <w:r>
        <w:rPr>
          <w:rFonts w:ascii="Aptos" w:hAnsi="Aptos" w:eastAsia="Aptos"/>
          <w:b w:val="0"/>
          <w:i w:val="0"/>
          <w:color w:val="0A1628"/>
          <w:sz w:val="20"/>
        </w:rPr>
        <w:t>Blocked, inactive, expired, or unapproved users cannot access protected routes or mutation RPCs.</w:t>
      </w:r>
    </w:p>
    <w:p>
      <w:pPr>
        <w:pStyle w:val="ListBullet"/>
        <w:ind w:left="0"/>
      </w:pPr>
      <w:r>
        <w:rPr>
          <w:rFonts w:ascii="Aptos" w:hAnsi="Aptos" w:eastAsia="Aptos"/>
          <w:b w:val="0"/>
          <w:i w:val="0"/>
          <w:color w:val="0A1628"/>
          <w:sz w:val="20"/>
        </w:rPr>
        <w:t>Branch restrictions are enforced server-side.</w:t>
      </w:r>
    </w:p>
    <w:p>
      <w:pPr>
        <w:pStyle w:val="ListBullet"/>
        <w:ind w:left="0"/>
      </w:pPr>
      <w:r>
        <w:rPr>
          <w:rFonts w:ascii="Aptos" w:hAnsi="Aptos" w:eastAsia="Aptos"/>
          <w:b w:val="0"/>
          <w:i w:val="0"/>
          <w:color w:val="0A1628"/>
          <w:sz w:val="20"/>
        </w:rPr>
        <w:t>Failed auth-admin actions do not leave partially linked employee/profile records.</w:t>
      </w:r>
    </w:p>
    <w:p>
      <w:pPr>
        <w:pStyle w:val="Heading2"/>
        <w:keepNext/>
      </w:pPr>
      <w:r>
        <w:rPr>
          <w:rFonts w:ascii="Aptos" w:hAnsi="Aptos" w:eastAsia="Aptos"/>
          <w:b w:val="0"/>
          <w:i w:val="0"/>
          <w:color w:val="0A1628"/>
          <w:sz w:val="20"/>
        </w:rPr>
        <w:t>19. Production Environment and UAT Removal</w:t>
      </w:r>
    </w:p>
    <w:p>
      <w:pPr>
        <w:pStyle w:val="Heading3"/>
        <w:keepNext/>
      </w:pPr>
      <w:r>
        <w:rPr>
          <w:rFonts w:ascii="Aptos" w:hAnsi="Aptos" w:eastAsia="Aptos"/>
          <w:b w:val="0"/>
          <w:i w:val="0"/>
          <w:color w:val="0A1628"/>
          <w:sz w:val="20"/>
        </w:rPr>
        <w:t>19.1 Central environment resolver</w:t>
      </w:r>
    </w:p>
    <w:p>
      <w:r>
        <w:rPr>
          <w:rFonts w:ascii="Aptos" w:hAnsi="Aptos" w:eastAsia="Aptos"/>
          <w:b w:val="0"/>
          <w:i w:val="0"/>
          <w:color w:val="0A1628"/>
          <w:sz w:val="20"/>
        </w:rPr>
        <w:t>Create one resolver: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export const APP_ENVIRONMENT =</w:t>
              <w:br/>
              <w:t xml:space="preserve">  String(import.meta.env.VITE_APP_ENVIRONMENT || 'PRODUCTION').toUpperCase();</w:t>
              <w:br/>
              <w:br/>
              <w:t>export const IS_PRODUCTION = APP_ENVIRONMENT === 'PRODUCTION';</w:t>
            </w:r>
          </w:p>
        </w:tc>
      </w:tr>
    </w:tbl>
    <w:p>
      <w:pPr>
        <w:spacing w:after="0"/>
      </w:pPr>
    </w:p>
    <w:p>
      <w:r>
        <w:rPr>
          <w:rFonts w:ascii="Aptos" w:hAnsi="Aptos" w:eastAsia="Aptos"/>
          <w:b w:val="0"/>
          <w:i w:val="0"/>
          <w:color w:val="0A1628"/>
          <w:sz w:val="20"/>
        </w:rPr>
        <w:t xml:space="preserve">The badge must derive from this resolver. In production it must show </w:t>
      </w:r>
      <w:r>
        <w:rPr>
          <w:rFonts w:ascii="Consolas" w:hAnsi="Consolas" w:eastAsia="Consolas"/>
          <w:b w:val="0"/>
          <w:i w:val="0"/>
          <w:color w:val="0A1628"/>
          <w:sz w:val="17"/>
          <w:shd w:fill="EEF2F6"/>
        </w:rPr>
        <w:t>BRITIUM PRODUCTION</w:t>
      </w:r>
      <w:r>
        <w:rPr>
          <w:rFonts w:ascii="Aptos" w:hAnsi="Aptos" w:eastAsia="Aptos"/>
          <w:b w:val="0"/>
          <w:i w:val="0"/>
          <w:color w:val="0A1628"/>
          <w:sz w:val="20"/>
        </w:rPr>
        <w:t xml:space="preserve"> or be hidden.</w:t>
      </w:r>
    </w:p>
    <w:p>
      <w:pPr>
        <w:pStyle w:val="Heading3"/>
        <w:keepNext/>
      </w:pPr>
      <w:r>
        <w:rPr>
          <w:rFonts w:ascii="Aptos" w:hAnsi="Aptos" w:eastAsia="Aptos"/>
          <w:b w:val="0"/>
          <w:i w:val="0"/>
          <w:color w:val="0A1628"/>
          <w:sz w:val="20"/>
        </w:rPr>
        <w:t>19.2 Route policy</w:t>
      </w:r>
    </w:p>
    <w:p>
      <w:r>
        <w:rPr>
          <w:rFonts w:ascii="Aptos" w:hAnsi="Aptos" w:eastAsia="Aptos"/>
          <w:b w:val="0"/>
          <w:i w:val="0"/>
          <w:color w:val="0A1628"/>
          <w:sz w:val="20"/>
        </w:rPr>
        <w:t>In production:</w:t>
      </w:r>
    </w:p>
    <w:p>
      <w:pPr>
        <w:pStyle w:val="ListBullet"/>
        <w:ind w:left="0"/>
      </w:pPr>
      <w:r>
        <w:rPr>
          <w:rFonts w:ascii="Aptos" w:hAnsi="Aptos" w:eastAsia="Aptos"/>
          <w:b w:val="0"/>
          <w:i w:val="0"/>
          <w:color w:val="0A1628"/>
          <w:sz w:val="20"/>
        </w:rPr>
        <w:t xml:space="preserve">Remove or hide </w:t>
      </w:r>
      <w:r>
        <w:rPr>
          <w:rFonts w:ascii="Consolas" w:hAnsi="Consolas" w:eastAsia="Consolas"/>
          <w:b w:val="0"/>
          <w:i w:val="0"/>
          <w:color w:val="0A1628"/>
          <w:sz w:val="17"/>
          <w:shd w:fill="EEF2F6"/>
        </w:rPr>
        <w:t>/data-entry-uat</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Remove or hide </w:t>
      </w:r>
      <w:r>
        <w:rPr>
          <w:rFonts w:ascii="Consolas" w:hAnsi="Consolas" w:eastAsia="Consolas"/>
          <w:b w:val="0"/>
          <w:i w:val="0"/>
          <w:color w:val="0A1628"/>
          <w:sz w:val="17"/>
          <w:shd w:fill="EEF2F6"/>
        </w:rPr>
        <w:t>/warehouse-uat</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Rename or replace the UAT readiness page with a production readiness/health page.</w:t>
      </w:r>
    </w:p>
    <w:p>
      <w:pPr>
        <w:pStyle w:val="ListBullet"/>
        <w:ind w:left="0"/>
      </w:pPr>
      <w:r>
        <w:rPr>
          <w:rFonts w:ascii="Aptos" w:hAnsi="Aptos" w:eastAsia="Aptos"/>
          <w:b w:val="0"/>
          <w:i w:val="0"/>
          <w:color w:val="0A1628"/>
          <w:sz w:val="20"/>
        </w:rPr>
        <w:t>Do not import UAT-only modules into the production route registry when they are not permitted.</w:t>
      </w:r>
    </w:p>
    <w:p>
      <w:pPr>
        <w:pStyle w:val="ListBullet"/>
        <w:ind w:left="0"/>
      </w:pPr>
      <w:r>
        <w:rPr>
          <w:rFonts w:ascii="Aptos" w:hAnsi="Aptos" w:eastAsia="Aptos"/>
          <w:b w:val="0"/>
          <w:i w:val="0"/>
          <w:color w:val="0A1628"/>
          <w:sz w:val="20"/>
        </w:rPr>
        <w:t>Redirect retired routes to the production equivalent with an audit/log message where needed.</w:t>
      </w:r>
    </w:p>
    <w:p>
      <w:pPr>
        <w:pStyle w:val="Heading3"/>
        <w:keepNext/>
      </w:pPr>
      <w:r>
        <w:rPr>
          <w:rFonts w:ascii="Aptos" w:hAnsi="Aptos" w:eastAsia="Aptos"/>
          <w:b w:val="0"/>
          <w:i w:val="0"/>
          <w:color w:val="0A1628"/>
          <w:sz w:val="20"/>
        </w:rPr>
        <w:t>19.3 Build checks</w:t>
      </w:r>
    </w:p>
    <w:p>
      <w:r>
        <w:rPr>
          <w:rFonts w:ascii="Aptos" w:hAnsi="Aptos" w:eastAsia="Aptos"/>
          <w:b w:val="0"/>
          <w:i w:val="0"/>
          <w:color w:val="0A1628"/>
          <w:sz w:val="20"/>
        </w:rPr>
        <w:t xml:space="preserve">Add a CI check after </w:t>
      </w:r>
      <w:r>
        <w:rPr>
          <w:rFonts w:ascii="Consolas" w:hAnsi="Consolas" w:eastAsia="Consolas"/>
          <w:b w:val="0"/>
          <w:i w:val="0"/>
          <w:color w:val="0A1628"/>
          <w:sz w:val="17"/>
          <w:shd w:fill="EEF2F6"/>
        </w:rPr>
        <w:t>vite build</w:t>
      </w:r>
      <w:r>
        <w:rPr>
          <w:rFonts w:ascii="Aptos" w:hAnsi="Aptos" w:eastAsia="Aptos"/>
          <w:b w:val="0"/>
          <w:i w:val="0"/>
          <w:color w:val="0A1628"/>
          <w:sz w:val="20"/>
        </w:rPr>
        <w: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if grep -R "BRITIUM GO-LIVE UAT" dist; then</w:t>
              <w:br/>
              <w:t xml:space="preserve">  echo "UAT label found in production bundle"</w:t>
              <w:br/>
              <w:t xml:space="preserve">  exit 1</w:t>
              <w:br/>
              <w:t>fi</w:t>
            </w:r>
          </w:p>
        </w:tc>
      </w:tr>
    </w:tbl>
    <w:p>
      <w:pPr>
        <w:spacing w:after="0"/>
      </w:pPr>
    </w:p>
    <w:p>
      <w:r>
        <w:rPr>
          <w:rFonts w:ascii="Aptos" w:hAnsi="Aptos" w:eastAsia="Aptos"/>
          <w:b w:val="0"/>
          <w:i w:val="0"/>
          <w:color w:val="0A1628"/>
          <w:sz w:val="20"/>
        </w:rPr>
        <w:t xml:space="preserve">Also reject forbidden production sidebar labels such as </w:t>
      </w:r>
      <w:r>
        <w:rPr>
          <w:rFonts w:ascii="Consolas" w:hAnsi="Consolas" w:eastAsia="Consolas"/>
          <w:b w:val="0"/>
          <w:i w:val="0"/>
          <w:color w:val="0A1628"/>
          <w:sz w:val="17"/>
          <w:shd w:fill="EEF2F6"/>
        </w:rPr>
        <w:t>Mobile Sandbox</w:t>
      </w:r>
      <w:r>
        <w:rPr>
          <w:rFonts w:ascii="Aptos" w:hAnsi="Aptos" w:eastAsia="Aptos"/>
          <w:b w:val="0"/>
          <w:i w:val="0"/>
          <w:color w:val="0A1628"/>
          <w:sz w:val="20"/>
        </w:rPr>
        <w:t>.</w:t>
      </w:r>
    </w:p>
    <w:p>
      <w:pPr>
        <w:pStyle w:val="Heading3"/>
        <w:keepNext/>
      </w:pPr>
      <w:r>
        <w:rPr>
          <w:rFonts w:ascii="Aptos" w:hAnsi="Aptos" w:eastAsia="Aptos"/>
          <w:b w:val="0"/>
          <w:i w:val="0"/>
          <w:color w:val="0A1628"/>
          <w:sz w:val="20"/>
        </w:rPr>
        <w:t>19.4 Acceptance criteria</w:t>
      </w:r>
    </w:p>
    <w:p>
      <w:pPr>
        <w:pStyle w:val="ListBullet"/>
        <w:ind w:left="0"/>
      </w:pPr>
      <w:r>
        <w:rPr>
          <w:rFonts w:ascii="Aptos" w:hAnsi="Aptos" w:eastAsia="Aptos"/>
          <w:b w:val="0"/>
          <w:i w:val="0"/>
          <w:color w:val="0A1628"/>
          <w:sz w:val="20"/>
        </w:rPr>
        <w:t>Production hostname never shows a UAT badge.</w:t>
      </w:r>
    </w:p>
    <w:p>
      <w:pPr>
        <w:pStyle w:val="ListBullet"/>
        <w:ind w:left="0"/>
      </w:pPr>
      <w:r>
        <w:rPr>
          <w:rFonts w:ascii="Aptos" w:hAnsi="Aptos" w:eastAsia="Aptos"/>
          <w:b w:val="0"/>
          <w:i w:val="0"/>
          <w:color w:val="0A1628"/>
          <w:sz w:val="20"/>
        </w:rPr>
        <w:t>UAT-only routes are inaccessible in production.</w:t>
      </w:r>
    </w:p>
    <w:p>
      <w:pPr>
        <w:pStyle w:val="ListBullet"/>
        <w:ind w:left="0"/>
      </w:pPr>
      <w:r>
        <w:rPr>
          <w:rFonts w:ascii="Aptos" w:hAnsi="Aptos" w:eastAsia="Aptos"/>
          <w:b w:val="0"/>
          <w:i w:val="0"/>
          <w:color w:val="0A1628"/>
          <w:sz w:val="20"/>
        </w:rPr>
        <w:t>Environment labels are not hardcoded in feature pages.</w:t>
      </w:r>
    </w:p>
    <w:p>
      <w:pPr>
        <w:pStyle w:val="ListBullet"/>
        <w:ind w:left="0"/>
      </w:pPr>
      <w:r>
        <w:rPr>
          <w:rFonts w:ascii="Aptos" w:hAnsi="Aptos" w:eastAsia="Aptos"/>
          <w:b w:val="0"/>
          <w:i w:val="0"/>
          <w:color w:val="0A1628"/>
          <w:sz w:val="20"/>
        </w:rPr>
        <w:t>Development and staging can still expose their correct environment labels.</w:t>
      </w:r>
    </w:p>
    <w:p>
      <w:pPr>
        <w:pStyle w:val="Heading2"/>
        <w:keepNext/>
      </w:pPr>
      <w:r>
        <w:rPr>
          <w:rFonts w:ascii="Aptos" w:hAnsi="Aptos" w:eastAsia="Aptos"/>
          <w:b w:val="0"/>
          <w:i w:val="0"/>
          <w:color w:val="0A1628"/>
          <w:sz w:val="20"/>
        </w:rPr>
        <w:t>20. Database and API Migration Sequence</w:t>
      </w:r>
    </w:p>
    <w:p>
      <w:pPr>
        <w:pStyle w:val="Heading3"/>
        <w:keepNext/>
      </w:pPr>
      <w:r>
        <w:rPr>
          <w:rFonts w:ascii="Aptos" w:hAnsi="Aptos" w:eastAsia="Aptos"/>
          <w:b w:val="0"/>
          <w:i w:val="0"/>
          <w:color w:val="0A1628"/>
          <w:sz w:val="20"/>
        </w:rPr>
        <w:t>Phase 0 - Inventory and backups</w:t>
      </w:r>
    </w:p>
    <w:p>
      <w:pPr>
        <w:pStyle w:val="ListBullet"/>
        <w:ind w:left="0"/>
      </w:pPr>
      <w:r>
        <w:rPr>
          <w:rFonts w:ascii="Aptos" w:hAnsi="Aptos" w:eastAsia="Aptos"/>
          <w:b w:val="0"/>
          <w:i w:val="0"/>
          <w:color w:val="0A1628"/>
          <w:sz w:val="20"/>
        </w:rPr>
        <w:t>Export current definitions of all called RPCs.</w:t>
      </w:r>
    </w:p>
    <w:p>
      <w:pPr>
        <w:pStyle w:val="ListBullet"/>
        <w:ind w:left="0"/>
      </w:pPr>
      <w:r>
        <w:rPr>
          <w:rFonts w:ascii="Aptos" w:hAnsi="Aptos" w:eastAsia="Aptos"/>
          <w:b w:val="0"/>
          <w:i w:val="0"/>
          <w:color w:val="0A1628"/>
          <w:sz w:val="20"/>
        </w:rPr>
        <w:t>Export table schemas, policies, grants, triggers, and dependent views.</w:t>
      </w:r>
    </w:p>
    <w:p>
      <w:pPr>
        <w:pStyle w:val="ListBullet"/>
        <w:ind w:left="0"/>
      </w:pPr>
      <w:r>
        <w:rPr>
          <w:rFonts w:ascii="Aptos" w:hAnsi="Aptos" w:eastAsia="Aptos"/>
          <w:b w:val="0"/>
          <w:i w:val="0"/>
          <w:color w:val="0A1628"/>
          <w:sz w:val="20"/>
        </w:rPr>
        <w:t>Snapshot mismatch counts and financial totals.</w:t>
      </w:r>
    </w:p>
    <w:p>
      <w:pPr>
        <w:pStyle w:val="ListBullet"/>
        <w:ind w:left="0"/>
      </w:pPr>
      <w:r>
        <w:rPr>
          <w:rFonts w:ascii="Aptos" w:hAnsi="Aptos" w:eastAsia="Aptos"/>
          <w:b w:val="0"/>
          <w:i w:val="0"/>
          <w:color w:val="0A1628"/>
          <w:sz w:val="20"/>
        </w:rPr>
        <w:t>Record the current production build and migration version.</w:t>
      </w:r>
    </w:p>
    <w:p>
      <w:pPr>
        <w:pStyle w:val="Heading3"/>
        <w:keepNext/>
      </w:pPr>
      <w:r>
        <w:rPr>
          <w:rFonts w:ascii="Aptos" w:hAnsi="Aptos" w:eastAsia="Aptos"/>
          <w:b w:val="0"/>
          <w:i w:val="0"/>
          <w:color w:val="0A1628"/>
          <w:sz w:val="20"/>
        </w:rPr>
        <w:t>Phase 1 - Canonical lineage</w:t>
      </w:r>
    </w:p>
    <w:p>
      <w:pPr>
        <w:pStyle w:val="ListBullet"/>
        <w:ind w:left="0"/>
      </w:pPr>
      <w:r>
        <w:rPr>
          <w:rFonts w:ascii="Aptos" w:hAnsi="Aptos" w:eastAsia="Aptos"/>
          <w:b w:val="0"/>
          <w:i w:val="0"/>
          <w:color w:val="0A1628"/>
          <w:sz w:val="20"/>
        </w:rPr>
        <w:t>Add shared ID parser.</w:t>
      </w:r>
    </w:p>
    <w:p>
      <w:pPr>
        <w:pStyle w:val="ListBullet"/>
        <w:ind w:left="0"/>
      </w:pPr>
      <w:r>
        <w:rPr>
          <w:rFonts w:ascii="Aptos" w:hAnsi="Aptos" w:eastAsia="Aptos"/>
          <w:b w:val="0"/>
          <w:i w:val="0"/>
          <w:color w:val="0A1628"/>
          <w:sz w:val="20"/>
        </w:rPr>
        <w:t xml:space="preserve">Standardize </w:t>
      </w:r>
      <w:r>
        <w:rPr>
          <w:rFonts w:ascii="Consolas" w:hAnsi="Consolas" w:eastAsia="Consolas"/>
          <w:b w:val="0"/>
          <w:i w:val="0"/>
          <w:color w:val="0A1628"/>
          <w:sz w:val="17"/>
          <w:shd w:fill="EEF2F6"/>
        </w:rPr>
        <w:t>pickup_id</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Correct final-sync refresh and certification guards.</w:t>
      </w:r>
    </w:p>
    <w:p>
      <w:pPr>
        <w:pStyle w:val="ListBullet"/>
        <w:ind w:left="0"/>
      </w:pPr>
      <w:r>
        <w:rPr>
          <w:rFonts w:ascii="Aptos" w:hAnsi="Aptos" w:eastAsia="Aptos"/>
          <w:b w:val="0"/>
          <w:i w:val="0"/>
          <w:color w:val="0A1628"/>
          <w:sz w:val="20"/>
        </w:rPr>
        <w:t>Audit and backfill lineage.</w:t>
      </w:r>
    </w:p>
    <w:p>
      <w:pPr>
        <w:pStyle w:val="Heading3"/>
        <w:keepNext/>
      </w:pPr>
      <w:r>
        <w:rPr>
          <w:rFonts w:ascii="Aptos" w:hAnsi="Aptos" w:eastAsia="Aptos"/>
          <w:b w:val="0"/>
          <w:i w:val="0"/>
          <w:color w:val="0A1628"/>
          <w:sz w:val="20"/>
        </w:rPr>
        <w:t>Phase 2 - Financial V2</w:t>
      </w:r>
    </w:p>
    <w:p>
      <w:pPr>
        <w:pStyle w:val="ListBullet"/>
        <w:ind w:left="0"/>
      </w:pPr>
      <w:r>
        <w:rPr>
          <w:rFonts w:ascii="Aptos" w:hAnsi="Aptos" w:eastAsia="Aptos"/>
          <w:b w:val="0"/>
          <w:i w:val="0"/>
          <w:color w:val="0A1628"/>
          <w:sz w:val="20"/>
        </w:rPr>
        <w:t>Add canonical financial columns and compatibility views.</w:t>
      </w:r>
    </w:p>
    <w:p>
      <w:pPr>
        <w:pStyle w:val="ListBullet"/>
        <w:ind w:left="0"/>
      </w:pPr>
      <w:r>
        <w:rPr>
          <w:rFonts w:ascii="Aptos" w:hAnsi="Aptos" w:eastAsia="Aptos"/>
          <w:b w:val="0"/>
          <w:i w:val="0"/>
          <w:color w:val="0A1628"/>
          <w:sz w:val="20"/>
        </w:rPr>
        <w:t>Deploy calculation, save, import, and waybill RPCs.</w:t>
      </w:r>
    </w:p>
    <w:p>
      <w:pPr>
        <w:pStyle w:val="ListBullet"/>
        <w:ind w:left="0"/>
      </w:pPr>
      <w:r>
        <w:rPr>
          <w:rFonts w:ascii="Aptos" w:hAnsi="Aptos" w:eastAsia="Aptos"/>
          <w:b w:val="0"/>
          <w:i w:val="0"/>
          <w:color w:val="0A1628"/>
          <w:sz w:val="20"/>
        </w:rPr>
        <w:t>Deploy new Data Entry screen behind a feature flag.</w:t>
      </w:r>
    </w:p>
    <w:p>
      <w:pPr>
        <w:pStyle w:val="ListBullet"/>
        <w:ind w:left="0"/>
      </w:pPr>
      <w:r>
        <w:rPr>
          <w:rFonts w:ascii="Aptos" w:hAnsi="Aptos" w:eastAsia="Aptos"/>
          <w:b w:val="0"/>
          <w:i w:val="0"/>
          <w:color w:val="0A1628"/>
          <w:sz w:val="20"/>
        </w:rPr>
        <w:t>Reconcile a controlled parcel sample before full rollout.</w:t>
      </w:r>
    </w:p>
    <w:p>
      <w:pPr>
        <w:pStyle w:val="Heading3"/>
        <w:keepNext/>
      </w:pPr>
      <w:r>
        <w:rPr>
          <w:rFonts w:ascii="Aptos" w:hAnsi="Aptos" w:eastAsia="Aptos"/>
          <w:b w:val="0"/>
          <w:i w:val="0"/>
          <w:color w:val="0A1628"/>
          <w:sz w:val="20"/>
        </w:rPr>
        <w:t>Phase 3 - Security</w:t>
      </w:r>
    </w:p>
    <w:p>
      <w:pPr>
        <w:pStyle w:val="ListBullet"/>
        <w:ind w:left="0"/>
      </w:pPr>
      <w:r>
        <w:rPr>
          <w:rFonts w:ascii="Aptos" w:hAnsi="Aptos" w:eastAsia="Aptos"/>
          <w:b w:val="0"/>
          <w:i w:val="0"/>
          <w:color w:val="0A1628"/>
          <w:sz w:val="20"/>
        </w:rPr>
        <w:t>Deploy audit model and role checks.</w:t>
      </w:r>
    </w:p>
    <w:p>
      <w:pPr>
        <w:pStyle w:val="ListBullet"/>
        <w:ind w:left="0"/>
      </w:pPr>
      <w:r>
        <w:rPr>
          <w:rFonts w:ascii="Aptos" w:hAnsi="Aptos" w:eastAsia="Aptos"/>
          <w:b w:val="0"/>
          <w:i w:val="0"/>
          <w:color w:val="0A1628"/>
          <w:sz w:val="20"/>
        </w:rPr>
        <w:t>Deploy Admin/HR mutations.</w:t>
      </w:r>
    </w:p>
    <w:p>
      <w:pPr>
        <w:pStyle w:val="ListBullet"/>
        <w:ind w:left="0"/>
      </w:pPr>
      <w:r>
        <w:rPr>
          <w:rFonts w:ascii="Aptos" w:hAnsi="Aptos" w:eastAsia="Aptos"/>
          <w:b w:val="0"/>
          <w:i w:val="0"/>
          <w:color w:val="0A1628"/>
          <w:sz w:val="20"/>
        </w:rPr>
        <w:t>Deploy trusted account-admin service and account RPCs.</w:t>
      </w:r>
    </w:p>
    <w:p>
      <w:pPr>
        <w:pStyle w:val="ListBullet"/>
        <w:ind w:left="0"/>
      </w:pPr>
      <w:r>
        <w:rPr>
          <w:rFonts w:ascii="Aptos" w:hAnsi="Aptos" w:eastAsia="Aptos"/>
          <w:b w:val="0"/>
          <w:i w:val="0"/>
          <w:color w:val="0A1628"/>
          <w:sz w:val="20"/>
        </w:rPr>
        <w:t>Remove broad direct-write policies from protected tables.</w:t>
      </w:r>
    </w:p>
    <w:p>
      <w:pPr>
        <w:pStyle w:val="Heading3"/>
        <w:keepNext/>
      </w:pPr>
      <w:r>
        <w:rPr>
          <w:rFonts w:ascii="Aptos" w:hAnsi="Aptos" w:eastAsia="Aptos"/>
          <w:b w:val="0"/>
          <w:i w:val="0"/>
          <w:color w:val="0A1628"/>
          <w:sz w:val="20"/>
        </w:rPr>
        <w:t>Phase 4 - Network fulfillment and outsourced settlement</w:t>
      </w:r>
    </w:p>
    <w:p>
      <w:pPr>
        <w:pStyle w:val="ListBullet"/>
        <w:ind w:left="0"/>
      </w:pPr>
      <w:r>
        <w:rPr>
          <w:rFonts w:ascii="Aptos" w:hAnsi="Aptos" w:eastAsia="Aptos"/>
          <w:b w:val="0"/>
          <w:i w:val="0"/>
          <w:color w:val="0A1628"/>
          <w:sz w:val="20"/>
        </w:rPr>
        <w:t>Deploy provider, branch, coverage, partner tariff, and status-mapping masters.</w:t>
      </w:r>
    </w:p>
    <w:p>
      <w:pPr>
        <w:pStyle w:val="ListBullet"/>
        <w:ind w:left="0"/>
      </w:pPr>
      <w:r>
        <w:rPr>
          <w:rFonts w:ascii="Aptos" w:hAnsi="Aptos" w:eastAsia="Aptos"/>
          <w:b w:val="0"/>
          <w:i w:val="0"/>
          <w:color w:val="0A1628"/>
          <w:sz w:val="20"/>
        </w:rPr>
        <w:t>Seed the attached township list as coverage candidates and explicitly classify direct, branch, and outsourced reachability.</w:t>
      </w:r>
    </w:p>
    <w:p>
      <w:pPr>
        <w:pStyle w:val="ListBullet"/>
        <w:ind w:left="0"/>
      </w:pPr>
      <w:r>
        <w:rPr>
          <w:rFonts w:ascii="Aptos" w:hAnsi="Aptos" w:eastAsia="Aptos"/>
          <w:b w:val="0"/>
          <w:i w:val="0"/>
          <w:color w:val="0A1628"/>
          <w:sz w:val="20"/>
        </w:rPr>
        <w:t>Deploy routing, assignment, manifest, tracking, POD, COD custody, partner settlement, and branch reconciliation RPCs.</w:t>
      </w:r>
    </w:p>
    <w:p>
      <w:pPr>
        <w:pStyle w:val="ListBullet"/>
        <w:ind w:left="0"/>
      </w:pPr>
      <w:r>
        <w:rPr>
          <w:rFonts w:ascii="Aptos" w:hAnsi="Aptos" w:eastAsia="Aptos"/>
          <w:b w:val="0"/>
          <w:i w:val="0"/>
          <w:color w:val="0A1628"/>
          <w:sz w:val="20"/>
        </w:rPr>
        <w:t>Configure Mandalay-to-DK and Nay Pyi Taw branch-managed rules with effective dates.</w:t>
      </w:r>
    </w:p>
    <w:p>
      <w:pPr>
        <w:pStyle w:val="ListBullet"/>
        <w:ind w:left="0"/>
      </w:pPr>
      <w:r>
        <w:rPr>
          <w:rFonts w:ascii="Aptos" w:hAnsi="Aptos" w:eastAsia="Aptos"/>
          <w:b w:val="0"/>
          <w:i w:val="0"/>
          <w:color w:val="0A1628"/>
          <w:sz w:val="20"/>
        </w:rPr>
        <w:t>Pilot one provider and one branch before enabling all providers.</w:t>
      </w:r>
    </w:p>
    <w:p>
      <w:pPr>
        <w:pStyle w:val="Heading3"/>
        <w:keepNext/>
      </w:pPr>
      <w:r>
        <w:rPr>
          <w:rFonts w:ascii="Aptos" w:hAnsi="Aptos" w:eastAsia="Aptos"/>
          <w:b w:val="0"/>
          <w:i w:val="0"/>
          <w:color w:val="0A1628"/>
          <w:sz w:val="20"/>
        </w:rPr>
        <w:t>Phase 5 - Operational support and environment</w:t>
      </w:r>
    </w:p>
    <w:p>
      <w:pPr>
        <w:pStyle w:val="ListBullet"/>
        <w:ind w:left="0"/>
      </w:pPr>
      <w:r>
        <w:rPr>
          <w:rFonts w:ascii="Aptos" w:hAnsi="Aptos" w:eastAsia="Aptos"/>
          <w:b w:val="0"/>
          <w:i w:val="0"/>
          <w:color w:val="0A1628"/>
          <w:sz w:val="20"/>
        </w:rPr>
        <w:t>Add Mobile Operations route and console.</w:t>
      </w:r>
    </w:p>
    <w:p>
      <w:pPr>
        <w:pStyle w:val="ListBullet"/>
        <w:ind w:left="0"/>
      </w:pPr>
      <w:r>
        <w:rPr>
          <w:rFonts w:ascii="Aptos" w:hAnsi="Aptos" w:eastAsia="Aptos"/>
          <w:b w:val="0"/>
          <w:i w:val="0"/>
          <w:color w:val="0A1628"/>
          <w:sz w:val="20"/>
        </w:rPr>
        <w:t>Separate rider field route.</w:t>
      </w:r>
    </w:p>
    <w:p>
      <w:pPr>
        <w:pStyle w:val="ListBullet"/>
        <w:ind w:left="0"/>
      </w:pPr>
      <w:r>
        <w:rPr>
          <w:rFonts w:ascii="Aptos" w:hAnsi="Aptos" w:eastAsia="Aptos"/>
          <w:b w:val="0"/>
          <w:i w:val="0"/>
          <w:color w:val="0A1628"/>
          <w:sz w:val="20"/>
        </w:rPr>
        <w:t>Remove UAT presentation and routes from production.</w:t>
      </w:r>
    </w:p>
    <w:p>
      <w:pPr>
        <w:pStyle w:val="Heading3"/>
        <w:keepNext/>
      </w:pPr>
      <w:r>
        <w:rPr>
          <w:rFonts w:ascii="Aptos" w:hAnsi="Aptos" w:eastAsia="Aptos"/>
          <w:b w:val="0"/>
          <w:i w:val="0"/>
          <w:color w:val="0A1628"/>
          <w:sz w:val="20"/>
        </w:rPr>
        <w:t>Phase 6 - Growth dashboards</w:t>
      </w:r>
    </w:p>
    <w:p>
      <w:pPr>
        <w:pStyle w:val="ListBullet"/>
        <w:ind w:left="0"/>
      </w:pPr>
      <w:r>
        <w:rPr>
          <w:rFonts w:ascii="Aptos" w:hAnsi="Aptos" w:eastAsia="Aptos"/>
          <w:b w:val="0"/>
          <w:i w:val="0"/>
          <w:color w:val="0A1628"/>
          <w:sz w:val="20"/>
        </w:rPr>
        <w:t>Deploy consolidated BD RPC and page.</w:t>
      </w:r>
    </w:p>
    <w:p>
      <w:pPr>
        <w:pStyle w:val="ListBullet"/>
        <w:ind w:left="0"/>
      </w:pPr>
      <w:r>
        <w:rPr>
          <w:rFonts w:ascii="Aptos" w:hAnsi="Aptos" w:eastAsia="Aptos"/>
          <w:b w:val="0"/>
          <w:i w:val="0"/>
          <w:color w:val="0A1628"/>
          <w:sz w:val="20"/>
        </w:rPr>
        <w:t>Deploy Live Marketing analytics.</w:t>
      </w:r>
    </w:p>
    <w:p>
      <w:pPr>
        <w:pStyle w:val="ListBullet"/>
        <w:ind w:left="0"/>
      </w:pPr>
      <w:r>
        <w:rPr>
          <w:rFonts w:ascii="Aptos" w:hAnsi="Aptos" w:eastAsia="Aptos"/>
          <w:b w:val="0"/>
          <w:i w:val="0"/>
          <w:color w:val="0A1628"/>
          <w:sz w:val="20"/>
        </w:rPr>
        <w:t>Deploy Marketing Portal workflows.</w:t>
      </w:r>
    </w:p>
    <w:p>
      <w:pPr>
        <w:pStyle w:val="ListBullet"/>
        <w:ind w:left="0"/>
      </w:pPr>
      <w:r>
        <w:rPr>
          <w:rFonts w:ascii="Aptos" w:hAnsi="Aptos" w:eastAsia="Aptos"/>
          <w:b w:val="0"/>
          <w:i w:val="0"/>
          <w:color w:val="0A1628"/>
          <w:sz w:val="20"/>
        </w:rPr>
        <w:t>Remove static and duplicate pages after validation.</w:t>
      </w:r>
    </w:p>
    <w:p>
      <w:pPr>
        <w:pStyle w:val="Heading2"/>
        <w:keepNext/>
      </w:pPr>
      <w:r>
        <w:rPr>
          <w:rFonts w:ascii="Aptos" w:hAnsi="Aptos" w:eastAsia="Aptos"/>
          <w:b w:val="0"/>
          <w:i w:val="0"/>
          <w:color w:val="0A1628"/>
          <w:sz w:val="20"/>
        </w:rPr>
        <w:t>21. Testing Strategy</w:t>
      </w:r>
    </w:p>
    <w:p>
      <w:pPr>
        <w:pStyle w:val="Heading3"/>
        <w:keepNext/>
      </w:pPr>
      <w:r>
        <w:rPr>
          <w:rFonts w:ascii="Aptos" w:hAnsi="Aptos" w:eastAsia="Aptos"/>
          <w:b w:val="0"/>
          <w:i w:val="0"/>
          <w:color w:val="0A1628"/>
          <w:sz w:val="20"/>
        </w:rPr>
        <w:t>13.1 Database tests</w:t>
      </w:r>
    </w:p>
    <w:p>
      <w:pPr>
        <w:pStyle w:val="ListBullet"/>
        <w:ind w:left="0"/>
      </w:pPr>
      <w:r>
        <w:rPr>
          <w:rFonts w:ascii="Aptos" w:hAnsi="Aptos" w:eastAsia="Aptos"/>
          <w:b w:val="0"/>
          <w:i w:val="0"/>
          <w:color w:val="0A1628"/>
          <w:sz w:val="20"/>
        </w:rPr>
        <w:t>Canonical ID parser tests.</w:t>
      </w:r>
    </w:p>
    <w:p>
      <w:pPr>
        <w:pStyle w:val="ListBullet"/>
        <w:ind w:left="0"/>
      </w:pPr>
      <w:r>
        <w:rPr>
          <w:rFonts w:ascii="Aptos" w:hAnsi="Aptos" w:eastAsia="Aptos"/>
          <w:b w:val="0"/>
          <w:i w:val="0"/>
          <w:color w:val="0A1628"/>
          <w:sz w:val="20"/>
        </w:rPr>
        <w:t>Lineage mismatch tests.</w:t>
      </w:r>
    </w:p>
    <w:p>
      <w:pPr>
        <w:pStyle w:val="ListBullet"/>
        <w:ind w:left="0"/>
      </w:pPr>
      <w:r>
        <w:rPr>
          <w:rFonts w:ascii="Aptos" w:hAnsi="Aptos" w:eastAsia="Aptos"/>
          <w:b w:val="0"/>
          <w:i w:val="0"/>
          <w:color w:val="0A1628"/>
          <w:sz w:val="20"/>
        </w:rPr>
        <w:t>Certification rejection tests.</w:t>
      </w:r>
    </w:p>
    <w:p>
      <w:pPr>
        <w:pStyle w:val="ListBullet"/>
        <w:ind w:left="0"/>
      </w:pPr>
      <w:r>
        <w:rPr>
          <w:rFonts w:ascii="Aptos" w:hAnsi="Aptos" w:eastAsia="Aptos"/>
          <w:b w:val="0"/>
          <w:i w:val="0"/>
          <w:color w:val="0A1628"/>
          <w:sz w:val="20"/>
        </w:rPr>
        <w:t>Financial calculation tests for all amount-entry types.</w:t>
      </w:r>
    </w:p>
    <w:p>
      <w:pPr>
        <w:pStyle w:val="ListBullet"/>
        <w:ind w:left="0"/>
      </w:pPr>
      <w:r>
        <w:rPr>
          <w:rFonts w:ascii="Aptos" w:hAnsi="Aptos" w:eastAsia="Aptos"/>
          <w:b w:val="0"/>
          <w:i w:val="0"/>
          <w:color w:val="0A1628"/>
          <w:sz w:val="20"/>
        </w:rPr>
        <w:t>Tariff snapshot persistence tests.</w:t>
      </w:r>
    </w:p>
    <w:p>
      <w:pPr>
        <w:pStyle w:val="ListBullet"/>
        <w:ind w:left="0"/>
      </w:pPr>
      <w:r>
        <w:rPr>
          <w:rFonts w:ascii="Aptos" w:hAnsi="Aptos" w:eastAsia="Aptos"/>
          <w:b w:val="0"/>
          <w:i w:val="0"/>
          <w:color w:val="0A1628"/>
          <w:sz w:val="20"/>
        </w:rPr>
        <w:t>Idempotency tests.</w:t>
      </w:r>
    </w:p>
    <w:p>
      <w:pPr>
        <w:pStyle w:val="ListBullet"/>
        <w:ind w:left="0"/>
      </w:pPr>
      <w:r>
        <w:rPr>
          <w:rFonts w:ascii="Aptos" w:hAnsi="Aptos" w:eastAsia="Aptos"/>
          <w:b w:val="0"/>
          <w:i w:val="0"/>
          <w:color w:val="0A1628"/>
          <w:sz w:val="20"/>
        </w:rPr>
        <w:t>Role, branch, expiry, inactive-account, and self-escalation tests.</w:t>
      </w:r>
    </w:p>
    <w:p>
      <w:pPr>
        <w:pStyle w:val="ListBullet"/>
        <w:ind w:left="0"/>
      </w:pPr>
      <w:r>
        <w:rPr>
          <w:rFonts w:ascii="Aptos" w:hAnsi="Aptos" w:eastAsia="Aptos"/>
          <w:b w:val="0"/>
          <w:i w:val="0"/>
          <w:color w:val="0A1628"/>
          <w:sz w:val="20"/>
        </w:rPr>
        <w:t>Audit atomicity tests.</w:t>
      </w:r>
    </w:p>
    <w:p>
      <w:pPr>
        <w:pStyle w:val="ListBullet"/>
        <w:ind w:left="0"/>
      </w:pPr>
      <w:r>
        <w:rPr>
          <w:rFonts w:ascii="Aptos" w:hAnsi="Aptos" w:eastAsia="Aptos"/>
          <w:b w:val="0"/>
          <w:i w:val="0"/>
          <w:color w:val="0A1628"/>
          <w:sz w:val="20"/>
        </w:rPr>
        <w:t>Coverage and routing-priority tests.</w:t>
      </w:r>
    </w:p>
    <w:p>
      <w:pPr>
        <w:pStyle w:val="ListBullet"/>
        <w:ind w:left="0"/>
      </w:pPr>
      <w:r>
        <w:rPr>
          <w:rFonts w:ascii="Aptos" w:hAnsi="Aptos" w:eastAsia="Aptos"/>
          <w:b w:val="0"/>
          <w:i w:val="0"/>
          <w:color w:val="0A1628"/>
          <w:sz w:val="20"/>
        </w:rPr>
        <w:t>Provider tariff snapshot tests.</w:t>
      </w:r>
    </w:p>
    <w:p>
      <w:pPr>
        <w:pStyle w:val="ListBullet"/>
        <w:ind w:left="0"/>
      </w:pPr>
      <w:r>
        <w:rPr>
          <w:rFonts w:ascii="Aptos" w:hAnsi="Aptos" w:eastAsia="Aptos"/>
          <w:b w:val="0"/>
          <w:i w:val="0"/>
          <w:color w:val="0A1628"/>
          <w:sz w:val="20"/>
        </w:rPr>
        <w:t>Partner tracking event idempotency and out-of-order event tests.</w:t>
      </w:r>
    </w:p>
    <w:p>
      <w:pPr>
        <w:pStyle w:val="ListBullet"/>
        <w:ind w:left="0"/>
      </w:pPr>
      <w:r>
        <w:rPr>
          <w:rFonts w:ascii="Aptos" w:hAnsi="Aptos" w:eastAsia="Aptos"/>
          <w:b w:val="0"/>
          <w:i w:val="0"/>
          <w:color w:val="0A1628"/>
          <w:sz w:val="20"/>
        </w:rPr>
        <w:t>Manifest parcel-count and acceptance tests.</w:t>
      </w:r>
    </w:p>
    <w:p>
      <w:pPr>
        <w:pStyle w:val="ListBullet"/>
        <w:ind w:left="0"/>
      </w:pPr>
      <w:r>
        <w:rPr>
          <w:rFonts w:ascii="Aptos" w:hAnsi="Aptos" w:eastAsia="Aptos"/>
          <w:b w:val="0"/>
          <w:i w:val="0"/>
          <w:color w:val="0A1628"/>
          <w:sz w:val="20"/>
        </w:rPr>
        <w:t>COD custody and remittance tests for gross and netted settlement methods.</w:t>
      </w:r>
    </w:p>
    <w:p>
      <w:pPr>
        <w:pStyle w:val="ListBullet"/>
        <w:ind w:left="0"/>
      </w:pPr>
      <w:r>
        <w:rPr>
          <w:rFonts w:ascii="Aptos" w:hAnsi="Aptos" w:eastAsia="Aptos"/>
          <w:b w:val="0"/>
          <w:i w:val="0"/>
          <w:color w:val="0A1628"/>
          <w:sz w:val="20"/>
        </w:rPr>
        <w:t>Duplicate partner charge and double-payment prevention tests.</w:t>
      </w:r>
    </w:p>
    <w:p>
      <w:pPr>
        <w:pStyle w:val="ListBullet"/>
        <w:ind w:left="0"/>
      </w:pPr>
      <w:r>
        <w:rPr>
          <w:rFonts w:ascii="Aptos" w:hAnsi="Aptos" w:eastAsia="Aptos"/>
          <w:b w:val="0"/>
          <w:i w:val="0"/>
          <w:color w:val="0A1628"/>
          <w:sz w:val="20"/>
        </w:rPr>
        <w:t>Branch cash reconciliation tests.</w:t>
      </w:r>
    </w:p>
    <w:p>
      <w:pPr>
        <w:pStyle w:val="Heading3"/>
        <w:keepNext/>
      </w:pPr>
      <w:r>
        <w:rPr>
          <w:rFonts w:ascii="Aptos" w:hAnsi="Aptos" w:eastAsia="Aptos"/>
          <w:b w:val="0"/>
          <w:i w:val="0"/>
          <w:color w:val="0A1628"/>
          <w:sz w:val="20"/>
        </w:rPr>
        <w:t>13.2 Frontend tests</w:t>
      </w:r>
    </w:p>
    <w:p>
      <w:pPr>
        <w:pStyle w:val="ListBullet"/>
        <w:ind w:left="0"/>
      </w:pPr>
      <w:r>
        <w:rPr>
          <w:rFonts w:ascii="Aptos" w:hAnsi="Aptos" w:eastAsia="Aptos"/>
          <w:b w:val="0"/>
          <w:i w:val="0"/>
          <w:color w:val="0A1628"/>
          <w:sz w:val="20"/>
        </w:rPr>
        <w:t>Active route renders intended page.</w:t>
      </w:r>
    </w:p>
    <w:p>
      <w:pPr>
        <w:pStyle w:val="ListBullet"/>
        <w:ind w:left="0"/>
      </w:pPr>
      <w:r>
        <w:rPr>
          <w:rFonts w:ascii="Aptos" w:hAnsi="Aptos" w:eastAsia="Aptos"/>
          <w:b w:val="0"/>
          <w:i w:val="0"/>
          <w:color w:val="0A1628"/>
          <w:sz w:val="20"/>
        </w:rPr>
        <w:t>No static demo values appear after RPC failure.</w:t>
      </w:r>
    </w:p>
    <w:p>
      <w:pPr>
        <w:pStyle w:val="ListBullet"/>
        <w:ind w:left="0"/>
      </w:pPr>
      <w:r>
        <w:rPr>
          <w:rFonts w:ascii="Aptos" w:hAnsi="Aptos" w:eastAsia="Aptos"/>
          <w:b w:val="0"/>
          <w:i w:val="0"/>
          <w:color w:val="0A1628"/>
          <w:sz w:val="20"/>
        </w:rPr>
        <w:t>Read-only server fields cannot be edited.</w:t>
      </w:r>
    </w:p>
    <w:p>
      <w:pPr>
        <w:pStyle w:val="ListBullet"/>
        <w:ind w:left="0"/>
      </w:pPr>
      <w:r>
        <w:rPr>
          <w:rFonts w:ascii="Aptos" w:hAnsi="Aptos" w:eastAsia="Aptos"/>
          <w:b w:val="0"/>
          <w:i w:val="0"/>
          <w:color w:val="0A1628"/>
          <w:sz w:val="20"/>
        </w:rPr>
        <w:t>Server validation is displayed correctly.</w:t>
      </w:r>
    </w:p>
    <w:p>
      <w:pPr>
        <w:pStyle w:val="ListBullet"/>
        <w:ind w:left="0"/>
      </w:pPr>
      <w:r>
        <w:rPr>
          <w:rFonts w:ascii="Aptos" w:hAnsi="Aptos" w:eastAsia="Aptos"/>
          <w:b w:val="0"/>
          <w:i w:val="0"/>
          <w:color w:val="0A1628"/>
          <w:sz w:val="20"/>
        </w:rPr>
        <w:t>Mobile Operations and Rider App have distinct role-aware routes.</w:t>
      </w:r>
    </w:p>
    <w:p>
      <w:pPr>
        <w:pStyle w:val="ListBullet"/>
        <w:ind w:left="0"/>
      </w:pPr>
      <w:r>
        <w:rPr>
          <w:rFonts w:ascii="Aptos" w:hAnsi="Aptos" w:eastAsia="Aptos"/>
          <w:b w:val="0"/>
          <w:i w:val="0"/>
          <w:color w:val="0A1628"/>
          <w:sz w:val="20"/>
        </w:rPr>
        <w:t>Production environment hides UAT routes and text.</w:t>
      </w:r>
    </w:p>
    <w:p>
      <w:pPr>
        <w:pStyle w:val="ListBullet"/>
        <w:ind w:left="0"/>
      </w:pPr>
      <w:r>
        <w:rPr>
          <w:rFonts w:ascii="Aptos" w:hAnsi="Aptos" w:eastAsia="Aptos"/>
          <w:b w:val="0"/>
          <w:i w:val="0"/>
          <w:color w:val="0A1628"/>
          <w:sz w:val="20"/>
        </w:rPr>
        <w:t>Network Fulfillment shows the managing branch and executing provider separately.</w:t>
      </w:r>
    </w:p>
    <w:p>
      <w:pPr>
        <w:pStyle w:val="ListBullet"/>
        <w:ind w:left="0"/>
      </w:pPr>
      <w:r>
        <w:rPr>
          <w:rFonts w:ascii="Aptos" w:hAnsi="Aptos" w:eastAsia="Aptos"/>
          <w:b w:val="0"/>
          <w:i w:val="0"/>
          <w:color w:val="0A1628"/>
          <w:sz w:val="20"/>
        </w:rPr>
        <w:t>Partner users cannot access another provider's parcels or rates.</w:t>
      </w:r>
    </w:p>
    <w:p>
      <w:pPr>
        <w:pStyle w:val="ListBullet"/>
        <w:ind w:left="0"/>
      </w:pPr>
      <w:r>
        <w:rPr>
          <w:rFonts w:ascii="Aptos" w:hAnsi="Aptos" w:eastAsia="Aptos"/>
          <w:b w:val="0"/>
          <w:i w:val="0"/>
          <w:color w:val="0A1628"/>
          <w:sz w:val="20"/>
        </w:rPr>
        <w:t>Merchant users cannot see internal partner costs or branch reconciliation data.</w:t>
      </w:r>
    </w:p>
    <w:p>
      <w:pPr>
        <w:pStyle w:val="Heading3"/>
        <w:keepNext/>
      </w:pPr>
      <w:r>
        <w:rPr>
          <w:rFonts w:ascii="Aptos" w:hAnsi="Aptos" w:eastAsia="Aptos"/>
          <w:b w:val="0"/>
          <w:i w:val="0"/>
          <w:color w:val="0A1628"/>
          <w:sz w:val="20"/>
        </w:rPr>
        <w:t>13.3 Reconciliation tests</w:t>
      </w:r>
    </w:p>
    <w:p>
      <w:pPr>
        <w:pStyle w:val="ListBullet"/>
        <w:ind w:left="0"/>
      </w:pPr>
      <w:r>
        <w:rPr>
          <w:rFonts w:ascii="Aptos" w:hAnsi="Aptos" w:eastAsia="Aptos"/>
          <w:b w:val="0"/>
          <w:i w:val="0"/>
          <w:color w:val="0A1628"/>
          <w:sz w:val="20"/>
        </w:rPr>
        <w:t>Final Sync row count equals canonical Data Entry Way count within defined status scope.</w:t>
      </w:r>
    </w:p>
    <w:p>
      <w:pPr>
        <w:pStyle w:val="ListBullet"/>
        <w:ind w:left="0"/>
      </w:pPr>
      <w:r>
        <w:rPr>
          <w:rFonts w:ascii="Aptos" w:hAnsi="Aptos" w:eastAsia="Aptos"/>
          <w:b w:val="0"/>
          <w:i w:val="0"/>
          <w:color w:val="0A1628"/>
          <w:sz w:val="20"/>
        </w:rPr>
        <w:t>Merchant, branch, township, COD, and settlement drill-down totals equal dashboard totals.</w:t>
      </w:r>
    </w:p>
    <w:p>
      <w:pPr>
        <w:pStyle w:val="ListBullet"/>
        <w:ind w:left="0"/>
      </w:pPr>
      <w:r>
        <w:rPr>
          <w:rFonts w:ascii="Aptos" w:hAnsi="Aptos" w:eastAsia="Aptos"/>
          <w:b w:val="0"/>
          <w:i w:val="0"/>
          <w:color w:val="0A1628"/>
          <w:sz w:val="20"/>
        </w:rPr>
        <w:t>Data Entry customer collection reconciles to merchant settlement plus company-owned charges.</w:t>
      </w:r>
    </w:p>
    <w:p>
      <w:pPr>
        <w:pStyle w:val="ListBullet"/>
        <w:ind w:left="0"/>
      </w:pPr>
      <w:r>
        <w:rPr>
          <w:rFonts w:ascii="Aptos" w:hAnsi="Aptos" w:eastAsia="Aptos"/>
          <w:b w:val="0"/>
          <w:i w:val="0"/>
          <w:color w:val="0A1628"/>
          <w:sz w:val="20"/>
        </w:rPr>
        <w:t>Outsourced Ways reconcile customer COD, merchant settlement, Britium revenue, partner expense, and partner remittance.</w:t>
      </w:r>
    </w:p>
    <w:p>
      <w:pPr>
        <w:pStyle w:val="ListBullet"/>
        <w:ind w:left="0"/>
      </w:pPr>
      <w:r>
        <w:rPr>
          <w:rFonts w:ascii="Aptos" w:hAnsi="Aptos" w:eastAsia="Aptos"/>
          <w:b w:val="0"/>
          <w:i w:val="0"/>
          <w:color w:val="0A1628"/>
          <w:sz w:val="20"/>
        </w:rPr>
        <w:t>Branch COD received reconciles to bank deposits, headquarters transfers, approved expenses, and outstanding cash.</w:t>
      </w:r>
    </w:p>
    <w:p>
      <w:pPr>
        <w:pStyle w:val="ListBullet"/>
        <w:ind w:left="0"/>
      </w:pPr>
      <w:r>
        <w:rPr>
          <w:rFonts w:ascii="Aptos" w:hAnsi="Aptos" w:eastAsia="Aptos"/>
          <w:b w:val="0"/>
          <w:i w:val="0"/>
          <w:color w:val="0A1628"/>
          <w:sz w:val="20"/>
        </w:rPr>
        <w:t>Partner settlement totals reconcile to approved Way-level tariff snapshots and POD eligibility.</w:t>
      </w:r>
    </w:p>
    <w:p>
      <w:pPr>
        <w:pStyle w:val="Heading3"/>
        <w:keepNext/>
      </w:pPr>
      <w:r>
        <w:rPr>
          <w:rFonts w:ascii="Aptos" w:hAnsi="Aptos" w:eastAsia="Aptos"/>
          <w:b w:val="0"/>
          <w:i w:val="0"/>
          <w:color w:val="0A1628"/>
          <w:sz w:val="20"/>
        </w:rPr>
        <w:t>13.4 Production smoke tests</w:t>
      </w:r>
    </w:p>
    <w:p>
      <w:pPr>
        <w:pStyle w:val="ListBullet"/>
        <w:ind w:left="0"/>
      </w:pPr>
      <w:r>
        <w:rPr>
          <w:rFonts w:ascii="Aptos" w:hAnsi="Aptos" w:eastAsia="Aptos"/>
          <w:b w:val="0"/>
          <w:i w:val="0"/>
          <w:color w:val="0A1628"/>
          <w:sz w:val="20"/>
        </w:rPr>
        <w:t>Create and save one Financial V2 parcel.</w:t>
      </w:r>
    </w:p>
    <w:p>
      <w:pPr>
        <w:pStyle w:val="ListBullet"/>
        <w:ind w:left="0"/>
      </w:pPr>
      <w:r>
        <w:rPr>
          <w:rFonts w:ascii="Aptos" w:hAnsi="Aptos" w:eastAsia="Aptos"/>
          <w:b w:val="0"/>
          <w:i w:val="0"/>
          <w:color w:val="0A1628"/>
          <w:sz w:val="20"/>
        </w:rPr>
        <w:t>Generate its waybill.</w:t>
      </w:r>
    </w:p>
    <w:p>
      <w:pPr>
        <w:pStyle w:val="ListBullet"/>
        <w:ind w:left="0"/>
      </w:pPr>
      <w:r>
        <w:rPr>
          <w:rFonts w:ascii="Aptos" w:hAnsi="Aptos" w:eastAsia="Aptos"/>
          <w:b w:val="0"/>
          <w:i w:val="0"/>
          <w:color w:val="0A1628"/>
          <w:sz w:val="20"/>
        </w:rPr>
        <w:t>Refresh Final Sync and verify canonical pickup lineage.</w:t>
      </w:r>
    </w:p>
    <w:p>
      <w:pPr>
        <w:pStyle w:val="ListBullet"/>
        <w:ind w:left="0"/>
      </w:pPr>
      <w:r>
        <w:rPr>
          <w:rFonts w:ascii="Aptos" w:hAnsi="Aptos" w:eastAsia="Aptos"/>
          <w:b w:val="0"/>
          <w:i w:val="0"/>
          <w:color w:val="0A1628"/>
          <w:sz w:val="20"/>
        </w:rPr>
        <w:t>Attempt certification with a forced mismatch and confirm server rejection.</w:t>
      </w:r>
    </w:p>
    <w:p>
      <w:pPr>
        <w:pStyle w:val="ListBullet"/>
        <w:ind w:left="0"/>
      </w:pPr>
      <w:r>
        <w:rPr>
          <w:rFonts w:ascii="Aptos" w:hAnsi="Aptos" w:eastAsia="Aptos"/>
          <w:b w:val="0"/>
          <w:i w:val="0"/>
          <w:color w:val="0A1628"/>
          <w:sz w:val="20"/>
        </w:rPr>
        <w:t>Create/update an employee through HR.</w:t>
      </w:r>
    </w:p>
    <w:p>
      <w:pPr>
        <w:pStyle w:val="ListBullet"/>
        <w:ind w:left="0"/>
      </w:pPr>
      <w:r>
        <w:rPr>
          <w:rFonts w:ascii="Aptos" w:hAnsi="Aptos" w:eastAsia="Aptos"/>
          <w:b w:val="0"/>
          <w:i w:val="0"/>
          <w:color w:val="0A1628"/>
          <w:sz w:val="20"/>
        </w:rPr>
        <w:t>Create and approve a non-privileged account request.</w:t>
      </w:r>
    </w:p>
    <w:p>
      <w:pPr>
        <w:pStyle w:val="ListBullet"/>
        <w:ind w:left="0"/>
      </w:pPr>
      <w:r>
        <w:rPr>
          <w:rFonts w:ascii="Aptos" w:hAnsi="Aptos" w:eastAsia="Aptos"/>
          <w:b w:val="0"/>
          <w:i w:val="0"/>
          <w:color w:val="0A1628"/>
          <w:sz w:val="20"/>
        </w:rPr>
        <w:t>Load BD, Marketing, Mobile Operations, and Accounts with real empty/error states.</w:t>
      </w:r>
    </w:p>
    <w:p>
      <w:pPr>
        <w:pStyle w:val="ListBullet"/>
        <w:ind w:left="0"/>
      </w:pPr>
      <w:r>
        <w:rPr>
          <w:rFonts w:ascii="Aptos" w:hAnsi="Aptos" w:eastAsia="Aptos"/>
          <w:b w:val="0"/>
          <w:i w:val="0"/>
          <w:color w:val="0A1628"/>
          <w:sz w:val="20"/>
        </w:rPr>
        <w:t>Route one Mandalay Way to DK Delivery, record manifest acceptance, delivery event, POD, COD remittance, and partner settlement.</w:t>
      </w:r>
    </w:p>
    <w:p>
      <w:pPr>
        <w:pStyle w:val="ListBullet"/>
        <w:ind w:left="0"/>
      </w:pPr>
      <w:r>
        <w:rPr>
          <w:rFonts w:ascii="Aptos" w:hAnsi="Aptos" w:eastAsia="Aptos"/>
          <w:b w:val="0"/>
          <w:i w:val="0"/>
          <w:color w:val="0A1628"/>
          <w:sz w:val="20"/>
        </w:rPr>
        <w:t>Route one Nay Pyi Taw Way through branch handling and complete branch cash reconciliation.</w:t>
      </w:r>
    </w:p>
    <w:p>
      <w:pPr>
        <w:pStyle w:val="ListBullet"/>
        <w:ind w:left="0"/>
      </w:pPr>
      <w:r>
        <w:rPr>
          <w:rFonts w:ascii="Aptos" w:hAnsi="Aptos" w:eastAsia="Aptos"/>
          <w:b w:val="0"/>
          <w:i w:val="0"/>
          <w:color w:val="0A1628"/>
          <w:sz w:val="20"/>
        </w:rPr>
        <w:t>Force a provider invoice mismatch and confirm settlement is blocked.</w:t>
      </w:r>
    </w:p>
    <w:p>
      <w:pPr>
        <w:pStyle w:val="Heading2"/>
        <w:keepNext/>
      </w:pPr>
      <w:r>
        <w:rPr>
          <w:rFonts w:ascii="Aptos" w:hAnsi="Aptos" w:eastAsia="Aptos"/>
          <w:b w:val="0"/>
          <w:i w:val="0"/>
          <w:color w:val="0A1628"/>
          <w:sz w:val="20"/>
        </w:rPr>
        <w:t>22. Deployment Gates</w:t>
      </w:r>
    </w:p>
    <w:p>
      <w:r>
        <w:rPr>
          <w:rFonts w:ascii="Aptos" w:hAnsi="Aptos" w:eastAsia="Aptos"/>
          <w:b w:val="0"/>
          <w:i w:val="0"/>
          <w:color w:val="0A1628"/>
          <w:sz w:val="20"/>
        </w:rPr>
        <w:t>Deployment is blocked when any of the following is true:</w:t>
      </w:r>
    </w:p>
    <w:p>
      <w:pPr>
        <w:pStyle w:val="ListBullet"/>
        <w:ind w:left="0"/>
      </w:pPr>
      <w:r>
        <w:rPr>
          <w:rFonts w:ascii="Aptos" w:hAnsi="Aptos" w:eastAsia="Aptos"/>
          <w:b w:val="0"/>
          <w:i w:val="0"/>
          <w:color w:val="0A1628"/>
          <w:sz w:val="20"/>
        </w:rPr>
        <w:t>Critical RPC SQL definitions have not been exported and reviewed.</w:t>
      </w:r>
    </w:p>
    <w:p>
      <w:pPr>
        <w:pStyle w:val="ListBullet"/>
        <w:ind w:left="0"/>
      </w:pPr>
      <w:r>
        <w:rPr>
          <w:rFonts w:ascii="Aptos" w:hAnsi="Aptos" w:eastAsia="Aptos"/>
          <w:b w:val="0"/>
          <w:i w:val="0"/>
          <w:color w:val="0A1628"/>
          <w:sz w:val="20"/>
        </w:rPr>
        <w:t>Backend and workbook Financial V2 schema versions differ.</w:t>
      </w:r>
    </w:p>
    <w:p>
      <w:pPr>
        <w:pStyle w:val="ListBullet"/>
        <w:ind w:left="0"/>
      </w:pPr>
      <w:r>
        <w:rPr>
          <w:rFonts w:ascii="Aptos" w:hAnsi="Aptos" w:eastAsia="Aptos"/>
          <w:b w:val="0"/>
          <w:i w:val="0"/>
          <w:color w:val="0A1628"/>
          <w:sz w:val="20"/>
        </w:rPr>
        <w:t>Any canonical-lineage mismatch can reach certification.</w:t>
      </w:r>
    </w:p>
    <w:p>
      <w:pPr>
        <w:pStyle w:val="ListBullet"/>
        <w:ind w:left="0"/>
      </w:pPr>
      <w:r>
        <w:rPr>
          <w:rFonts w:ascii="Aptos" w:hAnsi="Aptos" w:eastAsia="Aptos"/>
          <w:b w:val="0"/>
          <w:i w:val="0"/>
          <w:color w:val="0A1628"/>
          <w:sz w:val="20"/>
        </w:rPr>
        <w:t>The browser can persist trusted financial outputs.</w:t>
      </w:r>
    </w:p>
    <w:p>
      <w:pPr>
        <w:pStyle w:val="ListBullet"/>
        <w:ind w:left="0"/>
      </w:pPr>
      <w:r>
        <w:rPr>
          <w:rFonts w:ascii="Aptos" w:hAnsi="Aptos" w:eastAsia="Aptos"/>
          <w:b w:val="0"/>
          <w:i w:val="0"/>
          <w:color w:val="0A1628"/>
          <w:sz w:val="20"/>
        </w:rPr>
        <w:t>Admin or Accounts pages can directly write protected security tables.</w:t>
      </w:r>
    </w:p>
    <w:p>
      <w:pPr>
        <w:pStyle w:val="ListBullet"/>
        <w:ind w:left="0"/>
      </w:pPr>
      <w:r>
        <w:rPr>
          <w:rFonts w:ascii="Aptos" w:hAnsi="Aptos" w:eastAsia="Aptos"/>
          <w:b w:val="0"/>
          <w:i w:val="0"/>
          <w:color w:val="0A1628"/>
          <w:sz w:val="20"/>
        </w:rPr>
        <w:t>Production bundle contains the UAT brand label or Mobile Sandbox label.</w:t>
      </w:r>
    </w:p>
    <w:p>
      <w:pPr>
        <w:pStyle w:val="ListBullet"/>
        <w:ind w:left="0"/>
      </w:pPr>
      <w:r>
        <w:rPr>
          <w:rFonts w:ascii="Aptos" w:hAnsi="Aptos" w:eastAsia="Aptos"/>
          <w:b w:val="0"/>
          <w:i w:val="0"/>
          <w:color w:val="0A1628"/>
          <w:sz w:val="20"/>
        </w:rPr>
        <w:t>Static leads, employees, or KPI values remain in active production pages.</w:t>
      </w:r>
    </w:p>
    <w:p>
      <w:pPr>
        <w:pStyle w:val="ListBullet"/>
        <w:ind w:left="0"/>
      </w:pPr>
      <w:r>
        <w:rPr>
          <w:rFonts w:ascii="Aptos" w:hAnsi="Aptos" w:eastAsia="Aptos"/>
          <w:b w:val="0"/>
          <w:i w:val="0"/>
          <w:color w:val="0A1628"/>
          <w:sz w:val="20"/>
        </w:rPr>
        <w:t>A non-direct Way can proceed without a managing branch, executing provider, or handover record.</w:t>
      </w:r>
    </w:p>
    <w:p>
      <w:pPr>
        <w:pStyle w:val="ListBullet"/>
        <w:ind w:left="0"/>
      </w:pPr>
      <w:r>
        <w:rPr>
          <w:rFonts w:ascii="Aptos" w:hAnsi="Aptos" w:eastAsia="Aptos"/>
          <w:b w:val="0"/>
          <w:i w:val="0"/>
          <w:color w:val="0A1628"/>
          <w:sz w:val="20"/>
        </w:rPr>
        <w:t>Partner settlement can be approved without tariff snapshot, POD eligibility, and COD reconciliation.</w:t>
      </w:r>
    </w:p>
    <w:p>
      <w:pPr>
        <w:pStyle w:val="ListBullet"/>
        <w:ind w:left="0"/>
      </w:pPr>
      <w:r>
        <w:rPr>
          <w:rFonts w:ascii="Aptos" w:hAnsi="Aptos" w:eastAsia="Aptos"/>
          <w:b w:val="0"/>
          <w:i w:val="0"/>
          <w:color w:val="0A1628"/>
          <w:sz w:val="20"/>
        </w:rPr>
        <w:t>The same partner service charge can be paid by both branch and headquarters.</w:t>
      </w:r>
    </w:p>
    <w:p>
      <w:pPr>
        <w:pStyle w:val="ListBullet"/>
        <w:ind w:left="0"/>
      </w:pPr>
      <w:r>
        <w:rPr>
          <w:rFonts w:ascii="Aptos" w:hAnsi="Aptos" w:eastAsia="Aptos"/>
          <w:b w:val="0"/>
          <w:i w:val="0"/>
          <w:color w:val="0A1628"/>
          <w:sz w:val="20"/>
        </w:rPr>
        <w:t>Gross COD and partner service fees are stored only as one net value.</w:t>
      </w:r>
    </w:p>
    <w:p>
      <w:pPr>
        <w:pStyle w:val="Heading2"/>
        <w:keepNext/>
      </w:pPr>
      <w:r>
        <w:rPr>
          <w:rFonts w:ascii="Aptos" w:hAnsi="Aptos" w:eastAsia="Aptos"/>
          <w:b w:val="0"/>
          <w:i w:val="0"/>
          <w:color w:val="0A1628"/>
          <w:sz w:val="20"/>
        </w:rPr>
        <w:t>23. Rollback</w:t>
      </w:r>
    </w:p>
    <w:p>
      <w:pPr>
        <w:pStyle w:val="ListBullet"/>
        <w:ind w:left="0"/>
      </w:pPr>
      <w:r>
        <w:rPr>
          <w:rFonts w:ascii="Aptos" w:hAnsi="Aptos" w:eastAsia="Aptos"/>
          <w:b w:val="0"/>
          <w:i w:val="0"/>
          <w:color w:val="0A1628"/>
          <w:sz w:val="20"/>
        </w:rPr>
        <w:t>Keep pre-migration RPC definitions in versioned migration files.</w:t>
      </w:r>
    </w:p>
    <w:p>
      <w:pPr>
        <w:pStyle w:val="ListBullet"/>
        <w:ind w:left="0"/>
      </w:pPr>
      <w:r>
        <w:rPr>
          <w:rFonts w:ascii="Aptos" w:hAnsi="Aptos" w:eastAsia="Aptos"/>
          <w:b w:val="0"/>
          <w:i w:val="0"/>
          <w:color w:val="0A1628"/>
          <w:sz w:val="20"/>
        </w:rPr>
        <w:t>Use compatibility views and wrappers rather than destructive column removal during first release.</w:t>
      </w:r>
    </w:p>
    <w:p>
      <w:pPr>
        <w:pStyle w:val="ListBullet"/>
        <w:ind w:left="0"/>
      </w:pPr>
      <w:r>
        <w:rPr>
          <w:rFonts w:ascii="Aptos" w:hAnsi="Aptos" w:eastAsia="Aptos"/>
          <w:b w:val="0"/>
          <w:i w:val="0"/>
          <w:color w:val="0A1628"/>
          <w:sz w:val="20"/>
        </w:rPr>
        <w:t>Feature-flag the Financial V2 page and new dashboards.</w:t>
      </w:r>
    </w:p>
    <w:p>
      <w:pPr>
        <w:pStyle w:val="ListBullet"/>
        <w:ind w:left="0"/>
      </w:pPr>
      <w:r>
        <w:rPr>
          <w:rFonts w:ascii="Aptos" w:hAnsi="Aptos" w:eastAsia="Aptos"/>
          <w:b w:val="0"/>
          <w:i w:val="0"/>
          <w:color w:val="0A1628"/>
          <w:sz w:val="20"/>
        </w:rPr>
        <w:t>Do not roll back canonical repaired data by restoring arbitrary pickup aggregates.</w:t>
      </w:r>
    </w:p>
    <w:p>
      <w:pPr>
        <w:pStyle w:val="ListBullet"/>
        <w:ind w:left="0"/>
      </w:pPr>
      <w:r>
        <w:rPr>
          <w:rFonts w:ascii="Aptos" w:hAnsi="Aptos" w:eastAsia="Aptos"/>
          <w:b w:val="0"/>
          <w:i w:val="0"/>
          <w:color w:val="0A1628"/>
          <w:sz w:val="20"/>
        </w:rPr>
        <w:t>Reverse security changes only through reviewed migrations; never re-enable unrestricted direct client writes as a temporary fix.</w:t>
      </w:r>
    </w:p>
    <w:p>
      <w:pPr>
        <w:pStyle w:val="ListBullet"/>
        <w:ind w:left="0"/>
      </w:pPr>
      <w:r>
        <w:rPr>
          <w:rFonts w:ascii="Aptos" w:hAnsi="Aptos" w:eastAsia="Aptos"/>
          <w:b w:val="0"/>
          <w:i w:val="0"/>
          <w:color w:val="0A1628"/>
          <w:sz w:val="20"/>
        </w:rPr>
        <w:t>Preserve partner tracking events, manifest acknowledgements, POD, COD custody, and settlement audit records during rollback.</w:t>
      </w:r>
    </w:p>
    <w:p>
      <w:pPr>
        <w:pStyle w:val="ListBullet"/>
        <w:ind w:left="0"/>
      </w:pPr>
      <w:r>
        <w:rPr>
          <w:rFonts w:ascii="Aptos" w:hAnsi="Aptos" w:eastAsia="Aptos"/>
          <w:b w:val="0"/>
          <w:i w:val="0"/>
          <w:color w:val="0A1628"/>
          <w:sz w:val="20"/>
        </w:rPr>
        <w:t>Disable new routing rules through effective dates or feature flags rather than deleting historical provider assignments.</w:t>
      </w:r>
    </w:p>
    <w:p>
      <w:pPr>
        <w:pStyle w:val="Heading2"/>
        <w:keepNext/>
      </w:pPr>
      <w:r>
        <w:rPr>
          <w:rFonts w:ascii="Aptos" w:hAnsi="Aptos" w:eastAsia="Aptos"/>
          <w:b w:val="0"/>
          <w:i w:val="0"/>
          <w:color w:val="0A1628"/>
          <w:sz w:val="20"/>
        </w:rPr>
        <w:t>24. Required Inputs Before an Exact Production Patch</w:t>
      </w:r>
    </w:p>
    <w:p>
      <w:r>
        <w:rPr>
          <w:rFonts w:ascii="Aptos" w:hAnsi="Aptos" w:eastAsia="Aptos"/>
          <w:b w:val="0"/>
          <w:i w:val="0"/>
          <w:color w:val="0A1628"/>
          <w:sz w:val="20"/>
        </w:rPr>
        <w:t>The supplied archive is sufficient for this implementation specification but not for a safe exact patch. The following definitions/files are called or imported but not included:</w:t>
      </w:r>
    </w:p>
    <w:p>
      <w:pPr>
        <w:pStyle w:val="ListBullet"/>
        <w:ind w:left="0"/>
      </w:pPr>
      <w:r>
        <w:rPr>
          <w:rFonts w:ascii="Aptos" w:hAnsi="Aptos" w:eastAsia="Aptos"/>
          <w:b w:val="0"/>
          <w:i w:val="0"/>
          <w:color w:val="0A1628"/>
          <w:sz w:val="20"/>
        </w:rPr>
        <w:t xml:space="preserve">SQL bodies for </w:t>
      </w:r>
      <w:r>
        <w:rPr>
          <w:rFonts w:ascii="Consolas" w:hAnsi="Consolas" w:eastAsia="Consolas"/>
          <w:b w:val="0"/>
          <w:i w:val="0"/>
          <w:color w:val="0A1628"/>
          <w:sz w:val="17"/>
          <w:shd w:fill="EEF2F6"/>
        </w:rPr>
        <w:t>be_final_sync_snapshot_v50</w:t>
      </w:r>
      <w:r>
        <w:rPr>
          <w:rFonts w:ascii="Aptos" w:hAnsi="Aptos" w:eastAsia="Aptos"/>
          <w:b w:val="0"/>
          <w:i w:val="0"/>
          <w:color w:val="0A1628"/>
          <w:sz w:val="20"/>
        </w:rPr>
        <w:t xml:space="preserve">, </w:t>
      </w:r>
      <w:r>
        <w:rPr>
          <w:rFonts w:ascii="Consolas" w:hAnsi="Consolas" w:eastAsia="Consolas"/>
          <w:b w:val="0"/>
          <w:i w:val="0"/>
          <w:color w:val="0A1628"/>
          <w:sz w:val="17"/>
          <w:shd w:fill="EEF2F6"/>
        </w:rPr>
        <w:t>be_final_sync_refresh_v50</w:t>
      </w:r>
      <w:r>
        <w:rPr>
          <w:rFonts w:ascii="Aptos" w:hAnsi="Aptos" w:eastAsia="Aptos"/>
          <w:b w:val="0"/>
          <w:i w:val="0"/>
          <w:color w:val="0A1628"/>
          <w:sz w:val="20"/>
        </w:rPr>
        <w:t xml:space="preserve">, and </w:t>
      </w:r>
      <w:r>
        <w:rPr>
          <w:rFonts w:ascii="Consolas" w:hAnsi="Consolas" w:eastAsia="Consolas"/>
          <w:b w:val="0"/>
          <w:i w:val="0"/>
          <w:color w:val="0A1628"/>
          <w:sz w:val="17"/>
          <w:shd w:fill="EEF2F6"/>
        </w:rPr>
        <w:t>be_final_sync_certify_v50</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SQL bodies for the Data Entry calculate/save/waybill RPCs used by </w:t>
      </w:r>
      <w:r>
        <w:rPr>
          <w:rFonts w:ascii="Consolas" w:hAnsi="Consolas" w:eastAsia="Consolas"/>
          <w:b w:val="0"/>
          <w:i w:val="0"/>
          <w:color w:val="0A1628"/>
          <w:sz w:val="17"/>
          <w:shd w:fill="EEF2F6"/>
        </w:rPr>
        <w:t>DataEntryPage.tsx</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SQL bodies for Business Development and </w:t>
      </w:r>
      <w:r>
        <w:rPr>
          <w:rFonts w:ascii="Consolas" w:hAnsi="Consolas" w:eastAsia="Consolas"/>
          <w:b w:val="0"/>
          <w:i w:val="0"/>
          <w:color w:val="0A1628"/>
          <w:sz w:val="17"/>
          <w:shd w:fill="EEF2F6"/>
        </w:rPr>
        <w:t>be_admin_hr_snapshot</w:t>
      </w:r>
      <w:r>
        <w:rPr>
          <w:rFonts w:ascii="Aptos" w:hAnsi="Aptos" w:eastAsia="Aptos"/>
          <w:b w:val="0"/>
          <w:i w:val="0"/>
          <w:color w:val="0A1628"/>
          <w:sz w:val="20"/>
        </w:rPr>
        <w:t xml:space="preserve"> RPCs.</w:t>
      </w:r>
    </w:p>
    <w:p>
      <w:pPr>
        <w:pStyle w:val="ListBullet"/>
        <w:ind w:left="0"/>
      </w:pPr>
      <w:r>
        <w:rPr>
          <w:rFonts w:ascii="Consolas" w:hAnsi="Consolas" w:eastAsia="Consolas"/>
          <w:b w:val="0"/>
          <w:i w:val="0"/>
          <w:color w:val="0A1628"/>
          <w:sz w:val="17"/>
          <w:shd w:fill="EEF2F6"/>
        </w:rPr>
        <w:t>EnvironmentBadge.tsx</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UAT page source files.</w:t>
      </w:r>
    </w:p>
    <w:p>
      <w:pPr>
        <w:pStyle w:val="ListBullet"/>
        <w:ind w:left="0"/>
      </w:pPr>
      <w:r>
        <w:rPr>
          <w:rFonts w:ascii="Aptos" w:hAnsi="Aptos" w:eastAsia="Aptos"/>
          <w:b w:val="0"/>
          <w:i w:val="0"/>
          <w:color w:val="0A1628"/>
          <w:sz w:val="20"/>
        </w:rPr>
        <w:t>The authoritative workbook referred to as the 50-column Financial V2 contract.</w:t>
      </w:r>
    </w:p>
    <w:p>
      <w:pPr>
        <w:pStyle w:val="ListBullet"/>
        <w:ind w:left="0"/>
      </w:pPr>
      <w:r>
        <w:rPr>
          <w:rFonts w:ascii="Aptos" w:hAnsi="Aptos" w:eastAsia="Aptos"/>
          <w:b w:val="0"/>
          <w:i w:val="0"/>
          <w:color w:val="0A1628"/>
          <w:sz w:val="20"/>
        </w:rPr>
        <w:t>The complete generated Supabase TypeScript types file.</w:t>
      </w:r>
    </w:p>
    <w:p>
      <w:pPr>
        <w:pStyle w:val="ListBullet"/>
        <w:ind w:left="0"/>
      </w:pPr>
      <w:r>
        <w:rPr>
          <w:rFonts w:ascii="Aptos" w:hAnsi="Aptos" w:eastAsia="Aptos"/>
          <w:b w:val="0"/>
          <w:i w:val="0"/>
          <w:color w:val="0A1628"/>
          <w:sz w:val="20"/>
        </w:rPr>
        <w:t>Signed or approved rate cards and settlement methods for Royal Express, DK Delivery, Arlu Post, Ninja Van, and Safe Delivery Services.</w:t>
      </w:r>
    </w:p>
    <w:p>
      <w:pPr>
        <w:pStyle w:val="ListBullet"/>
        <w:ind w:left="0"/>
      </w:pPr>
      <w:r>
        <w:rPr>
          <w:rFonts w:ascii="Aptos" w:hAnsi="Aptos" w:eastAsia="Aptos"/>
          <w:b w:val="0"/>
          <w:i w:val="0"/>
          <w:color w:val="0A1628"/>
          <w:sz w:val="20"/>
        </w:rPr>
        <w:t>Confirmed direct-reach, branch-reach, and partner-reach classifications for every township in the attached list.</w:t>
      </w:r>
    </w:p>
    <w:p>
      <w:pPr>
        <w:pStyle w:val="ListBullet"/>
        <w:ind w:left="0"/>
      </w:pPr>
      <w:r>
        <w:rPr>
          <w:rFonts w:ascii="Aptos" w:hAnsi="Aptos" w:eastAsia="Aptos"/>
          <w:b w:val="0"/>
          <w:i w:val="0"/>
          <w:color w:val="0A1628"/>
          <w:sz w:val="20"/>
        </w:rPr>
        <w:t>Provider API/webhook specifications, CSV formats, status codes, and POD formats where integrations exist.</w:t>
      </w:r>
    </w:p>
    <w:p>
      <w:pPr>
        <w:pStyle w:val="ListBullet"/>
        <w:ind w:left="0"/>
      </w:pPr>
      <w:r>
        <w:rPr>
          <w:rFonts w:ascii="Aptos" w:hAnsi="Aptos" w:eastAsia="Aptos"/>
          <w:b w:val="0"/>
          <w:i w:val="0"/>
          <w:color w:val="0A1628"/>
          <w:sz w:val="20"/>
        </w:rPr>
        <w:t>Branch COD handover, cash-expense, and partner-payment ownership policies for Mandalay and Nay Pyi Taw.</w:t>
      </w:r>
    </w:p>
    <w:p>
      <w:pPr>
        <w:pStyle w:val="ListBullet"/>
        <w:ind w:left="0"/>
      </w:pPr>
      <w:r>
        <w:rPr>
          <w:rFonts w:ascii="Aptos" w:hAnsi="Aptos" w:eastAsia="Aptos"/>
          <w:b w:val="0"/>
          <w:i w:val="0"/>
          <w:color w:val="0A1628"/>
          <w:sz w:val="20"/>
        </w:rPr>
        <w:t>SLA, redelivery, return, loss/damage, tax, and dispute terms for every provider contract.</w:t>
      </w:r>
    </w:p>
    <w:p>
      <w:r>
        <w:rPr>
          <w:rFonts w:ascii="Aptos" w:hAnsi="Aptos" w:eastAsia="Aptos"/>
          <w:b w:val="0"/>
          <w:i w:val="0"/>
          <w:color w:val="0A1628"/>
          <w:sz w:val="20"/>
        </w:rPr>
        <w:t>Before code patching, export these definitions from the active production database/repository and compare their signatures with the frontend callers.</w:t>
      </w:r>
    </w:p>
    <w:p>
      <w:pPr>
        <w:pStyle w:val="Heading2"/>
        <w:keepNext/>
      </w:pPr>
      <w:r>
        <w:rPr>
          <w:rFonts w:ascii="Aptos" w:hAnsi="Aptos" w:eastAsia="Aptos"/>
          <w:b w:val="0"/>
          <w:i w:val="0"/>
          <w:color w:val="0A1628"/>
          <w:sz w:val="20"/>
        </w:rPr>
        <w:t>25. Definition of Done</w:t>
      </w:r>
    </w:p>
    <w:p>
      <w:r>
        <w:rPr>
          <w:rFonts w:ascii="Aptos" w:hAnsi="Aptos" w:eastAsia="Aptos"/>
          <w:b w:val="0"/>
          <w:i w:val="0"/>
          <w:color w:val="0A1628"/>
          <w:sz w:val="20"/>
        </w:rPr>
        <w:t>The integrated program is complete only when all of the following are true:</w:t>
      </w:r>
    </w:p>
    <w:p>
      <w:pPr>
        <w:pStyle w:val="ListNumber"/>
        <w:ind w:left="0"/>
      </w:pPr>
      <w:r>
        <w:rPr>
          <w:rFonts w:ascii="Aptos" w:hAnsi="Aptos" w:eastAsia="Aptos"/>
          <w:b w:val="0"/>
          <w:i w:val="0"/>
          <w:color w:val="0A1628"/>
          <w:sz w:val="20"/>
        </w:rPr>
        <w:t>Customer collection, Britium tariff, merchant settlement, branch share, provider cost, COD custody, employee commission, and company margin are separate and reconciled.</w:t>
      </w:r>
    </w:p>
    <w:p>
      <w:pPr>
        <w:pStyle w:val="ListNumber"/>
        <w:ind w:left="0"/>
      </w:pPr>
      <w:r>
        <w:rPr>
          <w:rFonts w:ascii="Aptos" w:hAnsi="Aptos" w:eastAsia="Aptos"/>
          <w:b w:val="0"/>
          <w:i w:val="0"/>
          <w:color w:val="0A1628"/>
          <w:sz w:val="20"/>
        </w:rPr>
        <w:t>The backend recalculates and snapshots every financial result.</w:t>
      </w:r>
    </w:p>
    <w:p>
      <w:pPr>
        <w:pStyle w:val="ListNumber"/>
        <w:ind w:left="0"/>
      </w:pPr>
      <w:r>
        <w:rPr>
          <w:rFonts w:ascii="Aptos" w:hAnsi="Aptos" w:eastAsia="Aptos"/>
          <w:b w:val="0"/>
          <w:i w:val="0"/>
          <w:color w:val="0A1628"/>
          <w:sz w:val="20"/>
        </w:rPr>
        <w:t>Financial V2 Data Entry, import, waybill, settlement, and adjustment workflows share one versioned contract.</w:t>
      </w:r>
    </w:p>
    <w:p>
      <w:pPr>
        <w:pStyle w:val="ListNumber"/>
        <w:ind w:left="0"/>
      </w:pPr>
      <w:r>
        <w:rPr>
          <w:rFonts w:ascii="Aptos" w:hAnsi="Aptos" w:eastAsia="Aptos"/>
          <w:b w:val="0"/>
          <w:i w:val="0"/>
          <w:color w:val="0A1628"/>
          <w:sz w:val="20"/>
        </w:rPr>
        <w:t>Merchant-declared delivery excess/shortfall is handled only through merchant settlement.</w:t>
      </w:r>
    </w:p>
    <w:p>
      <w:pPr>
        <w:pStyle w:val="ListNumber"/>
        <w:ind w:left="0"/>
      </w:pPr>
      <w:r>
        <w:rPr>
          <w:rFonts w:ascii="Aptos" w:hAnsi="Aptos" w:eastAsia="Aptos"/>
          <w:b w:val="0"/>
          <w:i w:val="0"/>
          <w:color w:val="0A1628"/>
          <w:sz w:val="20"/>
        </w:rPr>
        <w:t>Naypyitaw's active branch rule is versioned, approved, and batch-settled.</w:t>
      </w:r>
    </w:p>
    <w:p>
      <w:pPr>
        <w:pStyle w:val="ListNumber"/>
        <w:ind w:left="0"/>
      </w:pPr>
      <w:r>
        <w:rPr>
          <w:rFonts w:ascii="Aptos" w:hAnsi="Aptos" w:eastAsia="Aptos"/>
          <w:b w:val="0"/>
          <w:i w:val="0"/>
          <w:color w:val="0A1628"/>
          <w:sz w:val="20"/>
        </w:rPr>
        <w:t>Mandalay parcels use the Britium 6,000 MMK customer tariff plus approved Britium surcharges, while highway and DK costs are recorded separately.</w:t>
      </w:r>
    </w:p>
    <w:p>
      <w:pPr>
        <w:pStyle w:val="ListNumber"/>
        <w:ind w:left="0"/>
      </w:pPr>
      <w:r>
        <w:rPr>
          <w:rFonts w:ascii="Aptos" w:hAnsi="Aptos" w:eastAsia="Aptos"/>
          <w:b w:val="0"/>
          <w:i w:val="0"/>
          <w:color w:val="0A1628"/>
          <w:sz w:val="20"/>
        </w:rPr>
        <w:t>Royal Express customer rates, discounted partner rates, COD fees, and monthly rebates are separate components and are not double-counted.</w:t>
      </w:r>
    </w:p>
    <w:p>
      <w:pPr>
        <w:pStyle w:val="ListNumber"/>
        <w:ind w:left="0"/>
      </w:pPr>
      <w:r>
        <w:rPr>
          <w:rFonts w:ascii="Aptos" w:hAnsi="Aptos" w:eastAsia="Aptos"/>
          <w:b w:val="0"/>
          <w:i w:val="0"/>
          <w:color w:val="0A1628"/>
          <w:sz w:val="20"/>
        </w:rPr>
        <w:t>Missing or ambiguous provider rates block partner settlement.</w:t>
      </w:r>
    </w:p>
    <w:p>
      <w:pPr>
        <w:pStyle w:val="ListNumber"/>
        <w:ind w:left="0"/>
      </w:pPr>
      <w:r>
        <w:rPr>
          <w:rFonts w:ascii="Aptos" w:hAnsi="Aptos" w:eastAsia="Aptos"/>
          <w:b w:val="0"/>
          <w:i w:val="0"/>
          <w:color w:val="0A1628"/>
          <w:sz w:val="20"/>
        </w:rPr>
        <w:t>COD custody and remittance reconcile at Way, manifest, batch, and accounting levels.</w:t>
      </w:r>
    </w:p>
    <w:p>
      <w:pPr>
        <w:pStyle w:val="ListNumber"/>
        <w:ind w:left="0"/>
      </w:pPr>
      <w:r>
        <w:rPr>
          <w:rFonts w:ascii="Aptos" w:hAnsi="Aptos" w:eastAsia="Aptos"/>
          <w:b w:val="0"/>
          <w:i w:val="0"/>
          <w:color w:val="0A1628"/>
          <w:sz w:val="20"/>
        </w:rPr>
        <w:t>Referral commission is generated once per eligible completed Way only while both employment and referral assignment are effective.</w:t>
      </w:r>
    </w:p>
    <w:p>
      <w:pPr>
        <w:pStyle w:val="ListNumber"/>
        <w:ind w:left="0"/>
      </w:pPr>
      <w:r>
        <w:rPr>
          <w:rFonts w:ascii="Aptos" w:hAnsi="Aptos" w:eastAsia="Aptos"/>
          <w:b w:val="0"/>
          <w:i w:val="0"/>
          <w:color w:val="0A1628"/>
          <w:sz w:val="20"/>
        </w:rPr>
        <w:t>Canonical Way/Pickup/merchant lineage is enforced server-side.</w:t>
      </w:r>
    </w:p>
    <w:p>
      <w:pPr>
        <w:pStyle w:val="ListNumber"/>
        <w:ind w:left="0"/>
      </w:pPr>
      <w:r>
        <w:rPr>
          <w:rFonts w:ascii="Aptos" w:hAnsi="Aptos" w:eastAsia="Aptos"/>
          <w:b w:val="0"/>
          <w:i w:val="0"/>
          <w:color w:val="0A1628"/>
          <w:sz w:val="20"/>
        </w:rPr>
        <w:t>Business Development, Marketing, Mobile Operations, Admin/HR, and Accounts use live secured data and real mutations.</w:t>
      </w:r>
    </w:p>
    <w:p>
      <w:pPr>
        <w:pStyle w:val="ListNumber"/>
        <w:ind w:left="0"/>
      </w:pPr>
      <w:r>
        <w:rPr>
          <w:rFonts w:ascii="Aptos" w:hAnsi="Aptos" w:eastAsia="Aptos"/>
          <w:b w:val="0"/>
          <w:i w:val="0"/>
          <w:color w:val="0A1628"/>
          <w:sz w:val="20"/>
        </w:rPr>
        <w:t>Production contains no UAT-only route, sandbox label, hardcoded operational data, or browser-selectable privilege mode.</w:t>
      </w:r>
    </w:p>
    <w:p>
      <w:pPr>
        <w:pStyle w:val="ListNumber"/>
        <w:ind w:left="0"/>
      </w:pPr>
      <w:r>
        <w:rPr>
          <w:rFonts w:ascii="Aptos" w:hAnsi="Aptos" w:eastAsia="Aptos"/>
          <w:b w:val="0"/>
          <w:i w:val="0"/>
          <w:color w:val="0A1628"/>
          <w:sz w:val="20"/>
        </w:rPr>
        <w:t>All workflows pass database, API, UI, security, reconciliation, migration, rollback, and production smoke tests.</w:t>
      </w:r>
    </w:p>
    <w:p>
      <w:pPr>
        <w:pBdr>
          <w:bottom w:val="single" w:sz="5" w:space="3" w:color="B8C4D1"/>
        </w:pBdr>
        <w:spacing w:after="100"/>
      </w:pPr>
    </w:p>
    <w:p>
      <w:pPr>
        <w:pStyle w:val="Heading1"/>
        <w:pBdr>
          <w:bottom w:val="single" w:sz="12" w:space="3" w:color="C09B30"/>
        </w:pBdr>
        <w:keepNext/>
      </w:pPr>
      <w:r>
        <w:rPr>
          <w:rFonts w:ascii="Aptos" w:hAnsi="Aptos" w:eastAsia="Aptos"/>
          <w:b w:val="0"/>
          <w:i w:val="0"/>
          <w:color w:val="0A1628"/>
          <w:sz w:val="20"/>
        </w:rPr>
        <w:t>Part III - Open Business Decisions and Activation Checklist</w:t>
      </w:r>
    </w:p>
    <w:p>
      <w:pPr>
        <w:pStyle w:val="Heading2"/>
        <w:keepNext/>
      </w:pPr>
      <w:r>
        <w:rPr>
          <w:rFonts w:ascii="Aptos" w:hAnsi="Aptos" w:eastAsia="Aptos"/>
          <w:b w:val="0"/>
          <w:i w:val="0"/>
          <w:color w:val="0A1628"/>
          <w:sz w:val="20"/>
        </w:rPr>
        <w:t>26. Mandatory Confirmations Before Production Activation</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3456"/>
        <w:gridCol w:w="3456"/>
        <w:gridCol w:w="3456"/>
      </w:tblGrid>
      <w:tr>
        <w:trPr>
          <w:tblHeader w:val="true"/>
          <w:cantSplit/>
        </w:trPr>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Decision</w:t>
            </w:r>
          </w:p>
        </w:tc>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Current status</w:t>
            </w:r>
          </w:p>
        </w:tc>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Blocking effect</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Authoritative Financial V2 field count and schema version (47 vs 50 observed)</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Pending</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Blocks import and Data Entry activation</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NPT management fee basis</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Proposed: 10% of branch allocated share</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Blocks NPT financial activation without approval</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Which Britium surcharges are branch-shareable</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Pending</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Defaults to net system delivery charge only</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DK area-to-band mapping from diagram</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Must be transcribed and approved</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Blocks unresolved DK areas</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DK 500 vs 1,000 MMK surcharge conditions</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Ambiguous in source</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Blocks automatic surcharge calculation</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Highway bus allocation method</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Pending Finance approval</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Blocks Mandalay partner batch finalization</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Royal COD fee billing owner</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Pending</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Fee must not be added to customer automatically</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Royal monthly rebate calculation base</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Not stated in quotation</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Rebate remains estimated, not posted</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Royal quotation effective-date interpretation</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Quotation dated May 2026; form displays effective 1 Jan 2025</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Requires contract-owner confirmation</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Provider tax/withholding treatment</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Pending</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Blocks final payable/tax entries</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Exact eligible delivery statuses for referral commission</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Proposed delivered/drop-off/completed</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Requires HR/Finance approval</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Future branch-to-branch settlement</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Engine-ready, disabled</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Cannot be selected until contract approved</w:t>
            </w:r>
          </w:p>
        </w:tc>
      </w:tr>
    </w:tbl>
    <w:p>
      <w:pPr>
        <w:spacing w:after="0"/>
      </w:pPr>
    </w:p>
    <w:p>
      <w:pPr>
        <w:pStyle w:val="Heading2"/>
        <w:keepNext/>
      </w:pPr>
      <w:r>
        <w:rPr>
          <w:rFonts w:ascii="Aptos" w:hAnsi="Aptos" w:eastAsia="Aptos"/>
          <w:b w:val="0"/>
          <w:i w:val="0"/>
          <w:color w:val="0A1628"/>
          <w:sz w:val="20"/>
        </w:rPr>
        <w:t>27. Activation Checklist</w:t>
      </w:r>
    </w:p>
    <w:p>
      <w:pPr>
        <w:pStyle w:val="ListBullet"/>
        <w:ind w:left="0"/>
      </w:pPr>
      <w:r>
        <w:rPr>
          <w:rFonts w:ascii="Aptos" w:hAnsi="Aptos" w:eastAsia="Aptos"/>
          <w:b w:val="0"/>
          <w:i w:val="0"/>
          <w:color w:val="0A1628"/>
          <w:sz w:val="20"/>
        </w:rPr>
        <w:t>Approved tariff and partner-contract imports completed.</w:t>
      </w:r>
    </w:p>
    <w:p>
      <w:pPr>
        <w:pStyle w:val="ListBullet"/>
        <w:ind w:left="0"/>
      </w:pPr>
      <w:r>
        <w:rPr>
          <w:rFonts w:ascii="Aptos" w:hAnsi="Aptos" w:eastAsia="Aptos"/>
          <w:b w:val="0"/>
          <w:i w:val="0"/>
          <w:color w:val="0A1628"/>
          <w:sz w:val="20"/>
        </w:rPr>
        <w:t>Effective dates and version IDs confirmed.</w:t>
      </w:r>
    </w:p>
    <w:p>
      <w:pPr>
        <w:pStyle w:val="ListBullet"/>
        <w:ind w:left="0"/>
      </w:pPr>
      <w:r>
        <w:rPr>
          <w:rFonts w:ascii="Aptos" w:hAnsi="Aptos" w:eastAsia="Aptos"/>
          <w:b w:val="0"/>
          <w:i w:val="0"/>
          <w:color w:val="0A1628"/>
          <w:sz w:val="20"/>
        </w:rPr>
        <w:t>Historical snapshots and compatibility views deployed.</w:t>
      </w:r>
    </w:p>
    <w:p>
      <w:pPr>
        <w:pStyle w:val="ListBullet"/>
        <w:ind w:left="0"/>
      </w:pPr>
      <w:r>
        <w:rPr>
          <w:rFonts w:ascii="Aptos" w:hAnsi="Aptos" w:eastAsia="Aptos"/>
          <w:b w:val="0"/>
          <w:i w:val="0"/>
          <w:color w:val="0A1628"/>
          <w:sz w:val="20"/>
        </w:rPr>
        <w:t>Actor, role, branch, and maker-checker permissions tested.</w:t>
      </w:r>
    </w:p>
    <w:p>
      <w:pPr>
        <w:pStyle w:val="ListBullet"/>
        <w:ind w:left="0"/>
      </w:pPr>
      <w:r>
        <w:rPr>
          <w:rFonts w:ascii="Aptos" w:hAnsi="Aptos" w:eastAsia="Aptos"/>
          <w:b w:val="0"/>
          <w:i w:val="0"/>
          <w:color w:val="0A1628"/>
          <w:sz w:val="20"/>
        </w:rPr>
        <w:t>Settlement opening balances reconciled.</w:t>
      </w:r>
    </w:p>
    <w:p>
      <w:pPr>
        <w:pStyle w:val="ListBullet"/>
        <w:ind w:left="0"/>
      </w:pPr>
      <w:r>
        <w:rPr>
          <w:rFonts w:ascii="Aptos" w:hAnsi="Aptos" w:eastAsia="Aptos"/>
          <w:b w:val="0"/>
          <w:i w:val="0"/>
          <w:color w:val="0A1628"/>
          <w:sz w:val="20"/>
        </w:rPr>
        <w:t>COD custody owners assigned.</w:t>
      </w:r>
    </w:p>
    <w:p>
      <w:pPr>
        <w:pStyle w:val="ListBullet"/>
        <w:ind w:left="0"/>
      </w:pPr>
      <w:r>
        <w:rPr>
          <w:rFonts w:ascii="Aptos" w:hAnsi="Aptos" w:eastAsia="Aptos"/>
          <w:b w:val="0"/>
          <w:i w:val="0"/>
          <w:color w:val="0A1628"/>
          <w:sz w:val="20"/>
        </w:rPr>
        <w:t>Partner tracking/status maps configured.</w:t>
      </w:r>
    </w:p>
    <w:p>
      <w:pPr>
        <w:pStyle w:val="ListBullet"/>
        <w:ind w:left="0"/>
      </w:pPr>
      <w:r>
        <w:rPr>
          <w:rFonts w:ascii="Aptos" w:hAnsi="Aptos" w:eastAsia="Aptos"/>
          <w:b w:val="0"/>
          <w:i w:val="0"/>
          <w:color w:val="0A1628"/>
          <w:sz w:val="20"/>
        </w:rPr>
        <w:t>POD rules configured.</w:t>
      </w:r>
    </w:p>
    <w:p>
      <w:pPr>
        <w:pStyle w:val="ListBullet"/>
        <w:ind w:left="0"/>
      </w:pPr>
      <w:r>
        <w:rPr>
          <w:rFonts w:ascii="Aptos" w:hAnsi="Aptos" w:eastAsia="Aptos"/>
          <w:b w:val="0"/>
          <w:i w:val="0"/>
          <w:color w:val="0A1628"/>
          <w:sz w:val="20"/>
        </w:rPr>
        <w:t>Missing-rate and missing-breakdown blocks tested.</w:t>
      </w:r>
    </w:p>
    <w:p>
      <w:pPr>
        <w:pStyle w:val="ListBullet"/>
        <w:ind w:left="0"/>
      </w:pPr>
      <w:r>
        <w:rPr>
          <w:rFonts w:ascii="Aptos" w:hAnsi="Aptos" w:eastAsia="Aptos"/>
          <w:b w:val="0"/>
          <w:i w:val="0"/>
          <w:color w:val="0A1628"/>
          <w:sz w:val="20"/>
        </w:rPr>
        <w:t>Finance, Operations, Branch, and Merchant UAT completed in non-production.</w:t>
      </w:r>
    </w:p>
    <w:p>
      <w:pPr>
        <w:pStyle w:val="ListBullet"/>
        <w:ind w:left="0"/>
      </w:pPr>
      <w:r>
        <w:rPr>
          <w:rFonts w:ascii="Aptos" w:hAnsi="Aptos" w:eastAsia="Aptos"/>
          <w:b w:val="0"/>
          <w:i w:val="0"/>
          <w:color w:val="0A1628"/>
          <w:sz w:val="20"/>
        </w:rPr>
        <w:t>Production bundle scanned for UAT/demo/sandbox content.</w:t>
      </w:r>
    </w:p>
    <w:p>
      <w:pPr>
        <w:pStyle w:val="ListBullet"/>
        <w:ind w:left="0"/>
      </w:pPr>
      <w:r>
        <w:rPr>
          <w:rFonts w:ascii="Aptos" w:hAnsi="Aptos" w:eastAsia="Aptos"/>
          <w:b w:val="0"/>
          <w:i w:val="0"/>
          <w:color w:val="0A1628"/>
          <w:sz w:val="20"/>
        </w:rPr>
        <w:t>Rollback scripts and backups verified.</w:t>
      </w:r>
    </w:p>
    <w:p>
      <w:pPr>
        <w:pBdr>
          <w:bottom w:val="single" w:sz="5" w:space="3" w:color="B8C4D1"/>
        </w:pBdr>
        <w:spacing w:after="100"/>
      </w:pPr>
    </w:p>
    <w:p>
      <w:pPr>
        <w:pStyle w:val="Heading1"/>
        <w:pBdr>
          <w:bottom w:val="single" w:sz="12" w:space="3" w:color="C09B30"/>
        </w:pBdr>
        <w:keepNext/>
      </w:pPr>
      <w:r>
        <w:rPr>
          <w:rFonts w:ascii="Aptos" w:hAnsi="Aptos" w:eastAsia="Aptos"/>
          <w:b w:val="0"/>
          <w:i w:val="0"/>
          <w:color w:val="0A1628"/>
          <w:sz w:val="20"/>
        </w:rPr>
        <w:t>Appendix A - Delivery Collection Method Catalogue</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5184"/>
        <w:gridCol w:w="5184"/>
      </w:tblGrid>
      <w:tr>
        <w:trPr>
          <w:tblHeader w:val="true"/>
          <w:cantSplit/>
        </w:trPr>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No.</w:t>
            </w:r>
          </w:p>
        </w:tc>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Collection method</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1</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Delivery Charge Only</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2</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Delivery Charge + Extra Weight</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3</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Delivery Charge + Extra Volume</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4</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Delivery Charge + Extra Weight/Volume</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5</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COD Item Price Only</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6</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COD Item Price + Delivery Charge</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7</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COD Item Price + Delivery + Extra KG</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8</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COD Item Price + Delivery + Extra CBM</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9</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COD Item Price + All Delivery Surcharges</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10</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Fixed Total Amount, Delivery Included</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11</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Fixed Total Amount, Delivery Excluded</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12</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Customer-Specified Total Amount</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13</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Partial Prepayment + Balance COD</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14</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Deposit Collection</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15</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Remaining Item Balance Only</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16</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Remaining Balance + Delivery</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17</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Remaining Balance + Delivery + Surcharges</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18</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Merchant Pays Delivery</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19</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Customer Pays Delivery</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20</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Shared Delivery Charge</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21</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Free Delivery</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22</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Conditional Free Delivery</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23</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Surcharge Only</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24</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Re-delivery Charge</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25</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Return or Exchange Charge</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26</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Cash COD Collection</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27</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Cashless COD Collection</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28</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Pay at Pickup</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29</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Exact Collection - No Additional Charges</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30</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Exact Collection + Approved Surcharges</w:t>
            </w:r>
          </w:p>
        </w:tc>
      </w:tr>
    </w:tbl>
    <w:p>
      <w:pPr>
        <w:spacing w:after="0"/>
      </w:pPr>
    </w:p>
    <w:p>
      <w:r>
        <w:rPr>
          <w:rFonts w:ascii="Aptos" w:hAnsi="Aptos" w:eastAsia="Aptos"/>
          <w:b w:val="0"/>
          <w:i w:val="0"/>
          <w:color w:val="0A1628"/>
          <w:sz w:val="20"/>
        </w:rPr>
        <w:t>These business descriptions map into the five canonical backend amount-entry types plus explicit ownership and surcharge fields. The system should avoid creating 30 separate calculation engines.</w:t>
      </w:r>
    </w:p>
    <w:p>
      <w:pPr>
        <w:pStyle w:val="Heading1"/>
        <w:pBdr>
          <w:bottom w:val="single" w:sz="12" w:space="3" w:color="C09B30"/>
        </w:pBdr>
        <w:keepNext/>
      </w:pPr>
      <w:r>
        <w:rPr>
          <w:rFonts w:ascii="Aptos" w:hAnsi="Aptos" w:eastAsia="Aptos"/>
          <w:b w:val="0"/>
          <w:i w:val="0"/>
          <w:color w:val="0A1628"/>
          <w:sz w:val="20"/>
        </w:rPr>
        <w:t>Appendix B - Core Enums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CustomerTier:</w:t>
              <w:br/>
              <w:t>STANDARD | ROYAL | COMMITMENT</w:t>
              <w:br/>
              <w:br/>
              <w:t>AmountEntryType:</w:t>
              <w:br/>
              <w:t>ITEM_PRICE_PLUS_DECLARED_DELIVERY</w:t>
              <w:br/>
              <w:t>TOTAL_AMOUNT_INCLUDING_DELIVERY</w:t>
              <w:br/>
              <w:t>DELIVERY_CHARGE_ONLY</w:t>
              <w:br/>
              <w:t>EXACT_COLLECTION_AMOUNT</w:t>
              <w:br/>
              <w:t>ITEM_PRICE_ONLY_DELIVERY_PAID_BY_MERCHANT</w:t>
              <w:br/>
              <w:br/>
              <w:t>SettlementDirection:</w:t>
              <w:br/>
              <w:t>CREDIT_TO_MERCHANT</w:t>
              <w:br/>
              <w:t>DEDUCT_FROM_MERCHANT</w:t>
              <w:br/>
              <w:t>NO_ADJUSTMENT</w:t>
              <w:br/>
              <w:t>BREAKDOWN_REQUIRED</w:t>
              <w:br/>
              <w:br/>
              <w:t>FulfillmentMode:</w:t>
              <w:br/>
              <w:t>BRITIUM_DIRECT</w:t>
              <w:br/>
              <w:t>BRANCH_DIRECT</w:t>
              <w:br/>
              <w:t>THIRD_PARTY_OUTSOURCED</w:t>
              <w:br/>
              <w:t>BRANCH_THIRD_PARTY</w:t>
              <w:br/>
              <w:br/>
              <w:t>PartnerCodes:</w:t>
              <w:br/>
              <w:t>DK_DELIVERY</w:t>
              <w:br/>
              <w:t>ROYAL_EXPRESS</w:t>
              <w:br/>
              <w:t>ARLU_POST</w:t>
              <w:br/>
              <w:t>NINJA_VAN</w:t>
              <w:br/>
              <w:t>SAFE_DELIVERY_SERVICES</w:t>
              <w:br/>
              <w:br/>
              <w:t>ValidationStatus:</w:t>
              <w:br/>
              <w:t>OK | REVIEW | ERROR</w:t>
            </w:r>
          </w:p>
        </w:tc>
      </w:tr>
    </w:tbl>
    <w:p>
      <w:pPr>
        <w:spacing w:after="0"/>
      </w:pPr>
    </w:p>
    <w:p>
      <w:pPr>
        <w:pStyle w:val="Heading1"/>
        <w:pBdr>
          <w:bottom w:val="single" w:sz="12" w:space="3" w:color="C09B30"/>
        </w:pBdr>
        <w:keepNext/>
      </w:pPr>
      <w:r>
        <w:rPr>
          <w:rFonts w:ascii="Aptos" w:hAnsi="Aptos" w:eastAsia="Aptos"/>
          <w:b w:val="0"/>
          <w:i w:val="0"/>
          <w:color w:val="0A1628"/>
          <w:sz w:val="20"/>
        </w:rPr>
        <w:t>Appendix C - Accounting Event Catalogue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CUSTOMER_COLLECTION</w:t>
              <w:br/>
              <w:t>MERCHANT_ITEM_PAYABLE</w:t>
              <w:br/>
              <w:t>MERCHANT_DELIVERY_EXCESS_CREDIT</w:t>
              <w:br/>
              <w:t>MERCHANT_DELIVERY_SHORTFALL_DEBIT</w:t>
              <w:br/>
              <w:t>BRITIUM_DELIVERY_REVENUE</w:t>
              <w:br/>
              <w:t>BRANCH_GROSS_SHARE</w:t>
              <w:br/>
              <w:t>BRANCH_MANAGEMENT_FEE</w:t>
              <w:br/>
              <w:t>BRANCH_PENALTY</w:t>
              <w:br/>
              <w:t>HIGHWAY_TRANSPORT_COST</w:t>
              <w:br/>
              <w:t>PARTNER_LAST_MILE_COST</w:t>
              <w:br/>
              <w:t>PARTNER_COD_FEE</w:t>
              <w:br/>
              <w:t>PARTNER_DISCOUNT_MARGIN</w:t>
              <w:br/>
              <w:t>PARTNER_REBATE_ACCRUAL</w:t>
              <w:br/>
              <w:t>PARTNER_REBATE_CONFIRMED</w:t>
              <w:br/>
              <w:t>PARTNER_COD_RECEIPT</w:t>
              <w:br/>
              <w:t>PARTNER_COD_REMITTANCE</w:t>
              <w:br/>
              <w:t>EMPLOYEE_REFERRAL_COMMISSION</w:t>
              <w:br/>
              <w:t>PAYMENT</w:t>
              <w:br/>
              <w:t>PAYMENT_REVERSAL</w:t>
              <w:br/>
              <w:t>ADJUSTMENT</w:t>
            </w:r>
          </w:p>
        </w:tc>
      </w:tr>
    </w:tbl>
    <w:p>
      <w:pPr>
        <w:spacing w:after="0"/>
      </w:pPr>
    </w:p>
    <w:p>
      <w:pPr>
        <w:pStyle w:val="Heading1"/>
        <w:pBdr>
          <w:bottom w:val="single" w:sz="12" w:space="3" w:color="C09B30"/>
        </w:pBdr>
        <w:keepNext/>
      </w:pPr>
      <w:r>
        <w:rPr>
          <w:rFonts w:ascii="Aptos" w:hAnsi="Aptos" w:eastAsia="Aptos"/>
          <w:b w:val="0"/>
          <w:i w:val="0"/>
          <w:color w:val="0A1628"/>
          <w:sz w:val="20"/>
        </w:rPr>
        <w:t>Appendix D - Source Excerpts and Rate-Card Import Notes</w:t>
      </w:r>
    </w:p>
    <w:p>
      <w:pPr>
        <w:pStyle w:val="Heading2"/>
        <w:keepNext/>
      </w:pPr>
      <w:r>
        <w:rPr>
          <w:rFonts w:ascii="Aptos" w:hAnsi="Aptos" w:eastAsia="Aptos"/>
          <w:b w:val="0"/>
          <w:i w:val="0"/>
          <w:color w:val="0A1628"/>
          <w:sz w:val="20"/>
        </w:rPr>
        <w:t>D.1 DK Delivery</w:t>
      </w:r>
    </w:p>
    <w:p>
      <w:r>
        <w:rPr>
          <w:rFonts w:ascii="Aptos" w:hAnsi="Aptos" w:eastAsia="Aptos"/>
          <w:b w:val="0"/>
          <w:i w:val="0"/>
          <w:color w:val="0A1628"/>
          <w:sz w:val="20"/>
        </w:rPr>
        <w:t>The supplied single-page diagram contains Mandalay-area rate bands of 2,000, 2,500, and 3,000 MMK. It also contains a note indicating an additional 500/1,000 MMK charge where the parcel exceeds the stated 2 kg or one-foot-size condition. The exact 500-versus-1,000 decision is not defined clearly enough for automatic implementation and remains pending confirmation.</w:t>
      </w:r>
    </w:p>
    <w:p>
      <w:pPr>
        <w:pStyle w:val="Heading2"/>
        <w:keepNext/>
      </w:pPr>
      <w:r>
        <w:rPr>
          <w:rFonts w:ascii="Aptos" w:hAnsi="Aptos" w:eastAsia="Aptos"/>
          <w:b w:val="0"/>
          <w:i w:val="0"/>
          <w:color w:val="0A1628"/>
          <w:sz w:val="20"/>
        </w:rPr>
        <w:t>D.2 Royal Express</w:t>
      </w:r>
    </w:p>
    <w:p>
      <w:r>
        <w:rPr>
          <w:rFonts w:ascii="Aptos" w:hAnsi="Aptos" w:eastAsia="Aptos"/>
          <w:b w:val="0"/>
          <w:i w:val="0"/>
          <w:color w:val="0A1628"/>
          <w:sz w:val="20"/>
        </w:rPr>
        <w:t xml:space="preserve">Quotation reference </w:t>
      </w:r>
      <w:r>
        <w:rPr>
          <w:rFonts w:ascii="Consolas" w:hAnsi="Consolas" w:eastAsia="Consolas"/>
          <w:b w:val="0"/>
          <w:i w:val="0"/>
          <w:color w:val="0A1628"/>
          <w:sz w:val="17"/>
          <w:shd w:fill="EEF2F6"/>
        </w:rPr>
        <w:t>Q-019-05-2026</w:t>
      </w:r>
      <w:r>
        <w:rPr>
          <w:rFonts w:ascii="Aptos" w:hAnsi="Aptos" w:eastAsia="Aptos"/>
          <w:b w:val="0"/>
          <w:i w:val="0"/>
          <w:color w:val="0A1628"/>
          <w:sz w:val="20"/>
        </w:rPr>
        <w:t>, dated 22 May 2026, provides:</w:t>
      </w:r>
    </w:p>
    <w:p>
      <w:pPr>
        <w:pStyle w:val="ListBullet"/>
        <w:ind w:left="0"/>
      </w:pPr>
      <w:r>
        <w:rPr>
          <w:rFonts w:ascii="Aptos" w:hAnsi="Aptos" w:eastAsia="Aptos"/>
          <w:b w:val="0"/>
          <w:i w:val="0"/>
          <w:color w:val="0A1628"/>
          <w:sz w:val="20"/>
        </w:rPr>
        <w:t>A 15% discount on standard rates.</w:t>
      </w:r>
    </w:p>
    <w:p>
      <w:pPr>
        <w:pStyle w:val="ListBullet"/>
        <w:ind w:left="0"/>
      </w:pPr>
      <w:r>
        <w:rPr>
          <w:rFonts w:ascii="Aptos" w:hAnsi="Aptos" w:eastAsia="Aptos"/>
          <w:b w:val="0"/>
          <w:i w:val="0"/>
          <w:color w:val="0A1628"/>
          <w:sz w:val="20"/>
        </w:rPr>
        <w:t>Partner rates for 0.1-3 kg.</w:t>
      </w:r>
    </w:p>
    <w:p>
      <w:pPr>
        <w:pStyle w:val="ListBullet"/>
        <w:ind w:left="0"/>
      </w:pPr>
      <w:r>
        <w:rPr>
          <w:rFonts w:ascii="Aptos" w:hAnsi="Aptos" w:eastAsia="Aptos"/>
          <w:b w:val="0"/>
          <w:i w:val="0"/>
          <w:color w:val="0A1628"/>
          <w:sz w:val="20"/>
        </w:rPr>
        <w:t>A next-1-kg charge by route/zone.</w:t>
      </w:r>
    </w:p>
    <w:p>
      <w:pPr>
        <w:pStyle w:val="ListBullet"/>
        <w:ind w:left="0"/>
      </w:pPr>
      <w:r>
        <w:rPr>
          <w:rFonts w:ascii="Aptos" w:hAnsi="Aptos" w:eastAsia="Aptos"/>
          <w:b w:val="0"/>
          <w:i w:val="0"/>
          <w:color w:val="0A1628"/>
          <w:sz w:val="20"/>
        </w:rPr>
        <w:t>COD fee of 195 MMK up to 300,000 MMK product amount.</w:t>
      </w:r>
    </w:p>
    <w:p>
      <w:pPr>
        <w:pStyle w:val="ListBullet"/>
        <w:ind w:left="0"/>
      </w:pPr>
      <w:r>
        <w:rPr>
          <w:rFonts w:ascii="Aptos" w:hAnsi="Aptos" w:eastAsia="Aptos"/>
          <w:b w:val="0"/>
          <w:i w:val="0"/>
          <w:color w:val="0A1628"/>
          <w:sz w:val="20"/>
        </w:rPr>
        <w:t>COD fee of 0.2% above 300,000 MMK.</w:t>
      </w:r>
    </w:p>
    <w:p>
      <w:pPr>
        <w:pStyle w:val="ListBullet"/>
        <w:ind w:left="0"/>
      </w:pPr>
      <w:r>
        <w:rPr>
          <w:rFonts w:ascii="Aptos" w:hAnsi="Aptos" w:eastAsia="Aptos"/>
          <w:b w:val="0"/>
          <w:i w:val="0"/>
          <w:color w:val="0A1628"/>
          <w:sz w:val="20"/>
        </w:rPr>
        <w:t>Monthly rebate access of 5%, 10%, and 15% for 1,000+, 2,000+, and 3,000+ completed Waybills.</w:t>
      </w:r>
    </w:p>
    <w:p>
      <w:pPr>
        <w:pStyle w:val="ListBullet"/>
        <w:ind w:left="0"/>
      </w:pPr>
      <w:r>
        <w:rPr>
          <w:rFonts w:ascii="Aptos" w:hAnsi="Aptos" w:eastAsia="Aptos"/>
          <w:b w:val="0"/>
          <w:i w:val="0"/>
          <w:color w:val="0A1628"/>
          <w:sz w:val="20"/>
        </w:rPr>
        <w:t>COD transfer within two to three days after successful delivery.</w:t>
      </w:r>
    </w:p>
    <w:p>
      <w:pPr>
        <w:pStyle w:val="ListBullet"/>
        <w:ind w:left="0"/>
      </w:pPr>
      <w:r>
        <w:rPr>
          <w:rFonts w:ascii="Aptos" w:hAnsi="Aptos" w:eastAsia="Aptos"/>
          <w:b w:val="0"/>
          <w:i w:val="0"/>
          <w:color w:val="0A1628"/>
          <w:sz w:val="20"/>
        </w:rPr>
        <w:t>Service-city and price-change caveats.</w:t>
      </w:r>
    </w:p>
    <w:p>
      <w:r>
        <w:rPr>
          <w:rFonts w:ascii="Aptos" w:hAnsi="Aptos" w:eastAsia="Aptos"/>
          <w:b w:val="0"/>
          <w:i w:val="0"/>
          <w:color w:val="0A1628"/>
          <w:sz w:val="20"/>
        </w:rPr>
        <w:t>The full route matrix must be imported as an effective-dated partner rate card. It should not be copied into application code.</w:t>
      </w:r>
    </w:p>
    <w:p>
      <w:pPr>
        <w:pStyle w:val="Heading1"/>
        <w:pBdr>
          <w:bottom w:val="single" w:sz="12" w:space="3" w:color="C09B30"/>
        </w:pBdr>
        <w:keepNext/>
      </w:pPr>
      <w:r>
        <w:rPr>
          <w:rFonts w:ascii="Aptos" w:hAnsi="Aptos" w:eastAsia="Aptos"/>
          <w:b w:val="0"/>
          <w:i w:val="0"/>
          <w:color w:val="0A1628"/>
          <w:sz w:val="20"/>
        </w:rPr>
        <w:t>Appendix E - Implementation Artefacts</w:t>
      </w:r>
    </w:p>
    <w:p>
      <w:r>
        <w:rPr>
          <w:rFonts w:ascii="Aptos" w:hAnsi="Aptos" w:eastAsia="Aptos"/>
          <w:b w:val="0"/>
          <w:i w:val="0"/>
          <w:color w:val="0A1628"/>
          <w:sz w:val="20"/>
        </w:rPr>
        <w:t>The following existing workstream artefacts remain useful implementation inputs:</w:t>
      </w:r>
    </w:p>
    <w:p>
      <w:pPr>
        <w:pStyle w:val="ListBullet"/>
        <w:ind w:left="0"/>
      </w:pPr>
      <w:r>
        <w:rPr>
          <w:rFonts w:ascii="Consolas" w:hAnsi="Consolas" w:eastAsia="Consolas"/>
          <w:b w:val="0"/>
          <w:i w:val="0"/>
          <w:color w:val="0A1628"/>
          <w:sz w:val="17"/>
          <w:shd w:fill="EEF2F6"/>
        </w:rPr>
        <w:t>parcel_data_entry_updated.xlsx</w:t>
      </w:r>
    </w:p>
    <w:p>
      <w:pPr>
        <w:pStyle w:val="ListBullet"/>
        <w:ind w:left="0"/>
      </w:pPr>
      <w:r>
        <w:rPr>
          <w:rFonts w:ascii="Consolas" w:hAnsi="Consolas" w:eastAsia="Consolas"/>
          <w:b w:val="0"/>
          <w:i w:val="0"/>
          <w:color w:val="0A1628"/>
          <w:sz w:val="17"/>
          <w:shd w:fill="EEF2F6"/>
        </w:rPr>
        <w:t>merchant_referral_commission_patch.sql</w:t>
      </w:r>
    </w:p>
    <w:p>
      <w:pPr>
        <w:pStyle w:val="ListBullet"/>
        <w:ind w:left="0"/>
      </w:pPr>
      <w:r>
        <w:rPr>
          <w:rFonts w:ascii="Consolas" w:hAnsi="Consolas" w:eastAsia="Consolas"/>
          <w:b w:val="0"/>
          <w:i w:val="0"/>
          <w:color w:val="0A1628"/>
          <w:sz w:val="17"/>
          <w:shd w:fill="EEF2F6"/>
        </w:rPr>
        <w:t>WorkforceCommissionPage_updated.tsx</w:t>
      </w:r>
    </w:p>
    <w:p>
      <w:pPr>
        <w:pStyle w:val="ListBullet"/>
        <w:ind w:left="0"/>
      </w:pPr>
      <w:r>
        <w:rPr>
          <w:rFonts w:ascii="Consolas" w:hAnsi="Consolas" w:eastAsia="Consolas"/>
          <w:b w:val="0"/>
          <w:i w:val="0"/>
          <w:color w:val="0A1628"/>
          <w:sz w:val="17"/>
          <w:shd w:fill="EEF2F6"/>
        </w:rPr>
        <w:t>production_remediation_developer_spec_v3_partner_rates.md</w:t>
      </w:r>
    </w:p>
    <w:p>
      <w:pPr>
        <w:pStyle w:val="ListBullet"/>
        <w:ind w:left="0"/>
      </w:pPr>
      <w:r>
        <w:rPr>
          <w:rFonts w:ascii="Consolas" w:hAnsi="Consolas" w:eastAsia="Consolas"/>
          <w:b w:val="0"/>
          <w:i w:val="0"/>
          <w:color w:val="0A1628"/>
          <w:sz w:val="17"/>
          <w:shd w:fill="EEF2F6"/>
        </w:rPr>
        <w:t>branch_office_settlement_npt_spec.md</w:t>
      </w:r>
    </w:p>
    <w:p>
      <w:pPr>
        <w:pStyle w:val="ListBullet"/>
        <w:ind w:left="0"/>
      </w:pPr>
      <w:r>
        <w:rPr>
          <w:rFonts w:ascii="Consolas" w:hAnsi="Consolas" w:eastAsia="Consolas"/>
          <w:b w:val="0"/>
          <w:i w:val="0"/>
          <w:color w:val="0A1628"/>
          <w:sz w:val="17"/>
          <w:shd w:fill="EEF2F6"/>
        </w:rPr>
        <w:t>outsourced_delivery_settlement_dk_royal_spec.md</w:t>
      </w:r>
    </w:p>
    <w:p>
      <w:pPr>
        <w:pStyle w:val="ListBullet"/>
        <w:ind w:left="0"/>
      </w:pPr>
      <w:r>
        <w:rPr>
          <w:rFonts w:ascii="Consolas" w:hAnsi="Consolas" w:eastAsia="Consolas"/>
          <w:b w:val="0"/>
          <w:i w:val="0"/>
          <w:color w:val="0A1628"/>
          <w:sz w:val="17"/>
          <w:shd w:fill="EEF2F6"/>
        </w:rPr>
        <w:t>BranchOfficePage(2).tsx</w:t>
      </w:r>
    </w:p>
    <w:p>
      <w:pPr>
        <w:pStyle w:val="ListBullet"/>
        <w:ind w:left="0"/>
      </w:pPr>
      <w:r>
        <w:rPr>
          <w:rFonts w:ascii="Aptos" w:hAnsi="Aptos" w:eastAsia="Aptos"/>
          <w:b w:val="0"/>
          <w:i w:val="0"/>
          <w:color w:val="0A1628"/>
          <w:sz w:val="20"/>
        </w:rPr>
        <w:t>DK Delivery and Royal Express source PDFs</w:t>
      </w:r>
    </w:p>
    <w:p>
      <w:pPr>
        <w:pStyle w:val="Heading1"/>
        <w:pBdr>
          <w:bottom w:val="single" w:sz="12" w:space="1" w:color="C09B30"/>
        </w:pBdr>
      </w:pPr>
      <w:r>
        <w:t>Appendix F - Source Document Visuals</w:t>
      </w:r>
    </w:p>
    <w:p>
      <w:pPr>
        <w:pStyle w:val="SmallNote"/>
      </w:pPr>
      <w:r>
        <w:t>The following pages are included for visual reference. The database must use approved, transcribed, effective-dated rate records rather than image interpretation at runtime.</w:t>
      </w:r>
    </w:p>
    <w:p>
      <w:r>
        <w:drawing>
          <wp:inline xmlns:a="http://schemas.openxmlformats.org/drawingml/2006/main" xmlns:pic="http://schemas.openxmlformats.org/drawingml/2006/picture">
            <wp:extent cx="6355080" cy="10467191"/>
            <wp:docPr id="1" name="Picture 1" descr="Image: image1.png"/>
            <wp:cNvGraphicFramePr>
              <a:graphicFrameLocks noChangeAspect="1"/>
            </wp:cNvGraphicFramePr>
            <a:graphic>
              <a:graphicData uri="http://schemas.openxmlformats.org/drawingml/2006/picture">
                <pic:pic>
                  <pic:nvPicPr>
                    <pic:cNvPr id="0" name="page-1.png"/>
                    <pic:cNvPicPr/>
                  </pic:nvPicPr>
                  <pic:blipFill>
                    <a:blip r:embed="rId11"/>
                    <a:stretch>
                      <a:fillRect/>
                    </a:stretch>
                  </pic:blipFill>
                  <pic:spPr>
                    <a:xfrm>
                      <a:off x="0" y="0"/>
                      <a:ext cx="6355080" cy="10467191"/>
                    </a:xfrm>
                    <a:prstGeom prst="rect"/>
                  </pic:spPr>
                </pic:pic>
              </a:graphicData>
            </a:graphic>
          </wp:inline>
        </w:drawing>
      </w:r>
    </w:p>
    <w:p>
      <w:pPr>
        <w:pStyle w:val="SmallNote"/>
        <w:spacing w:after="200"/>
        <w:jc w:val="center"/>
      </w:pPr>
      <w:r>
        <w:t>Figure F-1. DK Delivery Mandalay area-rate diagram (source page 1).</w:t>
      </w:r>
    </w:p>
    <w:p>
      <w:r>
        <w:drawing>
          <wp:inline xmlns:a="http://schemas.openxmlformats.org/drawingml/2006/main" xmlns:pic="http://schemas.openxmlformats.org/drawingml/2006/picture">
            <wp:extent cx="6355080" cy="8224221"/>
            <wp:docPr id="2" name="Picture 2" descr="Image: image2.png"/>
            <wp:cNvGraphicFramePr>
              <a:graphicFrameLocks noChangeAspect="1"/>
            </wp:cNvGraphicFramePr>
            <a:graphic>
              <a:graphicData uri="http://schemas.openxmlformats.org/drawingml/2006/picture">
                <pic:pic>
                  <pic:nvPicPr>
                    <pic:cNvPr id="0" name="page-1.png"/>
                    <pic:cNvPicPr/>
                  </pic:nvPicPr>
                  <pic:blipFill>
                    <a:blip r:embed="rId12"/>
                    <a:stretch>
                      <a:fillRect/>
                    </a:stretch>
                  </pic:blipFill>
                  <pic:spPr>
                    <a:xfrm>
                      <a:off x="0" y="0"/>
                      <a:ext cx="6355080" cy="8224221"/>
                    </a:xfrm>
                    <a:prstGeom prst="rect"/>
                  </pic:spPr>
                </pic:pic>
              </a:graphicData>
            </a:graphic>
          </wp:inline>
        </w:drawing>
      </w:r>
    </w:p>
    <w:p>
      <w:pPr>
        <w:pStyle w:val="SmallNote"/>
        <w:spacing w:after="200"/>
        <w:jc w:val="center"/>
      </w:pPr>
      <w:r>
        <w:t>Figure F-2. Royal Express Business Partner quotation summary (source page 1).</w:t>
      </w:r>
    </w:p>
    <w:p>
      <w:r>
        <w:drawing>
          <wp:inline xmlns:a="http://schemas.openxmlformats.org/drawingml/2006/main" xmlns:pic="http://schemas.openxmlformats.org/drawingml/2006/picture">
            <wp:extent cx="6355080" cy="8224221"/>
            <wp:docPr id="3" name="Picture 3" descr="Image: image3.png"/>
            <wp:cNvGraphicFramePr>
              <a:graphicFrameLocks noChangeAspect="1"/>
            </wp:cNvGraphicFramePr>
            <a:graphic>
              <a:graphicData uri="http://schemas.openxmlformats.org/drawingml/2006/picture">
                <pic:pic>
                  <pic:nvPicPr>
                    <pic:cNvPr id="0" name="page-2.png"/>
                    <pic:cNvPicPr/>
                  </pic:nvPicPr>
                  <pic:blipFill>
                    <a:blip r:embed="rId13"/>
                    <a:stretch>
                      <a:fillRect/>
                    </a:stretch>
                  </pic:blipFill>
                  <pic:spPr>
                    <a:xfrm>
                      <a:off x="0" y="0"/>
                      <a:ext cx="6355080" cy="8224221"/>
                    </a:xfrm>
                    <a:prstGeom prst="rect"/>
                  </pic:spPr>
                </pic:pic>
              </a:graphicData>
            </a:graphic>
          </wp:inline>
        </w:drawing>
      </w:r>
    </w:p>
    <w:p>
      <w:pPr>
        <w:pStyle w:val="SmallNote"/>
        <w:spacing w:after="200"/>
        <w:jc w:val="center"/>
      </w:pPr>
      <w:r>
        <w:t>Figure F-3. Royal Express sample route-rate table showing normal rate, discounted rate, and next-1-kg rate (source page 2).</w:t>
      </w:r>
    </w:p>
    <w:sectPr w:rsidR="00FC693F" w:rsidRPr="0006063C" w:rsidSect="00034616">
      <w:headerReference w:type="default" r:id="rId9"/>
      <w:footerReference w:type="default" r:id="rId10"/>
      <w:pgSz w:w="12240" w:h="15840"/>
      <w:pgMar w:top="864" w:right="936" w:bottom="893" w:left="936"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color w:val="5A6775"/>
        <w:sz w:val="15"/>
      </w:rPr>
      <w:t>CONFIDENTIAL - INTERNAL IMPLEMENTATION USE</w:t>
    </w:r>
    <w:r>
      <w:rPr>
        <w:color w:val="5A6775"/>
        <w:sz w:val="16"/>
      </w:rPr>
      <w:t xml:space="preserve">Page </w:t>
    </w:r>
    <w:fldSimple w:instr="PAGE">
      <w:r>
        <w:rPr>
          <w:color w:val="5A6775"/>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B8C4D1"/>
      </w:pBdr>
    </w:pPr>
    <w:r>
      <w:rPr>
        <w:rFonts w:ascii="Aptos" w:hAnsi="Aptos" w:eastAsia="Aptos"/>
        <w:b/>
        <w:color w:val="17365D"/>
        <w:sz w:val="16"/>
      </w:rPr>
      <w:t>BRITIUM EXPRESS  |  INTEGRATED MASTER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ptos" w:hAnsi="Aptos" w:eastAsia="Aptos"/>
      <w:color w:val="0A16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4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eastAsia="Aptos Display"/>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eastAsia="Aptos Display"/>
      <w:b/>
      <w:bCs/>
      <w:color w:val="C09B30"/>
      <w:sz w:val="23"/>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Aptos Display" w:hAnsi="Aptos Display" w:eastAsia="Aptos Display"/>
      <w:b/>
      <w:bCs/>
      <w:i/>
      <w:iCs/>
      <w:color w:val="0A162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0A162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w:hAnsi="Aptos" w:eastAsia="Aptos"/>
      <w:b w:val="0"/>
      <w:i/>
      <w:iCs/>
      <w:color w:val="5A67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eastAsia="Consolas"/>
      <w:color w:val="0A1628"/>
      <w:sz w:val="16"/>
    </w:rPr>
  </w:style>
  <w:style w:type="paragraph" w:customStyle="1" w:styleId="SmallNote">
    <w:name w:val="Small Note"/>
    <w:rPr>
      <w:rFonts w:ascii="Aptos" w:hAnsi="Aptos"/>
      <w:i/>
      <w:color w:val="5A67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Britium Express Integrated Master Specification V4</dc:title>
  <dc:subject>Delivery, financial settlement, branch, outsourcing, commission, and production remediation</dc:subject>
  <dc:creator>Britium Express</dc:creator>
  <cp:keywords>Britium Express, financial settlement, merchant, branch, DK Delivery, Royal Express, Supabase, production remediation</cp:keywords>
  <dc:description>Consolidated specification generated from approved workstream materials; unresolved business decisions are explicitly flagged.</dc:description>
  <cp:lastModifiedBy/>
  <cp:revision>1</cp:revision>
  <dcterms:created xsi:type="dcterms:W3CDTF">2013-12-23T23:15:00Z</dcterms:created>
  <dcterms:modified xsi:type="dcterms:W3CDTF">2013-12-23T23:15:00Z</dcterms:modified>
  <cp:category/>
</cp:coreProperties>
</file>