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rFonts w:ascii="Aptos Display" w:hAnsi="Aptos Display" w:eastAsia="Aptos Display"/>
          <w:b/>
          <w:color w:val="C09B30"/>
          <w:sz w:val="28"/>
        </w:rPr>
        <w:t>BRITIUM EXPRESS</w:t>
      </w:r>
    </w:p>
    <w:p>
      <w:pPr>
        <w:spacing w:after="240"/>
        <w:jc w:val="center"/>
      </w:pPr>
      <w:r>
        <w:rPr>
          <w:rFonts w:ascii="Aptos Display" w:hAnsi="Aptos Display" w:eastAsia="Aptos Display"/>
          <w:b/>
          <w:color w:val="0A1628"/>
          <w:sz w:val="50"/>
        </w:rPr>
        <w:t>Integrated Delivery, Financial Settlement,</w:t>
        <w:br/>
        <w:t>Network Fulfillment, and Production Remediation</w:t>
      </w:r>
    </w:p>
    <w:p>
      <w:pPr>
        <w:jc w:val="center"/>
      </w:pPr>
      <w:r>
        <w:rPr>
          <w:rFonts w:ascii="Aptos" w:hAnsi="Aptos" w:eastAsia="Aptos"/>
          <w:b w:val="0"/>
          <w:color w:val="17365D"/>
          <w:sz w:val="26"/>
        </w:rPr>
        <w:t>Consolidated Developer-Ready Master Specification</w:t>
      </w:r>
    </w:p>
    <w:p>
      <w:pPr>
        <w:spacing w:before="400"/>
        <w:jc w:val="center"/>
      </w:pPr>
    </w:p>
    <w:tbl>
      <w:tblPr>
        <w:tblW w:type="pct" w:w="3900"/>
        <w:jc w:val="center"/>
        <w:tblLook w:firstColumn="1" w:firstRow="1" w:lastColumn="0" w:lastRow="0" w:noHBand="0" w:noVBand="1" w:val="04A0"/>
        <w:tblBorders>
          <w:top w:val="single" w:sz="4" w:color="D8E0E8"/>
          <w:start w:val="single" w:sz="4" w:color="D8E0E8"/>
          <w:bottom w:val="single" w:sz="4" w:color="D8E0E8"/>
          <w:end w:val="single" w:sz="4" w:color="D8E0E8"/>
          <w:insideH w:val="single" w:sz="4" w:color="D8E0E8"/>
          <w:insideV w:val="single" w:sz="4" w:color="D8E0E8"/>
        </w:tblBorders>
      </w:tblPr>
      <w:tblGrid>
        <w:gridCol w:w="5184"/>
        <w:gridCol w:w="5184"/>
      </w:tblGrid>
      <w:tr>
        <w:tc>
          <w:tcPr>
            <w:tcW w:type="dxa" w:w="5184"/>
            <w:shd w:fill="EAF0F6"/>
            <w:tcMar>
              <w:top w:w="120" w:type="dxa"/>
              <w:start w:w="130" w:type="dxa"/>
              <w:bottom w:w="120" w:type="dxa"/>
              <w:end w:w="130" w:type="dxa"/>
            </w:tcMar>
          </w:tcPr>
          <w:p>
            <w:r>
              <w:rPr>
                <w:rFonts w:ascii="Aptos" w:hAnsi="Aptos" w:eastAsia="Aptos"/>
                <w:b/>
                <w:color w:val="17365D"/>
                <w:sz w:val="18"/>
              </w:rPr>
              <w:t>Version</w:t>
            </w:r>
          </w:p>
        </w:tc>
        <w:tc>
          <w:tcPr>
            <w:tcW w:type="dxa" w:w="5184"/>
            <w:shd w:fill="FFFFFF"/>
            <w:tcMar>
              <w:top w:w="120" w:type="dxa"/>
              <w:start w:w="130" w:type="dxa"/>
              <w:bottom w:w="120" w:type="dxa"/>
              <w:end w:w="130" w:type="dxa"/>
            </w:tcMar>
          </w:tcPr>
          <w:p>
            <w:r>
              <w:rPr>
                <w:rFonts w:ascii="Aptos" w:hAnsi="Aptos" w:eastAsia="Aptos"/>
                <w:color w:val="0A1628"/>
                <w:sz w:val="18"/>
              </w:rPr>
              <w:t>BRITIUM_MASTER_V4.1_2026-07-31</w:t>
            </w:r>
          </w:p>
        </w:tc>
      </w:tr>
      <w:tr>
        <w:tc>
          <w:tcPr>
            <w:tcW w:type="dxa" w:w="5184"/>
            <w:shd w:fill="EAF0F6"/>
            <w:tcMar>
              <w:top w:w="120" w:type="dxa"/>
              <w:start w:w="130" w:type="dxa"/>
              <w:bottom w:w="120" w:type="dxa"/>
              <w:end w:w="130" w:type="dxa"/>
            </w:tcMar>
          </w:tcPr>
          <w:p>
            <w:r>
              <w:rPr>
                <w:rFonts w:ascii="Aptos" w:hAnsi="Aptos" w:eastAsia="Aptos"/>
                <w:b/>
                <w:color w:val="17365D"/>
                <w:sz w:val="18"/>
              </w:rPr>
              <w:t>Status</w:t>
            </w:r>
          </w:p>
        </w:tc>
        <w:tc>
          <w:tcPr>
            <w:tcW w:type="dxa" w:w="5184"/>
            <w:shd w:fill="FFFFFF"/>
            <w:tcMar>
              <w:top w:w="120" w:type="dxa"/>
              <w:start w:w="130" w:type="dxa"/>
              <w:bottom w:w="120" w:type="dxa"/>
              <w:end w:w="130" w:type="dxa"/>
            </w:tcMar>
          </w:tcPr>
          <w:p>
            <w:r>
              <w:rPr>
                <w:rFonts w:ascii="Aptos" w:hAnsi="Aptos" w:eastAsia="Aptos"/>
                <w:color w:val="0A1628"/>
                <w:sz w:val="18"/>
              </w:rPr>
              <w:t>Implementation specification</w:t>
            </w:r>
          </w:p>
        </w:tc>
      </w:tr>
      <w:tr>
        <w:tc>
          <w:tcPr>
            <w:tcW w:type="dxa" w:w="5184"/>
            <w:shd w:fill="EAF0F6"/>
            <w:tcMar>
              <w:top w:w="120" w:type="dxa"/>
              <w:start w:w="130" w:type="dxa"/>
              <w:bottom w:w="120" w:type="dxa"/>
              <w:end w:w="130" w:type="dxa"/>
            </w:tcMar>
          </w:tcPr>
          <w:p>
            <w:r>
              <w:rPr>
                <w:rFonts w:ascii="Aptos" w:hAnsi="Aptos" w:eastAsia="Aptos"/>
                <w:b/>
                <w:color w:val="17365D"/>
                <w:sz w:val="18"/>
              </w:rPr>
              <w:t>Environment</w:t>
            </w:r>
          </w:p>
        </w:tc>
        <w:tc>
          <w:tcPr>
            <w:tcW w:type="dxa" w:w="5184"/>
            <w:shd w:fill="FFFFFF"/>
            <w:tcMar>
              <w:top w:w="120" w:type="dxa"/>
              <w:start w:w="130" w:type="dxa"/>
              <w:bottom w:w="120" w:type="dxa"/>
              <w:end w:w="130" w:type="dxa"/>
            </w:tcMar>
          </w:tcPr>
          <w:p>
            <w:r>
              <w:rPr>
                <w:rFonts w:ascii="Aptos" w:hAnsi="Aptos" w:eastAsia="Aptos"/>
                <w:color w:val="0A1628"/>
                <w:sz w:val="18"/>
              </w:rPr>
              <w:t>Production</w:t>
            </w:r>
          </w:p>
        </w:tc>
      </w:tr>
      <w:tr>
        <w:tc>
          <w:tcPr>
            <w:tcW w:type="dxa" w:w="5184"/>
            <w:shd w:fill="EAF0F6"/>
            <w:tcMar>
              <w:top w:w="120" w:type="dxa"/>
              <w:start w:w="130" w:type="dxa"/>
              <w:bottom w:w="120" w:type="dxa"/>
              <w:end w:w="130" w:type="dxa"/>
            </w:tcMar>
          </w:tcPr>
          <w:p>
            <w:r>
              <w:rPr>
                <w:rFonts w:ascii="Aptos" w:hAnsi="Aptos" w:eastAsia="Aptos"/>
                <w:b/>
                <w:color w:val="17365D"/>
                <w:sz w:val="18"/>
              </w:rPr>
              <w:t>Currency</w:t>
            </w:r>
          </w:p>
        </w:tc>
        <w:tc>
          <w:tcPr>
            <w:tcW w:type="dxa" w:w="5184"/>
            <w:shd w:fill="FFFFFF"/>
            <w:tcMar>
              <w:top w:w="120" w:type="dxa"/>
              <w:start w:w="130" w:type="dxa"/>
              <w:bottom w:w="120" w:type="dxa"/>
              <w:end w:w="130" w:type="dxa"/>
            </w:tcMar>
          </w:tcPr>
          <w:p>
            <w:r>
              <w:rPr>
                <w:rFonts w:ascii="Aptos" w:hAnsi="Aptos" w:eastAsia="Aptos"/>
                <w:color w:val="0A1628"/>
                <w:sz w:val="18"/>
              </w:rPr>
              <w:t>MMK</w:t>
            </w:r>
          </w:p>
        </w:tc>
      </w:tr>
      <w:tr>
        <w:tc>
          <w:tcPr>
            <w:tcW w:type="dxa" w:w="5184"/>
            <w:shd w:fill="EAF0F6"/>
            <w:tcMar>
              <w:top w:w="120" w:type="dxa"/>
              <w:start w:w="130" w:type="dxa"/>
              <w:bottom w:w="120" w:type="dxa"/>
              <w:end w:w="130" w:type="dxa"/>
            </w:tcMar>
          </w:tcPr>
          <w:p>
            <w:r>
              <w:rPr>
                <w:rFonts w:ascii="Aptos" w:hAnsi="Aptos" w:eastAsia="Aptos"/>
                <w:b/>
                <w:color w:val="17365D"/>
                <w:sz w:val="18"/>
              </w:rPr>
              <w:t>Prepared</w:t>
            </w:r>
          </w:p>
        </w:tc>
        <w:tc>
          <w:tcPr>
            <w:tcW w:type="dxa" w:w="5184"/>
            <w:shd w:fill="FFFFFF"/>
            <w:tcMar>
              <w:top w:w="120" w:type="dxa"/>
              <w:start w:w="130" w:type="dxa"/>
              <w:bottom w:w="120" w:type="dxa"/>
              <w:end w:w="130" w:type="dxa"/>
            </w:tcMar>
          </w:tcPr>
          <w:p>
            <w:r>
              <w:rPr>
                <w:rFonts w:ascii="Aptos" w:hAnsi="Aptos" w:eastAsia="Aptos"/>
                <w:color w:val="0A1628"/>
                <w:sz w:val="18"/>
              </w:rPr>
              <w:t>31 July 2026</w:t>
            </w:r>
          </w:p>
        </w:tc>
      </w:tr>
    </w:tbl>
    <w:p>
      <w:pPr>
        <w:spacing w:before="480"/>
        <w:jc w:val="center"/>
      </w:pPr>
      <w:r>
        <w:rPr>
          <w:rFonts w:ascii="Aptos" w:hAnsi="Aptos" w:eastAsia="Aptos"/>
          <w:b/>
          <w:color w:val="B42318"/>
          <w:sz w:val="18"/>
        </w:rPr>
        <w:t>CONFIDENTIAL - INTERNAL IMPLEMENTATION USE</w:t>
      </w:r>
    </w:p>
    <w:p>
      <w:pPr>
        <w:spacing w:before="140"/>
        <w:jc w:val="center"/>
      </w:pPr>
      <w:r>
        <w:rPr>
          <w:rFonts w:ascii="Aptos" w:hAnsi="Aptos" w:eastAsia="Aptos"/>
          <w:color w:val="5A6775"/>
          <w:sz w:val="18"/>
        </w:rPr>
        <w:t>Backend-authoritative financial rules | Effective-dated contracts | Audited settlement</w:t>
      </w:r>
    </w:p>
    <w:p>
      <w:r>
        <w:br w:type="page"/>
      </w:r>
    </w:p>
    <w:p>
      <w:r>
        <w:rPr>
          <w:rFonts w:ascii="Aptos" w:hAnsi="Aptos" w:eastAsia="Aptos"/>
          <w:b w:val="0"/>
          <w:i w:val="0"/>
          <w:color w:val="0A1628"/>
          <w:sz w:val="20"/>
        </w:rPr>
      </w:r>
      <w:r>
        <w:rPr>
          <w:rFonts w:ascii="Aptos" w:hAnsi="Aptos" w:eastAsia="Aptos"/>
          <w:b/>
          <w:i w:val="0"/>
          <w:color w:val="0A1628"/>
          <w:sz w:val="20"/>
        </w:rPr>
        <w:t>Document status:</w:t>
      </w:r>
      <w:r>
        <w:rPr>
          <w:rFonts w:ascii="Aptos" w:hAnsi="Aptos" w:eastAsia="Aptos"/>
          <w:b w:val="0"/>
          <w:i w:val="0"/>
          <w:color w:val="0A1628"/>
          <w:sz w:val="20"/>
        </w:rPr>
        <w:t xml:space="preserve"> Consolidated developer-ready master specification</w:t>
      </w:r>
      <w:r>
        <w:br/>
      </w:r>
      <w:r>
        <w:rPr>
          <w:rFonts w:ascii="Aptos" w:hAnsi="Aptos" w:eastAsia="Aptos"/>
          <w:b w:val="0"/>
          <w:i w:val="0"/>
          <w:color w:val="0A1628"/>
          <w:sz w:val="20"/>
        </w:rPr>
      </w:r>
      <w:r>
        <w:rPr>
          <w:rFonts w:ascii="Aptos" w:hAnsi="Aptos" w:eastAsia="Aptos"/>
          <w:b/>
          <w:i w:val="0"/>
          <w:color w:val="0A1628"/>
          <w:sz w:val="20"/>
        </w:rPr>
        <w:t>Specification version:</w:t>
      </w:r>
      <w:r>
        <w:rPr>
          <w:rFonts w:ascii="Aptos" w:hAnsi="Aptos" w:eastAsia="Aptos"/>
          <w:b w:val="0"/>
          <w:i w:val="0"/>
          <w:color w:val="0A1628"/>
          <w:sz w:val="20"/>
        </w:rPr>
        <w:t xml:space="preserve"> </w:t>
      </w:r>
      <w:r>
        <w:rPr>
          <w:rFonts w:ascii="Consolas" w:hAnsi="Consolas" w:eastAsia="Consolas"/>
          <w:b w:val="0"/>
          <w:i w:val="0"/>
          <w:color w:val="0A1628"/>
          <w:sz w:val="17"/>
          <w:shd w:fill="EEF2F6"/>
        </w:rPr>
        <w:t>BRITIUM_MASTER_V4.1_2026-07-31</w:t>
      </w:r>
      <w:r>
        <w:br/>
      </w:r>
      <w:r>
        <w:rPr>
          <w:rFonts w:ascii="Aptos" w:hAnsi="Aptos" w:eastAsia="Aptos"/>
          <w:b w:val="0"/>
          <w:i w:val="0"/>
          <w:color w:val="0A1628"/>
          <w:sz w:val="20"/>
        </w:rPr>
      </w:r>
      <w:r>
        <w:rPr>
          <w:rFonts w:ascii="Aptos" w:hAnsi="Aptos" w:eastAsia="Aptos"/>
          <w:b/>
          <w:i w:val="0"/>
          <w:color w:val="0A1628"/>
          <w:sz w:val="20"/>
        </w:rPr>
        <w:t>Prepared for:</w:t>
      </w:r>
      <w:r>
        <w:rPr>
          <w:rFonts w:ascii="Aptos" w:hAnsi="Aptos" w:eastAsia="Aptos"/>
          <w:b w:val="0"/>
          <w:i w:val="0"/>
          <w:color w:val="0A1628"/>
          <w:sz w:val="20"/>
        </w:rPr>
        <w:t xml:space="preserve"> Britium Express management, Finance, Operations, Branch Offices, Business Development, Marketing, HR, Security Administration, and Software Engineering</w:t>
      </w:r>
      <w:r>
        <w:br/>
      </w:r>
      <w:r>
        <w:rPr>
          <w:rFonts w:ascii="Aptos" w:hAnsi="Aptos" w:eastAsia="Aptos"/>
          <w:b w:val="0"/>
          <w:i w:val="0"/>
          <w:color w:val="0A1628"/>
          <w:sz w:val="20"/>
        </w:rPr>
      </w:r>
      <w:r>
        <w:rPr>
          <w:rFonts w:ascii="Aptos" w:hAnsi="Aptos" w:eastAsia="Aptos"/>
          <w:b/>
          <w:i w:val="0"/>
          <w:color w:val="0A1628"/>
          <w:sz w:val="20"/>
        </w:rPr>
        <w:t>Target environment:</w:t>
      </w:r>
      <w:r>
        <w:rPr>
          <w:rFonts w:ascii="Aptos" w:hAnsi="Aptos" w:eastAsia="Aptos"/>
          <w:b w:val="0"/>
          <w:i w:val="0"/>
          <w:color w:val="0A1628"/>
          <w:sz w:val="20"/>
        </w:rPr>
        <w:t xml:space="preserve"> Production</w:t>
      </w:r>
      <w:r>
        <w:br/>
      </w:r>
      <w:r>
        <w:rPr>
          <w:rFonts w:ascii="Aptos" w:hAnsi="Aptos" w:eastAsia="Aptos"/>
          <w:b w:val="0"/>
          <w:i w:val="0"/>
          <w:color w:val="0A1628"/>
          <w:sz w:val="20"/>
        </w:rPr>
      </w:r>
      <w:r>
        <w:rPr>
          <w:rFonts w:ascii="Aptos" w:hAnsi="Aptos" w:eastAsia="Aptos"/>
          <w:b/>
          <w:i w:val="0"/>
          <w:color w:val="0A1628"/>
          <w:sz w:val="20"/>
        </w:rPr>
        <w:t>Primary technology:</w:t>
      </w:r>
      <w:r>
        <w:rPr>
          <w:rFonts w:ascii="Aptos" w:hAnsi="Aptos" w:eastAsia="Aptos"/>
          <w:b w:val="0"/>
          <w:i w:val="0"/>
          <w:color w:val="0A1628"/>
          <w:sz w:val="20"/>
        </w:rPr>
        <w:t xml:space="preserve"> React, TypeScript, Vite, React Router, Tailwind, Supabase/PostgreSQL RPCs, RLS, and trusted server-side authentication administration</w:t>
      </w:r>
      <w:r>
        <w:br/>
      </w:r>
      <w:r>
        <w:rPr>
          <w:rFonts w:ascii="Aptos" w:hAnsi="Aptos" w:eastAsia="Aptos"/>
          <w:b w:val="0"/>
          <w:i w:val="0"/>
          <w:color w:val="0A1628"/>
          <w:sz w:val="20"/>
        </w:rPr>
      </w:r>
      <w:r>
        <w:rPr>
          <w:rFonts w:ascii="Aptos" w:hAnsi="Aptos" w:eastAsia="Aptos"/>
          <w:b/>
          <w:i w:val="0"/>
          <w:color w:val="0A1628"/>
          <w:sz w:val="20"/>
        </w:rPr>
        <w:t>Currency:</w:t>
      </w:r>
      <w:r>
        <w:rPr>
          <w:rFonts w:ascii="Aptos" w:hAnsi="Aptos" w:eastAsia="Aptos"/>
          <w:b w:val="0"/>
          <w:i w:val="0"/>
          <w:color w:val="0A1628"/>
          <w:sz w:val="20"/>
        </w:rPr>
        <w:t xml:space="preserve"> Myanmar Kyat (MMK)</w:t>
      </w:r>
    </w:p>
    <w:p>
      <w:pPr>
        <w:pBdr>
          <w:bottom w:val="single" w:sz="5" w:space="3" w:color="B8C4D1"/>
        </w:pBdr>
        <w:spacing w:after="100"/>
      </w:pPr>
    </w:p>
    <w:p>
      <w:pPr>
        <w:pStyle w:val="Heading2"/>
        <w:keepNext/>
      </w:pPr>
      <w:r>
        <w:rPr>
          <w:rFonts w:ascii="Aptos" w:hAnsi="Aptos" w:eastAsia="Aptos"/>
          <w:b w:val="0"/>
          <w:i w:val="0"/>
          <w:color w:val="0A1628"/>
          <w:sz w:val="20"/>
        </w:rPr>
        <w:t>Document Control</w:t>
      </w:r>
    </w:p>
    <w:tbl>
      <w:tblPr>
        <w:tblW w:type="pct" w:w="5000"/>
        <w:jc w:val="center"/>
        <w:tblLayout w:type="autofit"/>
        <w:tblLook w:firstColumn="1" w:firstRow="1" w:lastColumn="0" w:lastRow="0" w:noHBand="0" w:noVBand="1" w:val="04A0"/>
        <w:tblBorders>
          <w:top w:val="single" w:sz="4" w:color="B8C4D1"/>
          <w:start w:val="single" w:sz="4" w:color="B8C4D1"/>
          <w:bottom w:val="single" w:sz="4" w:color="B8C4D1"/>
          <w:end w:val="single" w:sz="4" w:color="B8C4D1"/>
          <w:insideH w:val="single" w:sz="4" w:color="B8C4D1"/>
          <w:insideV w:val="single" w:sz="4" w:color="B8C4D1"/>
        </w:tblBorders>
      </w:tblPr>
      <w:tblGrid>
        <w:gridCol w:w="5184"/>
        <w:gridCol w:w="5184"/>
      </w:tblGrid>
      <w:tr>
        <w:trPr>
          <w:tblHeader w:val="true"/>
          <w:cantSplit/>
        </w:trPr>
        <w:tc>
          <w:tcPr>
            <w:tcW w:type="dxa" w:w="5184"/>
            <w:vAlign w:val="center"/>
            <w:tcMar>
              <w:top w:w="75" w:type="dxa"/>
              <w:start w:w="80" w:type="dxa"/>
              <w:bottom w:w="75" w:type="dxa"/>
              <w:end w:w="80" w:type="dxa"/>
            </w:tcMar>
            <w:shd w:fill="17365D"/>
          </w:tcPr>
          <w:p>
            <w:pPr>
              <w:spacing w:after="0" w:line="240" w:lineRule="auto"/>
            </w:pPr>
            <w:r>
              <w:rPr>
                <w:b/>
                <w:color w:val="FFFFFF"/>
                <w:sz w:val="17"/>
              </w:rPr>
            </w:r>
            <w:r>
              <w:rPr>
                <w:rFonts w:ascii="Aptos" w:hAnsi="Aptos" w:eastAsia="Aptos"/>
                <w:b/>
                <w:i w:val="0"/>
                <w:color w:val="FFFFFF"/>
                <w:sz w:val="17"/>
              </w:rPr>
              <w:t>Item</w:t>
            </w:r>
          </w:p>
        </w:tc>
        <w:tc>
          <w:tcPr>
            <w:tcW w:type="dxa" w:w="5184"/>
            <w:vAlign w:val="center"/>
            <w:tcMar>
              <w:top w:w="75" w:type="dxa"/>
              <w:start w:w="80" w:type="dxa"/>
              <w:bottom w:w="75" w:type="dxa"/>
              <w:end w:w="80" w:type="dxa"/>
            </w:tcMar>
            <w:shd w:fill="17365D"/>
          </w:tcPr>
          <w:p>
            <w:pPr>
              <w:spacing w:after="0" w:line="240" w:lineRule="auto"/>
            </w:pPr>
            <w:r>
              <w:rPr>
                <w:b/>
                <w:color w:val="FFFFFF"/>
                <w:sz w:val="17"/>
              </w:rPr>
            </w:r>
            <w:r>
              <w:rPr>
                <w:rFonts w:ascii="Aptos" w:hAnsi="Aptos" w:eastAsia="Aptos"/>
                <w:b/>
                <w:i w:val="0"/>
                <w:color w:val="FFFFFF"/>
                <w:sz w:val="17"/>
              </w:rPr>
              <w:t>Value</w:t>
            </w:r>
          </w:p>
        </w:tc>
      </w:tr>
      <w:tr>
        <w:trPr>
          <w:cantSplit/>
        </w:trPr>
        <w:tc>
          <w:tcPr>
            <w:tcW w:type="dxa" w:w="5184"/>
            <w:vAlign w:val="center"/>
            <w:tcMar>
              <w:top w:w="75" w:type="dxa"/>
              <w:start w:w="80" w:type="dxa"/>
              <w:bottom w:w="75" w:type="dxa"/>
              <w:end w:w="80" w:type="dxa"/>
            </w:tcMar>
          </w:tcPr>
          <w:p>
            <w:pPr>
              <w:spacing w:after="0" w:line="240" w:lineRule="auto"/>
            </w:pPr>
            <w:r>
              <w:rPr>
                <w:color w:val="0A1628"/>
                <w:sz w:val="17"/>
              </w:rPr>
            </w:r>
            <w:r>
              <w:rPr>
                <w:rFonts w:ascii="Aptos" w:hAnsi="Aptos" w:eastAsia="Aptos"/>
                <w:b w:val="0"/>
                <w:i w:val="0"/>
                <w:color w:val="0A1628"/>
                <w:sz w:val="17"/>
              </w:rPr>
              <w:t>Owner</w:t>
            </w:r>
          </w:p>
        </w:tc>
        <w:tc>
          <w:tcPr>
            <w:tcW w:type="dxa" w:w="5184"/>
            <w:vAlign w:val="center"/>
            <w:tcMar>
              <w:top w:w="75" w:type="dxa"/>
              <w:start w:w="80" w:type="dxa"/>
              <w:bottom w:w="75" w:type="dxa"/>
              <w:end w:w="80" w:type="dxa"/>
            </w:tcMar>
          </w:tcPr>
          <w:p>
            <w:pPr>
              <w:spacing w:after="0" w:line="240" w:lineRule="auto"/>
            </w:pPr>
            <w:r>
              <w:rPr>
                <w:color w:val="0A1628"/>
                <w:sz w:val="17"/>
              </w:rPr>
            </w:r>
            <w:r>
              <w:rPr>
                <w:rFonts w:ascii="Aptos" w:hAnsi="Aptos" w:eastAsia="Aptos"/>
                <w:b w:val="0"/>
                <w:i w:val="0"/>
                <w:color w:val="0A1628"/>
                <w:sz w:val="17"/>
              </w:rPr>
              <w:t>Britium Express</w:t>
            </w:r>
          </w:p>
        </w:tc>
      </w:tr>
      <w:tr>
        <w:trPr>
          <w:cantSplit/>
        </w:trPr>
        <w:tc>
          <w:tcPr>
            <w:tcW w:type="dxa" w:w="5184"/>
            <w:vAlign w:val="center"/>
            <w:tcMar>
              <w:top w:w="75" w:type="dxa"/>
              <w:start w:w="80" w:type="dxa"/>
              <w:bottom w:w="75" w:type="dxa"/>
              <w:end w:w="80" w:type="dxa"/>
            </w:tcMar>
            <w:shd w:fill="F7F9FC"/>
          </w:tcPr>
          <w:p>
            <w:pPr>
              <w:spacing w:after="0" w:line="240" w:lineRule="auto"/>
            </w:pPr>
            <w:r>
              <w:rPr>
                <w:color w:val="0A1628"/>
                <w:sz w:val="17"/>
              </w:rPr>
            </w:r>
            <w:r>
              <w:rPr>
                <w:rFonts w:ascii="Aptos" w:hAnsi="Aptos" w:eastAsia="Aptos"/>
                <w:b w:val="0"/>
                <w:i w:val="0"/>
                <w:color w:val="0A1628"/>
                <w:sz w:val="17"/>
              </w:rPr>
              <w:t>Business owners</w:t>
            </w:r>
          </w:p>
        </w:tc>
        <w:tc>
          <w:tcPr>
            <w:tcW w:type="dxa" w:w="5184"/>
            <w:vAlign w:val="center"/>
            <w:tcMar>
              <w:top w:w="75" w:type="dxa"/>
              <w:start w:w="80" w:type="dxa"/>
              <w:bottom w:w="75" w:type="dxa"/>
              <w:end w:w="80" w:type="dxa"/>
            </w:tcMar>
            <w:shd w:fill="F7F9FC"/>
          </w:tcPr>
          <w:p>
            <w:pPr>
              <w:spacing w:after="0" w:line="240" w:lineRule="auto"/>
            </w:pPr>
            <w:r>
              <w:rPr>
                <w:color w:val="0A1628"/>
                <w:sz w:val="17"/>
              </w:rPr>
            </w:r>
            <w:r>
              <w:rPr>
                <w:rFonts w:ascii="Aptos" w:hAnsi="Aptos" w:eastAsia="Aptos"/>
                <w:b w:val="0"/>
                <w:i w:val="0"/>
                <w:color w:val="0A1628"/>
                <w:sz w:val="17"/>
              </w:rPr>
              <w:t>Finance, Operations, Branch Operations, Business Development</w:t>
            </w:r>
          </w:p>
        </w:tc>
      </w:tr>
      <w:tr>
        <w:trPr>
          <w:cantSplit/>
        </w:trPr>
        <w:tc>
          <w:tcPr>
            <w:tcW w:type="dxa" w:w="5184"/>
            <w:vAlign w:val="center"/>
            <w:tcMar>
              <w:top w:w="75" w:type="dxa"/>
              <w:start w:w="80" w:type="dxa"/>
              <w:bottom w:w="75" w:type="dxa"/>
              <w:end w:w="80" w:type="dxa"/>
            </w:tcMar>
          </w:tcPr>
          <w:p>
            <w:pPr>
              <w:spacing w:after="0" w:line="240" w:lineRule="auto"/>
            </w:pPr>
            <w:r>
              <w:rPr>
                <w:color w:val="0A1628"/>
                <w:sz w:val="17"/>
              </w:rPr>
            </w:r>
            <w:r>
              <w:rPr>
                <w:rFonts w:ascii="Aptos" w:hAnsi="Aptos" w:eastAsia="Aptos"/>
                <w:b w:val="0"/>
                <w:i w:val="0"/>
                <w:color w:val="0A1628"/>
                <w:sz w:val="17"/>
              </w:rPr>
              <w:t>Technical owners</w:t>
            </w:r>
          </w:p>
        </w:tc>
        <w:tc>
          <w:tcPr>
            <w:tcW w:type="dxa" w:w="5184"/>
            <w:vAlign w:val="center"/>
            <w:tcMar>
              <w:top w:w="75" w:type="dxa"/>
              <w:start w:w="80" w:type="dxa"/>
              <w:bottom w:w="75" w:type="dxa"/>
              <w:end w:w="80" w:type="dxa"/>
            </w:tcMar>
          </w:tcPr>
          <w:p>
            <w:pPr>
              <w:spacing w:after="0" w:line="240" w:lineRule="auto"/>
            </w:pPr>
            <w:r>
              <w:rPr>
                <w:color w:val="0A1628"/>
                <w:sz w:val="17"/>
              </w:rPr>
            </w:r>
            <w:r>
              <w:rPr>
                <w:rFonts w:ascii="Aptos" w:hAnsi="Aptos" w:eastAsia="Aptos"/>
                <w:b w:val="0"/>
                <w:i w:val="0"/>
                <w:color w:val="0A1628"/>
                <w:sz w:val="17"/>
              </w:rPr>
              <w:t>Product Engineering, Database Engineering, Security Administration</w:t>
            </w:r>
          </w:p>
        </w:tc>
      </w:tr>
      <w:tr>
        <w:trPr>
          <w:cantSplit/>
        </w:trPr>
        <w:tc>
          <w:tcPr>
            <w:tcW w:type="dxa" w:w="5184"/>
            <w:vAlign w:val="center"/>
            <w:tcMar>
              <w:top w:w="75" w:type="dxa"/>
              <w:start w:w="80" w:type="dxa"/>
              <w:bottom w:w="75" w:type="dxa"/>
              <w:end w:w="80" w:type="dxa"/>
            </w:tcMar>
            <w:shd w:fill="F7F9FC"/>
          </w:tcPr>
          <w:p>
            <w:pPr>
              <w:spacing w:after="0" w:line="240" w:lineRule="auto"/>
            </w:pPr>
            <w:r>
              <w:rPr>
                <w:color w:val="0A1628"/>
                <w:sz w:val="17"/>
              </w:rPr>
            </w:r>
            <w:r>
              <w:rPr>
                <w:rFonts w:ascii="Aptos" w:hAnsi="Aptos" w:eastAsia="Aptos"/>
                <w:b w:val="0"/>
                <w:i w:val="0"/>
                <w:color w:val="0A1628"/>
                <w:sz w:val="17"/>
              </w:rPr>
              <w:t>Effective status</w:t>
            </w:r>
          </w:p>
        </w:tc>
        <w:tc>
          <w:tcPr>
            <w:tcW w:type="dxa" w:w="5184"/>
            <w:vAlign w:val="center"/>
            <w:tcMar>
              <w:top w:w="75" w:type="dxa"/>
              <w:start w:w="80" w:type="dxa"/>
              <w:bottom w:w="75" w:type="dxa"/>
              <w:end w:w="80" w:type="dxa"/>
            </w:tcMar>
            <w:shd w:fill="F7F9FC"/>
          </w:tcPr>
          <w:p>
            <w:pPr>
              <w:spacing w:after="0" w:line="240" w:lineRule="auto"/>
            </w:pPr>
            <w:r>
              <w:rPr>
                <w:color w:val="0A1628"/>
                <w:sz w:val="17"/>
              </w:rPr>
            </w:r>
            <w:r>
              <w:rPr>
                <w:rFonts w:ascii="Aptos" w:hAnsi="Aptos" w:eastAsia="Aptos"/>
                <w:b w:val="0"/>
                <w:i w:val="0"/>
                <w:color w:val="0A1628"/>
                <w:sz w:val="17"/>
              </w:rPr>
              <w:t>Design and implementation specification</w:t>
            </w:r>
          </w:p>
        </w:tc>
      </w:tr>
      <w:tr>
        <w:trPr>
          <w:cantSplit/>
        </w:trPr>
        <w:tc>
          <w:tcPr>
            <w:tcW w:type="dxa" w:w="5184"/>
            <w:vAlign w:val="center"/>
            <w:tcMar>
              <w:top w:w="75" w:type="dxa"/>
              <w:start w:w="80" w:type="dxa"/>
              <w:bottom w:w="75" w:type="dxa"/>
              <w:end w:w="80" w:type="dxa"/>
            </w:tcMar>
          </w:tcPr>
          <w:p>
            <w:pPr>
              <w:spacing w:after="0" w:line="240" w:lineRule="auto"/>
            </w:pPr>
            <w:r>
              <w:rPr>
                <w:color w:val="0A1628"/>
                <w:sz w:val="17"/>
              </w:rPr>
            </w:r>
            <w:r>
              <w:rPr>
                <w:rFonts w:ascii="Aptos" w:hAnsi="Aptos" w:eastAsia="Aptos"/>
                <w:b w:val="0"/>
                <w:i w:val="0"/>
                <w:color w:val="0A1628"/>
                <w:sz w:val="17"/>
              </w:rPr>
              <w:t>Supersedes</w:t>
            </w:r>
          </w:p>
        </w:tc>
        <w:tc>
          <w:tcPr>
            <w:tcW w:type="dxa" w:w="5184"/>
            <w:vAlign w:val="center"/>
            <w:tcMar>
              <w:top w:w="75" w:type="dxa"/>
              <w:start w:w="80" w:type="dxa"/>
              <w:bottom w:w="75" w:type="dxa"/>
              <w:end w:w="80" w:type="dxa"/>
            </w:tcMar>
          </w:tcPr>
          <w:p>
            <w:pPr>
              <w:spacing w:after="0" w:line="240" w:lineRule="auto"/>
            </w:pPr>
            <w:r>
              <w:rPr>
                <w:color w:val="0A1628"/>
                <w:sz w:val="17"/>
              </w:rPr>
            </w:r>
            <w:r>
              <w:rPr>
                <w:rFonts w:ascii="Aptos" w:hAnsi="Aptos" w:eastAsia="Aptos"/>
                <w:b w:val="0"/>
                <w:i w:val="0"/>
                <w:color w:val="0A1628"/>
                <w:sz w:val="17"/>
              </w:rPr>
              <w:t>Separate collection, settlement, branch, outsourcing, commission, and remediation drafts in this workstream</w:t>
            </w:r>
          </w:p>
        </w:tc>
      </w:tr>
      <w:tr>
        <w:trPr>
          <w:cantSplit/>
        </w:trPr>
        <w:tc>
          <w:tcPr>
            <w:tcW w:type="dxa" w:w="5184"/>
            <w:vAlign w:val="center"/>
            <w:tcMar>
              <w:top w:w="75" w:type="dxa"/>
              <w:start w:w="80" w:type="dxa"/>
              <w:bottom w:w="75" w:type="dxa"/>
              <w:end w:w="80" w:type="dxa"/>
            </w:tcMar>
            <w:shd w:fill="F7F9FC"/>
          </w:tcPr>
          <w:p>
            <w:pPr>
              <w:spacing w:after="0" w:line="240" w:lineRule="auto"/>
            </w:pPr>
            <w:r>
              <w:rPr>
                <w:color w:val="0A1628"/>
                <w:sz w:val="17"/>
              </w:rPr>
            </w:r>
            <w:r>
              <w:rPr>
                <w:rFonts w:ascii="Aptos" w:hAnsi="Aptos" w:eastAsia="Aptos"/>
                <w:b w:val="0"/>
                <w:i w:val="0"/>
                <w:color w:val="0A1628"/>
                <w:sz w:val="17"/>
              </w:rPr>
              <w:t>Calculation policy</w:t>
            </w:r>
          </w:p>
        </w:tc>
        <w:tc>
          <w:tcPr>
            <w:tcW w:type="dxa" w:w="5184"/>
            <w:vAlign w:val="center"/>
            <w:tcMar>
              <w:top w:w="75" w:type="dxa"/>
              <w:start w:w="80" w:type="dxa"/>
              <w:bottom w:w="75" w:type="dxa"/>
              <w:end w:w="80" w:type="dxa"/>
            </w:tcMar>
            <w:shd w:fill="F7F9FC"/>
          </w:tcPr>
          <w:p>
            <w:pPr>
              <w:spacing w:after="0" w:line="240" w:lineRule="auto"/>
            </w:pPr>
            <w:r>
              <w:rPr>
                <w:color w:val="0A1628"/>
                <w:sz w:val="17"/>
              </w:rPr>
            </w:r>
            <w:r>
              <w:rPr>
                <w:rFonts w:ascii="Aptos" w:hAnsi="Aptos" w:eastAsia="Aptos"/>
                <w:b w:val="0"/>
                <w:i w:val="0"/>
                <w:color w:val="0A1628"/>
                <w:sz w:val="17"/>
              </w:rPr>
              <w:t>Backend-authoritative; historical snapshots are immutable after settlement</w:t>
            </w:r>
          </w:p>
        </w:tc>
      </w:tr>
      <w:tr>
        <w:trPr>
          <w:cantSplit/>
        </w:trPr>
        <w:tc>
          <w:tcPr>
            <w:tcW w:type="dxa" w:w="5184"/>
            <w:vAlign w:val="center"/>
            <w:tcMar>
              <w:top w:w="75" w:type="dxa"/>
              <w:start w:w="80" w:type="dxa"/>
              <w:bottom w:w="75" w:type="dxa"/>
              <w:end w:w="80" w:type="dxa"/>
            </w:tcMar>
          </w:tcPr>
          <w:p>
            <w:pPr>
              <w:spacing w:after="0" w:line="240" w:lineRule="auto"/>
            </w:pPr>
            <w:r>
              <w:rPr>
                <w:color w:val="0A1628"/>
                <w:sz w:val="17"/>
              </w:rPr>
            </w:r>
            <w:r>
              <w:rPr>
                <w:rFonts w:ascii="Aptos" w:hAnsi="Aptos" w:eastAsia="Aptos"/>
                <w:b w:val="0"/>
                <w:i w:val="0"/>
                <w:color w:val="0A1628"/>
                <w:sz w:val="17"/>
              </w:rPr>
              <w:t>Approval requirement</w:t>
            </w:r>
          </w:p>
        </w:tc>
        <w:tc>
          <w:tcPr>
            <w:tcW w:type="dxa" w:w="5184"/>
            <w:vAlign w:val="center"/>
            <w:tcMar>
              <w:top w:w="75" w:type="dxa"/>
              <w:start w:w="80" w:type="dxa"/>
              <w:bottom w:w="75" w:type="dxa"/>
              <w:end w:w="80" w:type="dxa"/>
            </w:tcMar>
          </w:tcPr>
          <w:p>
            <w:pPr>
              <w:spacing w:after="0" w:line="240" w:lineRule="auto"/>
            </w:pPr>
            <w:r>
              <w:rPr>
                <w:color w:val="0A1628"/>
                <w:sz w:val="17"/>
              </w:rPr>
            </w:r>
            <w:r>
              <w:rPr>
                <w:rFonts w:ascii="Aptos" w:hAnsi="Aptos" w:eastAsia="Aptos"/>
                <w:b w:val="0"/>
                <w:i w:val="0"/>
                <w:color w:val="0A1628"/>
                <w:sz w:val="17"/>
              </w:rPr>
              <w:t>Finance and Operations approval for rates; Security approval for privileged access; maker-checker for payments and sensitive changes</w:t>
            </w:r>
          </w:p>
        </w:tc>
      </w:tr>
    </w:tbl>
    <w:p>
      <w:pPr>
        <w:spacing w:after="0"/>
      </w:pPr>
    </w:p>
    <w:p>
      <w:pPr>
        <w:pStyle w:val="Heading2"/>
        <w:keepNext/>
      </w:pPr>
      <w:r>
        <w:rPr>
          <w:rFonts w:ascii="Aptos" w:hAnsi="Aptos" w:eastAsia="Aptos"/>
          <w:b w:val="0"/>
          <w:i w:val="0"/>
          <w:color w:val="0A1628"/>
          <w:sz w:val="20"/>
        </w:rPr>
        <w:t>Source Basis and Governing Notes</w:t>
      </w:r>
    </w:p>
    <w:p>
      <w:r>
        <w:rPr>
          <w:rFonts w:ascii="Aptos" w:hAnsi="Aptos" w:eastAsia="Aptos"/>
          <w:b w:val="0"/>
          <w:i w:val="0"/>
          <w:color w:val="0A1628"/>
          <w:sz w:val="20"/>
        </w:rPr>
        <w:t>This document consolidates the business rules, attached templates, existing React implementation, tariff master, DK Delivery rate sheet, Royal Express quotation, and all developer-ready specifications prepared in this workstream.</w:t>
      </w:r>
    </w:p>
    <w:tbl>
      <w:tblPr>
        <w:tblW w:type="pct" w:w="5000"/>
        <w:jc w:val="center"/>
        <w:tblLayout w:type="autofit"/>
        <w:tblLook w:firstColumn="1" w:firstRow="1" w:lastColumn="0" w:lastRow="0" w:noHBand="0" w:noVBand="1" w:val="04A0"/>
        <w:tblBorders>
          <w:top w:val="single" w:sz="4" w:color="B8C4D1"/>
          <w:start w:val="single" w:sz="4" w:color="B8C4D1"/>
          <w:bottom w:val="single" w:sz="4" w:color="B8C4D1"/>
          <w:end w:val="single" w:sz="4" w:color="B8C4D1"/>
          <w:insideH w:val="single" w:sz="4" w:color="B8C4D1"/>
          <w:insideV w:val="single" w:sz="4" w:color="B8C4D1"/>
        </w:tblBorders>
      </w:tblPr>
      <w:tblGrid>
        <w:gridCol w:w="5184"/>
        <w:gridCol w:w="5184"/>
      </w:tblGrid>
      <w:tr>
        <w:trPr>
          <w:tblHeader w:val="true"/>
          <w:cantSplit/>
        </w:trPr>
        <w:tc>
          <w:tcPr>
            <w:tcW w:type="dxa" w:w="5184"/>
            <w:vAlign w:val="center"/>
            <w:tcMar>
              <w:top w:w="75" w:type="dxa"/>
              <w:start w:w="80" w:type="dxa"/>
              <w:bottom w:w="75" w:type="dxa"/>
              <w:end w:w="80" w:type="dxa"/>
            </w:tcMar>
            <w:shd w:fill="17365D"/>
          </w:tcPr>
          <w:p>
            <w:pPr>
              <w:spacing w:after="0" w:line="240" w:lineRule="auto"/>
            </w:pPr>
            <w:r>
              <w:rPr>
                <w:b/>
                <w:color w:val="FFFFFF"/>
                <w:sz w:val="17"/>
              </w:rPr>
            </w:r>
            <w:r>
              <w:rPr>
                <w:rFonts w:ascii="Aptos" w:hAnsi="Aptos" w:eastAsia="Aptos"/>
                <w:b/>
                <w:i w:val="0"/>
                <w:color w:val="FFFFFF"/>
                <w:sz w:val="17"/>
              </w:rPr>
              <w:t>Source</w:t>
            </w:r>
          </w:p>
        </w:tc>
        <w:tc>
          <w:tcPr>
            <w:tcW w:type="dxa" w:w="5184"/>
            <w:vAlign w:val="center"/>
            <w:tcMar>
              <w:top w:w="75" w:type="dxa"/>
              <w:start w:w="80" w:type="dxa"/>
              <w:bottom w:w="75" w:type="dxa"/>
              <w:end w:w="80" w:type="dxa"/>
            </w:tcMar>
            <w:shd w:fill="17365D"/>
          </w:tcPr>
          <w:p>
            <w:pPr>
              <w:spacing w:after="0" w:line="240" w:lineRule="auto"/>
            </w:pPr>
            <w:r>
              <w:rPr>
                <w:b/>
                <w:color w:val="FFFFFF"/>
                <w:sz w:val="17"/>
              </w:rPr>
            </w:r>
            <w:r>
              <w:rPr>
                <w:rFonts w:ascii="Aptos" w:hAnsi="Aptos" w:eastAsia="Aptos"/>
                <w:b/>
                <w:i w:val="0"/>
                <w:color w:val="FFFFFF"/>
                <w:sz w:val="17"/>
              </w:rPr>
              <w:t>Key use in this specification</w:t>
            </w:r>
          </w:p>
        </w:tc>
      </w:tr>
      <w:tr>
        <w:trPr>
          <w:cantSplit/>
        </w:trPr>
        <w:tc>
          <w:tcPr>
            <w:tcW w:type="dxa" w:w="5184"/>
            <w:vAlign w:val="center"/>
            <w:tcMar>
              <w:top w:w="75" w:type="dxa"/>
              <w:start w:w="80" w:type="dxa"/>
              <w:bottom w:w="75" w:type="dxa"/>
              <w:end w:w="80" w:type="dxa"/>
            </w:tcMar>
          </w:tcPr>
          <w:p>
            <w:pPr>
              <w:spacing w:after="0" w:line="240" w:lineRule="auto"/>
            </w:pPr>
            <w:r>
              <w:rPr>
                <w:color w:val="0A1628"/>
                <w:sz w:val="17"/>
              </w:rPr>
            </w:r>
            <w:r>
              <w:rPr>
                <w:rFonts w:ascii="Aptos" w:hAnsi="Aptos" w:eastAsia="Aptos"/>
                <w:b w:val="0"/>
                <w:i w:val="0"/>
                <w:color w:val="0A1628"/>
                <w:sz w:val="17"/>
              </w:rPr>
              <w:t>Current Britium tariff master</w:t>
            </w:r>
          </w:p>
        </w:tc>
        <w:tc>
          <w:tcPr>
            <w:tcW w:type="dxa" w:w="5184"/>
            <w:vAlign w:val="center"/>
            <w:tcMar>
              <w:top w:w="75" w:type="dxa"/>
              <w:start w:w="80" w:type="dxa"/>
              <w:bottom w:w="75" w:type="dxa"/>
              <w:end w:w="80" w:type="dxa"/>
            </w:tcMar>
          </w:tcPr>
          <w:p>
            <w:pPr>
              <w:spacing w:after="0" w:line="240" w:lineRule="auto"/>
            </w:pPr>
            <w:r>
              <w:rPr>
                <w:color w:val="0A1628"/>
                <w:sz w:val="17"/>
              </w:rPr>
            </w:r>
            <w:r>
              <w:rPr>
                <w:rFonts w:ascii="Aptos" w:hAnsi="Aptos" w:eastAsia="Aptos"/>
                <w:b w:val="0"/>
                <w:i w:val="0"/>
                <w:color w:val="0A1628"/>
                <w:sz w:val="17"/>
              </w:rPr>
              <w:t>Customer tariff, customer tiers, included weight, extra-kilogram rate, Mandalay and Naypyitaw destinations</w:t>
            </w:r>
          </w:p>
        </w:tc>
      </w:tr>
      <w:tr>
        <w:trPr>
          <w:cantSplit/>
        </w:trPr>
        <w:tc>
          <w:tcPr>
            <w:tcW w:type="dxa" w:w="5184"/>
            <w:vAlign w:val="center"/>
            <w:tcMar>
              <w:top w:w="75" w:type="dxa"/>
              <w:start w:w="80" w:type="dxa"/>
              <w:bottom w:w="75" w:type="dxa"/>
              <w:end w:w="80" w:type="dxa"/>
            </w:tcMar>
            <w:shd w:fill="F7F9FC"/>
          </w:tcPr>
          <w:p>
            <w:pPr>
              <w:spacing w:after="0" w:line="240" w:lineRule="auto"/>
            </w:pPr>
            <w:r>
              <w:rPr>
                <w:color w:val="0A1628"/>
                <w:sz w:val="17"/>
              </w:rPr>
            </w:r>
            <w:r>
              <w:rPr>
                <w:rFonts w:ascii="Aptos" w:hAnsi="Aptos" w:eastAsia="Aptos"/>
                <w:b w:val="0"/>
                <w:i w:val="0"/>
                <w:color w:val="0A1628"/>
                <w:sz w:val="17"/>
              </w:rPr>
              <w:t>Management-confirmed highway station drop-off matrix</w:t>
            </w:r>
          </w:p>
        </w:tc>
        <w:tc>
          <w:tcPr>
            <w:tcW w:type="dxa" w:w="5184"/>
            <w:vAlign w:val="center"/>
            <w:tcMar>
              <w:top w:w="75" w:type="dxa"/>
              <w:start w:w="80" w:type="dxa"/>
              <w:bottom w:w="75" w:type="dxa"/>
              <w:end w:w="80" w:type="dxa"/>
            </w:tcMar>
            <w:shd w:fill="F7F9FC"/>
          </w:tcPr>
          <w:p>
            <w:pPr>
              <w:spacing w:after="0" w:line="240" w:lineRule="auto"/>
            </w:pPr>
            <w:r>
              <w:rPr>
                <w:color w:val="0A1628"/>
                <w:sz w:val="17"/>
              </w:rPr>
            </w:r>
            <w:r>
              <w:rPr>
                <w:rFonts w:ascii="Aptos" w:hAnsi="Aptos" w:eastAsia="Aptos"/>
                <w:b w:val="0"/>
                <w:i w:val="0"/>
                <w:color w:val="0A1628"/>
                <w:sz w:val="17"/>
              </w:rPr>
              <w:t>Downtown, Bayintnaung, Dagon Thiri, Aung Mingalar, and Parami station base rates with standard Britium surcharges</w:t>
            </w:r>
          </w:p>
        </w:tc>
      </w:tr>
      <w:tr>
        <w:trPr>
          <w:cantSplit/>
        </w:trPr>
        <w:tc>
          <w:tcPr>
            <w:tcW w:type="dxa" w:w="5184"/>
            <w:vAlign w:val="center"/>
            <w:tcMar>
              <w:top w:w="75" w:type="dxa"/>
              <w:start w:w="80" w:type="dxa"/>
              <w:bottom w:w="75" w:type="dxa"/>
              <w:end w:w="80" w:type="dxa"/>
            </w:tcMar>
          </w:tcPr>
          <w:p>
            <w:pPr>
              <w:spacing w:after="0" w:line="240" w:lineRule="auto"/>
            </w:pPr>
            <w:r>
              <w:rPr>
                <w:color w:val="0A1628"/>
                <w:sz w:val="17"/>
              </w:rPr>
            </w:r>
            <w:r>
              <w:rPr>
                <w:rFonts w:ascii="Aptos" w:hAnsi="Aptos" w:eastAsia="Aptos"/>
                <w:b w:val="0"/>
                <w:i w:val="0"/>
                <w:color w:val="0A1628"/>
                <w:sz w:val="17"/>
              </w:rPr>
              <w:t>Updated parcel Data Entry workbook</w:t>
            </w:r>
          </w:p>
        </w:tc>
        <w:tc>
          <w:tcPr>
            <w:tcW w:type="dxa" w:w="5184"/>
            <w:vAlign w:val="center"/>
            <w:tcMar>
              <w:top w:w="75" w:type="dxa"/>
              <w:start w:w="80" w:type="dxa"/>
              <w:bottom w:w="75" w:type="dxa"/>
              <w:end w:w="80" w:type="dxa"/>
            </w:tcMar>
          </w:tcPr>
          <w:p>
            <w:pPr>
              <w:spacing w:after="0" w:line="240" w:lineRule="auto"/>
            </w:pPr>
            <w:r>
              <w:rPr>
                <w:color w:val="0A1628"/>
                <w:sz w:val="17"/>
              </w:rPr>
            </w:r>
            <w:r>
              <w:rPr>
                <w:rFonts w:ascii="Aptos" w:hAnsi="Aptos" w:eastAsia="Aptos"/>
                <w:b w:val="0"/>
                <w:i w:val="0"/>
                <w:color w:val="0A1628"/>
                <w:sz w:val="17"/>
              </w:rPr>
              <w:t>Field contract, customer-facing delivery amount, backend-calculated COD, settlement columns</w:t>
            </w:r>
          </w:p>
        </w:tc>
      </w:tr>
      <w:tr>
        <w:trPr>
          <w:cantSplit/>
        </w:trPr>
        <w:tc>
          <w:tcPr>
            <w:tcW w:type="dxa" w:w="5184"/>
            <w:vAlign w:val="center"/>
            <w:tcMar>
              <w:top w:w="75" w:type="dxa"/>
              <w:start w:w="80" w:type="dxa"/>
              <w:bottom w:w="75" w:type="dxa"/>
              <w:end w:w="80" w:type="dxa"/>
            </w:tcMar>
            <w:shd w:fill="F7F9FC"/>
          </w:tcPr>
          <w:p>
            <w:pPr>
              <w:spacing w:after="0" w:line="240" w:lineRule="auto"/>
            </w:pPr>
            <w:r>
              <w:rPr>
                <w:color w:val="0A1628"/>
                <w:sz w:val="17"/>
              </w:rPr>
            </w:r>
            <w:r>
              <w:rPr>
                <w:rFonts w:ascii="Aptos" w:hAnsi="Aptos" w:eastAsia="Aptos"/>
                <w:b w:val="0"/>
                <w:i w:val="0"/>
                <w:color w:val="0A1628"/>
                <w:sz w:val="17"/>
              </w:rPr>
              <w:t>Existing Branch Office React page</w:t>
            </w:r>
          </w:p>
        </w:tc>
        <w:tc>
          <w:tcPr>
            <w:tcW w:type="dxa" w:w="5184"/>
            <w:vAlign w:val="center"/>
            <w:tcMar>
              <w:top w:w="75" w:type="dxa"/>
              <w:start w:w="80" w:type="dxa"/>
              <w:bottom w:w="75" w:type="dxa"/>
              <w:end w:w="80" w:type="dxa"/>
            </w:tcMar>
            <w:shd w:fill="F7F9FC"/>
          </w:tcPr>
          <w:p>
            <w:pPr>
              <w:spacing w:after="0" w:line="240" w:lineRule="auto"/>
            </w:pPr>
            <w:r>
              <w:rPr>
                <w:color w:val="0A1628"/>
                <w:sz w:val="17"/>
              </w:rPr>
            </w:r>
            <w:r>
              <w:rPr>
                <w:rFonts w:ascii="Aptos" w:hAnsi="Aptos" w:eastAsia="Aptos"/>
                <w:b w:val="0"/>
                <w:i w:val="0"/>
                <w:color w:val="0A1628"/>
                <w:sz w:val="17"/>
              </w:rPr>
              <w:t>Current branch operations, finance-lock behavior, COD and finance views requiring replacement</w:t>
            </w:r>
          </w:p>
        </w:tc>
      </w:tr>
      <w:tr>
        <w:trPr>
          <w:cantSplit/>
        </w:trPr>
        <w:tc>
          <w:tcPr>
            <w:tcW w:type="dxa" w:w="5184"/>
            <w:vAlign w:val="center"/>
            <w:tcMar>
              <w:top w:w="75" w:type="dxa"/>
              <w:start w:w="80" w:type="dxa"/>
              <w:bottom w:w="75" w:type="dxa"/>
              <w:end w:w="80" w:type="dxa"/>
            </w:tcMar>
          </w:tcPr>
          <w:p>
            <w:pPr>
              <w:spacing w:after="0" w:line="240" w:lineRule="auto"/>
            </w:pPr>
            <w:r>
              <w:rPr>
                <w:color w:val="0A1628"/>
                <w:sz w:val="17"/>
              </w:rPr>
            </w:r>
            <w:r>
              <w:rPr>
                <w:rFonts w:ascii="Aptos" w:hAnsi="Aptos" w:eastAsia="Aptos"/>
                <w:b w:val="0"/>
                <w:i w:val="0"/>
                <w:color w:val="0A1628"/>
                <w:sz w:val="17"/>
              </w:rPr>
              <w:t>DK Delivery partnership rate sheet</w:t>
            </w:r>
          </w:p>
        </w:tc>
        <w:tc>
          <w:tcPr>
            <w:tcW w:type="dxa" w:w="5184"/>
            <w:vAlign w:val="center"/>
            <w:tcMar>
              <w:top w:w="75" w:type="dxa"/>
              <w:start w:w="80" w:type="dxa"/>
              <w:bottom w:w="75" w:type="dxa"/>
              <w:end w:w="80" w:type="dxa"/>
            </w:tcMar>
          </w:tcPr>
          <w:p>
            <w:pPr>
              <w:spacing w:after="0" w:line="240" w:lineRule="auto"/>
            </w:pPr>
            <w:r>
              <w:rPr>
                <w:color w:val="0A1628"/>
                <w:sz w:val="17"/>
              </w:rPr>
            </w:r>
            <w:r>
              <w:rPr>
                <w:rFonts w:ascii="Aptos" w:hAnsi="Aptos" w:eastAsia="Aptos"/>
                <w:b w:val="0"/>
                <w:i w:val="0"/>
                <w:color w:val="0A1628"/>
                <w:sz w:val="17"/>
              </w:rPr>
              <w:t>Mandalay last-mile rate bands and size/weight surcharge note</w:t>
            </w:r>
          </w:p>
        </w:tc>
      </w:tr>
      <w:tr>
        <w:trPr>
          <w:cantSplit/>
        </w:trPr>
        <w:tc>
          <w:tcPr>
            <w:tcW w:type="dxa" w:w="5184"/>
            <w:vAlign w:val="center"/>
            <w:tcMar>
              <w:top w:w="75" w:type="dxa"/>
              <w:start w:w="80" w:type="dxa"/>
              <w:bottom w:w="75" w:type="dxa"/>
              <w:end w:w="80" w:type="dxa"/>
            </w:tcMar>
            <w:shd w:fill="F7F9FC"/>
          </w:tcPr>
          <w:p>
            <w:pPr>
              <w:spacing w:after="0" w:line="240" w:lineRule="auto"/>
            </w:pPr>
            <w:r>
              <w:rPr>
                <w:color w:val="0A1628"/>
                <w:sz w:val="17"/>
              </w:rPr>
            </w:r>
            <w:r>
              <w:rPr>
                <w:rFonts w:ascii="Aptos" w:hAnsi="Aptos" w:eastAsia="Aptos"/>
                <w:b w:val="0"/>
                <w:i w:val="0"/>
                <w:color w:val="0A1628"/>
                <w:sz w:val="17"/>
              </w:rPr>
              <w:t>Royal Express quotation Q-019-05-2026</w:t>
            </w:r>
          </w:p>
        </w:tc>
        <w:tc>
          <w:tcPr>
            <w:tcW w:type="dxa" w:w="5184"/>
            <w:vAlign w:val="center"/>
            <w:tcMar>
              <w:top w:w="75" w:type="dxa"/>
              <w:start w:w="80" w:type="dxa"/>
              <w:bottom w:w="75" w:type="dxa"/>
              <w:end w:w="80" w:type="dxa"/>
            </w:tcMar>
            <w:shd w:fill="F7F9FC"/>
          </w:tcPr>
          <w:p>
            <w:pPr>
              <w:spacing w:after="0" w:line="240" w:lineRule="auto"/>
            </w:pPr>
            <w:r>
              <w:rPr>
                <w:color w:val="0A1628"/>
                <w:sz w:val="17"/>
              </w:rPr>
            </w:r>
            <w:r>
              <w:rPr>
                <w:rFonts w:ascii="Aptos" w:hAnsi="Aptos" w:eastAsia="Aptos"/>
                <w:b w:val="0"/>
                <w:i w:val="0"/>
                <w:color w:val="0A1628"/>
                <w:sz w:val="17"/>
              </w:rPr>
              <w:t>Normal rates, 15% partner discount, COD fees, monthly rebate tiers, remittance terms, route matrix</w:t>
            </w:r>
          </w:p>
        </w:tc>
      </w:tr>
      <w:tr>
        <w:trPr>
          <w:cantSplit/>
        </w:trPr>
        <w:tc>
          <w:tcPr>
            <w:tcW w:type="dxa" w:w="5184"/>
            <w:vAlign w:val="center"/>
            <w:tcMar>
              <w:top w:w="75" w:type="dxa"/>
              <w:start w:w="80" w:type="dxa"/>
              <w:bottom w:w="75" w:type="dxa"/>
              <w:end w:w="80" w:type="dxa"/>
            </w:tcMar>
          </w:tcPr>
          <w:p>
            <w:pPr>
              <w:spacing w:after="0" w:line="240" w:lineRule="auto"/>
            </w:pPr>
            <w:r>
              <w:rPr>
                <w:color w:val="0A1628"/>
                <w:sz w:val="17"/>
              </w:rPr>
            </w:r>
            <w:r>
              <w:rPr>
                <w:rFonts w:ascii="Aptos" w:hAnsi="Aptos" w:eastAsia="Aptos"/>
                <w:b w:val="0"/>
                <w:i w:val="0"/>
                <w:color w:val="0A1628"/>
                <w:sz w:val="17"/>
              </w:rPr>
              <w:t>Production source archive and issue notes</w:t>
            </w:r>
          </w:p>
        </w:tc>
        <w:tc>
          <w:tcPr>
            <w:tcW w:type="dxa" w:w="5184"/>
            <w:vAlign w:val="center"/>
            <w:tcMar>
              <w:top w:w="75" w:type="dxa"/>
              <w:start w:w="80" w:type="dxa"/>
              <w:bottom w:w="75" w:type="dxa"/>
              <w:end w:w="80" w:type="dxa"/>
            </w:tcMar>
          </w:tcPr>
          <w:p>
            <w:pPr>
              <w:spacing w:after="0" w:line="240" w:lineRule="auto"/>
            </w:pPr>
            <w:r>
              <w:rPr>
                <w:color w:val="0A1628"/>
                <w:sz w:val="17"/>
              </w:rPr>
            </w:r>
            <w:r>
              <w:rPr>
                <w:rFonts w:ascii="Aptos" w:hAnsi="Aptos" w:eastAsia="Aptos"/>
                <w:b w:val="0"/>
                <w:i w:val="0"/>
                <w:color w:val="0A1628"/>
                <w:sz w:val="17"/>
              </w:rPr>
              <w:t>Current-state remediation, route consolidation, security and production cleanup</w:t>
            </w:r>
          </w:p>
        </w:tc>
      </w:tr>
    </w:tbl>
    <w:p>
      <w:pPr>
        <w:spacing w:after="0"/>
      </w:pPr>
    </w:p>
    <w:p>
      <w:r>
        <w:rPr>
          <w:rFonts w:ascii="Aptos" w:hAnsi="Aptos" w:eastAsia="Aptos"/>
          <w:b w:val="0"/>
          <w:i w:val="0"/>
          <w:color w:val="0A1628"/>
          <w:sz w:val="20"/>
        </w:rPr>
      </w:r>
      <w:r>
        <w:rPr>
          <w:rFonts w:ascii="Aptos" w:hAnsi="Aptos" w:eastAsia="Aptos"/>
          <w:b/>
          <w:i w:val="0"/>
          <w:color w:val="0A1628"/>
          <w:sz w:val="20"/>
        </w:rPr>
        <w:t>Important:</w:t>
      </w:r>
      <w:r>
        <w:rPr>
          <w:rFonts w:ascii="Aptos" w:hAnsi="Aptos" w:eastAsia="Aptos"/>
          <w:b w:val="0"/>
          <w:i w:val="0"/>
          <w:color w:val="0A1628"/>
          <w:sz w:val="20"/>
        </w:rPr>
        <w:t xml:space="preserve"> Where an attached document does not define a rule clearly, this specification labels it </w:t>
      </w:r>
      <w:r>
        <w:rPr>
          <w:rFonts w:ascii="Consolas" w:hAnsi="Consolas" w:eastAsia="Consolas"/>
          <w:b w:val="0"/>
          <w:i w:val="0"/>
          <w:color w:val="0A1628"/>
          <w:sz w:val="17"/>
          <w:shd w:fill="EEF2F6"/>
        </w:rPr>
        <w:t>PENDING_BUSINESS_CONFIRMATION</w:t>
      </w:r>
      <w:r>
        <w:rPr>
          <w:rFonts w:ascii="Aptos" w:hAnsi="Aptos" w:eastAsia="Aptos"/>
          <w:b w:val="0"/>
          <w:i w:val="0"/>
          <w:color w:val="0A1628"/>
          <w:sz w:val="20"/>
        </w:rPr>
        <w:t>. The system must not guess or activate a financial rule that is not confirmed.</w:t>
      </w:r>
    </w:p>
    <w:p>
      <w:pPr>
        <w:pStyle w:val="Heading2"/>
        <w:keepNext/>
      </w:pPr>
      <w:r>
        <w:rPr>
          <w:rFonts w:ascii="Aptos" w:hAnsi="Aptos" w:eastAsia="Aptos"/>
          <w:b w:val="0"/>
          <w:i w:val="0"/>
          <w:color w:val="0A1628"/>
          <w:sz w:val="20"/>
        </w:rPr>
        <w:t>Contents</w:t>
      </w:r>
    </w:p>
    <w:p>
      <w:pPr>
        <w:pStyle w:val="ListNumber"/>
        <w:ind w:left="0"/>
      </w:pPr>
      <w:r>
        <w:rPr>
          <w:rFonts w:ascii="Aptos" w:hAnsi="Aptos" w:eastAsia="Aptos"/>
          <w:b w:val="0"/>
          <w:i w:val="0"/>
          <w:color w:val="0A1628"/>
          <w:sz w:val="20"/>
        </w:rPr>
        <w:t>Executive Scope and Non-Negotiable Principles</w:t>
      </w:r>
    </w:p>
    <w:p>
      <w:pPr>
        <w:pStyle w:val="ListNumber"/>
        <w:ind w:left="0"/>
      </w:pPr>
      <w:r>
        <w:rPr>
          <w:rFonts w:ascii="Aptos" w:hAnsi="Aptos" w:eastAsia="Aptos"/>
          <w:b w:val="0"/>
          <w:i w:val="0"/>
          <w:color w:val="0A1628"/>
          <w:sz w:val="20"/>
        </w:rPr>
        <w:t>Terminology and Financial Separation</w:t>
      </w:r>
    </w:p>
    <w:p>
      <w:pPr>
        <w:pStyle w:val="ListNumber"/>
        <w:ind w:left="0"/>
      </w:pPr>
      <w:r>
        <w:rPr>
          <w:rFonts w:ascii="Aptos" w:hAnsi="Aptos" w:eastAsia="Aptos"/>
          <w:b w:val="0"/>
          <w:i w:val="0"/>
          <w:color w:val="0A1628"/>
          <w:sz w:val="20"/>
        </w:rPr>
        <w:t>Customer Collection and Delivery-Charge Methods</w:t>
      </w:r>
    </w:p>
    <w:p>
      <w:pPr>
        <w:pStyle w:val="ListNumber"/>
        <w:ind w:left="0"/>
      </w:pPr>
      <w:r>
        <w:rPr>
          <w:rFonts w:ascii="Aptos" w:hAnsi="Aptos" w:eastAsia="Aptos"/>
          <w:b w:val="0"/>
          <w:i w:val="0"/>
          <w:color w:val="0A1628"/>
          <w:sz w:val="20"/>
        </w:rPr>
        <w:t>Financial V2 Data Entry and Backend Calculation</w:t>
      </w:r>
    </w:p>
    <w:p>
      <w:pPr>
        <w:pStyle w:val="ListNumber"/>
        <w:ind w:left="0"/>
      </w:pPr>
      <w:r>
        <w:rPr>
          <w:rFonts w:ascii="Aptos" w:hAnsi="Aptos" w:eastAsia="Aptos"/>
          <w:b w:val="0"/>
          <w:i w:val="0"/>
          <w:color w:val="0A1628"/>
          <w:sz w:val="20"/>
        </w:rPr>
        <w:t>Merchant Settlement Rules</w:t>
      </w:r>
    </w:p>
    <w:p>
      <w:pPr>
        <w:pStyle w:val="ListNumber"/>
        <w:ind w:left="0"/>
      </w:pPr>
      <w:r>
        <w:rPr>
          <w:rFonts w:ascii="Aptos" w:hAnsi="Aptos" w:eastAsia="Aptos"/>
          <w:b w:val="0"/>
          <w:i w:val="0"/>
          <w:color w:val="0A1628"/>
          <w:sz w:val="20"/>
        </w:rPr>
        <w:t>Financial Settlement Screen</w:t>
      </w:r>
    </w:p>
    <w:p>
      <w:pPr>
        <w:pStyle w:val="ListNumber"/>
        <w:ind w:left="0"/>
      </w:pPr>
      <w:r>
        <w:rPr>
          <w:rFonts w:ascii="Aptos" w:hAnsi="Aptos" w:eastAsia="Aptos"/>
          <w:b w:val="0"/>
          <w:i w:val="0"/>
          <w:color w:val="0A1628"/>
          <w:sz w:val="20"/>
        </w:rPr>
        <w:t>Merchant Referral Commission</w:t>
      </w:r>
    </w:p>
    <w:p>
      <w:pPr>
        <w:pStyle w:val="ListNumber"/>
        <w:ind w:left="0"/>
      </w:pPr>
      <w:r>
        <w:rPr>
          <w:rFonts w:ascii="Aptos" w:hAnsi="Aptos" w:eastAsia="Aptos"/>
          <w:b w:val="0"/>
          <w:i w:val="0"/>
          <w:color w:val="0A1628"/>
          <w:sz w:val="20"/>
        </w:rPr>
        <w:t>Network Fulfillment and Third-Party Outsourcing</w:t>
      </w:r>
    </w:p>
    <w:p>
      <w:pPr>
        <w:pStyle w:val="ListNumber"/>
        <w:ind w:left="0"/>
      </w:pPr>
      <w:r>
        <w:rPr>
          <w:rFonts w:ascii="Aptos" w:hAnsi="Aptos" w:eastAsia="Aptos"/>
          <w:b w:val="0"/>
          <w:i w:val="0"/>
          <w:color w:val="0A1628"/>
          <w:sz w:val="20"/>
        </w:rPr>
        <w:t>Naypyitaw Branch &lt;-&gt; Head Office Settlement</w:t>
      </w:r>
    </w:p>
    <w:p>
      <w:pPr>
        <w:pStyle w:val="ListNumber"/>
        <w:ind w:left="0"/>
      </w:pPr>
      <w:r>
        <w:rPr>
          <w:rFonts w:ascii="Aptos" w:hAnsi="Aptos" w:eastAsia="Aptos"/>
          <w:b w:val="0"/>
          <w:i w:val="0"/>
          <w:color w:val="0A1628"/>
          <w:sz w:val="20"/>
        </w:rPr>
        <w:t>Mandalay DK Delivery and Royal Express Settlement</w:t>
      </w:r>
    </w:p>
    <w:p>
      <w:pPr>
        <w:pStyle w:val="ListNumber"/>
        <w:ind w:left="0"/>
      </w:pPr>
      <w:r>
        <w:rPr>
          <w:rFonts w:ascii="Aptos" w:hAnsi="Aptos" w:eastAsia="Aptos"/>
          <w:b w:val="0"/>
          <w:i w:val="0"/>
          <w:color w:val="0A1628"/>
          <w:sz w:val="20"/>
        </w:rPr>
        <w:t>Confirmed Current-State Technical Findings</w:t>
      </w:r>
    </w:p>
    <w:p>
      <w:pPr>
        <w:pStyle w:val="ListNumber"/>
        <w:ind w:left="0"/>
      </w:pPr>
      <w:r>
        <w:rPr>
          <w:rFonts w:ascii="Aptos" w:hAnsi="Aptos" w:eastAsia="Aptos"/>
          <w:b w:val="0"/>
          <w:i w:val="0"/>
          <w:color w:val="0A1628"/>
          <w:sz w:val="20"/>
        </w:rPr>
        <w:t>Cross-Cutting Engineering Requirements</w:t>
      </w:r>
    </w:p>
    <w:p>
      <w:pPr>
        <w:pStyle w:val="ListNumber"/>
        <w:ind w:left="0"/>
      </w:pPr>
      <w:r>
        <w:rPr>
          <w:rFonts w:ascii="Aptos" w:hAnsi="Aptos" w:eastAsia="Aptos"/>
          <w:b w:val="0"/>
          <w:i w:val="0"/>
          <w:color w:val="0A1628"/>
          <w:sz w:val="20"/>
        </w:rPr>
        <w:t>Canonical Way/Pickup/Merchant Lineage</w:t>
      </w:r>
    </w:p>
    <w:p>
      <w:pPr>
        <w:pStyle w:val="ListNumber"/>
        <w:ind w:left="0"/>
      </w:pPr>
      <w:r>
        <w:rPr>
          <w:rFonts w:ascii="Aptos" w:hAnsi="Aptos" w:eastAsia="Aptos"/>
          <w:b w:val="0"/>
          <w:i w:val="0"/>
          <w:color w:val="0A1628"/>
          <w:sz w:val="20"/>
        </w:rPr>
        <w:t>Business Development Command Centre</w:t>
      </w:r>
    </w:p>
    <w:p>
      <w:pPr>
        <w:pStyle w:val="ListNumber"/>
        <w:ind w:left="0"/>
      </w:pPr>
      <w:r>
        <w:rPr>
          <w:rFonts w:ascii="Aptos" w:hAnsi="Aptos" w:eastAsia="Aptos"/>
          <w:b w:val="0"/>
          <w:i w:val="0"/>
          <w:color w:val="0A1628"/>
          <w:sz w:val="20"/>
        </w:rPr>
        <w:t>Live Marketing and Marketing Portal</w:t>
      </w:r>
    </w:p>
    <w:p>
      <w:pPr>
        <w:pStyle w:val="ListNumber"/>
        <w:ind w:left="0"/>
      </w:pPr>
      <w:r>
        <w:rPr>
          <w:rFonts w:ascii="Aptos" w:hAnsi="Aptos" w:eastAsia="Aptos"/>
          <w:b w:val="0"/>
          <w:i w:val="0"/>
          <w:color w:val="0A1628"/>
          <w:sz w:val="20"/>
        </w:rPr>
        <w:t>Mobile Operations</w:t>
      </w:r>
    </w:p>
    <w:p>
      <w:pPr>
        <w:pStyle w:val="ListNumber"/>
        <w:ind w:left="0"/>
      </w:pPr>
      <w:r>
        <w:rPr>
          <w:rFonts w:ascii="Aptos" w:hAnsi="Aptos" w:eastAsia="Aptos"/>
          <w:b w:val="0"/>
          <w:i w:val="0"/>
          <w:color w:val="0A1628"/>
          <w:sz w:val="20"/>
        </w:rPr>
        <w:t>Secured Admin and HR</w:t>
      </w:r>
    </w:p>
    <w:p>
      <w:pPr>
        <w:pStyle w:val="ListNumber"/>
        <w:ind w:left="0"/>
      </w:pPr>
      <w:r>
        <w:rPr>
          <w:rFonts w:ascii="Aptos" w:hAnsi="Aptos" w:eastAsia="Aptos"/>
          <w:b w:val="0"/>
          <w:i w:val="0"/>
          <w:color w:val="0A1628"/>
          <w:sz w:val="20"/>
        </w:rPr>
        <w:t>Accounts and Permissions</w:t>
      </w:r>
    </w:p>
    <w:p>
      <w:pPr>
        <w:pStyle w:val="ListNumber"/>
        <w:ind w:left="0"/>
      </w:pPr>
      <w:r>
        <w:rPr>
          <w:rFonts w:ascii="Aptos" w:hAnsi="Aptos" w:eastAsia="Aptos"/>
          <w:b w:val="0"/>
          <w:i w:val="0"/>
          <w:color w:val="0A1628"/>
          <w:sz w:val="20"/>
        </w:rPr>
        <w:t>Production Environment and UAT Removal</w:t>
      </w:r>
    </w:p>
    <w:p>
      <w:pPr>
        <w:pStyle w:val="ListNumber"/>
        <w:ind w:left="0"/>
      </w:pPr>
      <w:r>
        <w:rPr>
          <w:rFonts w:ascii="Aptos" w:hAnsi="Aptos" w:eastAsia="Aptos"/>
          <w:b w:val="0"/>
          <w:i w:val="0"/>
          <w:color w:val="0A1628"/>
          <w:sz w:val="20"/>
        </w:rPr>
        <w:t>Migration Sequence</w:t>
      </w:r>
    </w:p>
    <w:p>
      <w:pPr>
        <w:pStyle w:val="ListNumber"/>
        <w:ind w:left="0"/>
      </w:pPr>
      <w:r>
        <w:rPr>
          <w:rFonts w:ascii="Aptos" w:hAnsi="Aptos" w:eastAsia="Aptos"/>
          <w:b w:val="0"/>
          <w:i w:val="0"/>
          <w:color w:val="0A1628"/>
          <w:sz w:val="20"/>
        </w:rPr>
        <w:t>Testing Strategy</w:t>
      </w:r>
    </w:p>
    <w:p>
      <w:pPr>
        <w:pStyle w:val="ListNumber"/>
        <w:ind w:left="0"/>
      </w:pPr>
      <w:r>
        <w:rPr>
          <w:rFonts w:ascii="Aptos" w:hAnsi="Aptos" w:eastAsia="Aptos"/>
          <w:b w:val="0"/>
          <w:i w:val="0"/>
          <w:color w:val="0A1628"/>
          <w:sz w:val="20"/>
        </w:rPr>
        <w:t>Deployment Gates</w:t>
      </w:r>
    </w:p>
    <w:p>
      <w:pPr>
        <w:pStyle w:val="ListNumber"/>
        <w:ind w:left="0"/>
      </w:pPr>
      <w:r>
        <w:rPr>
          <w:rFonts w:ascii="Aptos" w:hAnsi="Aptos" w:eastAsia="Aptos"/>
          <w:b w:val="0"/>
          <w:i w:val="0"/>
          <w:color w:val="0A1628"/>
          <w:sz w:val="20"/>
        </w:rPr>
        <w:t>Rollback</w:t>
      </w:r>
    </w:p>
    <w:p>
      <w:pPr>
        <w:pStyle w:val="ListNumber"/>
        <w:ind w:left="0"/>
      </w:pPr>
      <w:r>
        <w:rPr>
          <w:rFonts w:ascii="Aptos" w:hAnsi="Aptos" w:eastAsia="Aptos"/>
          <w:b w:val="0"/>
          <w:i w:val="0"/>
          <w:color w:val="0A1628"/>
          <w:sz w:val="20"/>
        </w:rPr>
        <w:t>Required Inputs and Open Business Decisions</w:t>
      </w:r>
    </w:p>
    <w:p>
      <w:pPr>
        <w:pStyle w:val="ListNumber"/>
        <w:ind w:left="0"/>
      </w:pPr>
      <w:r>
        <w:rPr>
          <w:rFonts w:ascii="Aptos" w:hAnsi="Aptos" w:eastAsia="Aptos"/>
          <w:b w:val="0"/>
          <w:i w:val="0"/>
          <w:color w:val="0A1628"/>
          <w:sz w:val="20"/>
        </w:rPr>
        <w:t>Definition of Done</w:t>
      </w:r>
      <w:r>
        <w:br/>
      </w:r>
      <w:r>
        <w:rPr>
          <w:rFonts w:ascii="Aptos" w:hAnsi="Aptos" w:eastAsia="Aptos"/>
          <w:b w:val="0"/>
          <w:i w:val="0"/>
          <w:color w:val="0A1628"/>
          <w:sz w:val="20"/>
        </w:rPr>
        <w:t>Appendices: Collection catalogue, enums, examples, source excerpts, and implementation artefacts</w:t>
      </w:r>
    </w:p>
    <w:p>
      <w:pPr>
        <w:pBdr>
          <w:bottom w:val="single" w:sz="5" w:space="3" w:color="B8C4D1"/>
        </w:pBdr>
        <w:spacing w:after="100"/>
      </w:pPr>
    </w:p>
    <w:p>
      <w:pPr>
        <w:pStyle w:val="Heading1"/>
        <w:pBdr>
          <w:bottom w:val="single" w:sz="12" w:space="3" w:color="C09B30"/>
        </w:pBdr>
        <w:keepNext/>
      </w:pPr>
      <w:r>
        <w:rPr>
          <w:rFonts w:ascii="Aptos" w:hAnsi="Aptos" w:eastAsia="Aptos"/>
          <w:b w:val="0"/>
          <w:i w:val="0"/>
          <w:color w:val="0A1628"/>
          <w:sz w:val="20"/>
        </w:rPr>
        <w:t>Part I - Business and Financial Operating Model</w:t>
      </w:r>
    </w:p>
    <w:p>
      <w:pPr>
        <w:pStyle w:val="Heading2"/>
        <w:keepNext/>
      </w:pPr>
      <w:r>
        <w:rPr>
          <w:rFonts w:ascii="Aptos" w:hAnsi="Aptos" w:eastAsia="Aptos"/>
          <w:b w:val="0"/>
          <w:i w:val="0"/>
          <w:color w:val="0A1628"/>
          <w:sz w:val="20"/>
        </w:rPr>
        <w:t>1. Executive Scope and Non-Negotiable Principles</w:t>
      </w:r>
    </w:p>
    <w:p>
      <w:r>
        <w:rPr>
          <w:rFonts w:ascii="Aptos" w:hAnsi="Aptos" w:eastAsia="Aptos"/>
          <w:b w:val="0"/>
          <w:i w:val="0"/>
          <w:color w:val="0A1628"/>
          <w:sz w:val="20"/>
        </w:rPr>
        <w:t>The platform must support Britium-operated delivery, branch-operated delivery, inter-office settlement, and approved third-party outsourcing while keeping customer collection, merchant settlement, branch revenue, partner cost, COD custody, commissions, and company margin separate.</w:t>
      </w:r>
    </w:p>
    <w:p>
      <w:r>
        <w:rPr>
          <w:rFonts w:ascii="Aptos" w:hAnsi="Aptos" w:eastAsia="Aptos"/>
          <w:b w:val="0"/>
          <w:i w:val="0"/>
          <w:color w:val="0A1628"/>
          <w:sz w:val="20"/>
        </w:rPr>
        <w:t>The following principles are mandatory:</w:t>
      </w:r>
    </w:p>
    <w:p>
      <w:pPr>
        <w:pStyle w:val="ListNumber"/>
        <w:ind w:left="0"/>
      </w:pPr>
      <w:r>
        <w:rPr>
          <w:rFonts w:ascii="Aptos" w:hAnsi="Aptos" w:eastAsia="Aptos"/>
          <w:b w:val="0"/>
          <w:i w:val="0"/>
          <w:color w:val="0A1628"/>
          <w:sz w:val="20"/>
        </w:rPr>
        <w:t>The backend is the only financial source of truth.</w:t>
      </w:r>
    </w:p>
    <w:p>
      <w:pPr>
        <w:pStyle w:val="ListNumber"/>
        <w:ind w:left="0"/>
      </w:pPr>
      <w:r>
        <w:rPr>
          <w:rFonts w:ascii="Aptos" w:hAnsi="Aptos" w:eastAsia="Aptos"/>
          <w:b w:val="0"/>
          <w:i w:val="0"/>
          <w:color w:val="0A1628"/>
          <w:sz w:val="20"/>
        </w:rPr>
        <w:t>The amount written or authorized by the merchant is the customer-facing delivery collection instruction.</w:t>
      </w:r>
    </w:p>
    <w:p>
      <w:pPr>
        <w:pStyle w:val="ListNumber"/>
        <w:ind w:left="0"/>
      </w:pPr>
      <w:r>
        <w:rPr>
          <w:rFonts w:ascii="Aptos" w:hAnsi="Aptos" w:eastAsia="Aptos"/>
          <w:b w:val="0"/>
          <w:i w:val="0"/>
          <w:color w:val="0A1628"/>
          <w:sz w:val="20"/>
        </w:rPr>
        <w:t>Britium's tariff is the company revenue basis and must not overwrite the merchant-declared amount.</w:t>
      </w:r>
    </w:p>
    <w:p>
      <w:pPr>
        <w:pStyle w:val="ListNumber"/>
        <w:ind w:left="0"/>
      </w:pPr>
      <w:r>
        <w:rPr>
          <w:rFonts w:ascii="Aptos" w:hAnsi="Aptos" w:eastAsia="Aptos"/>
          <w:b w:val="0"/>
          <w:i w:val="0"/>
          <w:color w:val="0A1628"/>
          <w:sz w:val="20"/>
        </w:rPr>
        <w:t>A merchant delivery shortage is recovered from merchant settlement, not from the receiver.</w:t>
      </w:r>
    </w:p>
    <w:p>
      <w:pPr>
        <w:pStyle w:val="ListNumber"/>
        <w:ind w:left="0"/>
      </w:pPr>
      <w:r>
        <w:rPr>
          <w:rFonts w:ascii="Aptos" w:hAnsi="Aptos" w:eastAsia="Aptos"/>
          <w:b w:val="0"/>
          <w:i w:val="0"/>
          <w:color w:val="0A1628"/>
          <w:sz w:val="20"/>
        </w:rPr>
        <w:t>A merchant delivery excess is credited to the merchant.</w:t>
      </w:r>
    </w:p>
    <w:p>
      <w:pPr>
        <w:pStyle w:val="ListNumber"/>
        <w:ind w:left="0"/>
      </w:pPr>
      <w:r>
        <w:rPr>
          <w:rFonts w:ascii="Aptos" w:hAnsi="Aptos" w:eastAsia="Aptos"/>
          <w:b w:val="0"/>
          <w:i w:val="0"/>
          <w:color w:val="0A1628"/>
          <w:sz w:val="20"/>
        </w:rPr>
        <w:t>COD custody is separate from delivery revenue and partner payable.</w:t>
      </w:r>
    </w:p>
    <w:p>
      <w:pPr>
        <w:pStyle w:val="ListNumber"/>
        <w:ind w:left="0"/>
      </w:pPr>
      <w:r>
        <w:rPr>
          <w:rFonts w:ascii="Aptos" w:hAnsi="Aptos" w:eastAsia="Aptos"/>
          <w:b w:val="0"/>
          <w:i w:val="0"/>
          <w:color w:val="0A1628"/>
          <w:sz w:val="20"/>
        </w:rPr>
        <w:t>Branch settlement, merchant settlement, employee commission, and third-party settlement are separate ledgers.</w:t>
      </w:r>
    </w:p>
    <w:p>
      <w:pPr>
        <w:pStyle w:val="ListNumber"/>
        <w:ind w:left="0"/>
      </w:pPr>
      <w:r>
        <w:rPr>
          <w:rFonts w:ascii="Aptos" w:hAnsi="Aptos" w:eastAsia="Aptos"/>
          <w:b w:val="0"/>
          <w:i w:val="0"/>
          <w:color w:val="0A1628"/>
          <w:sz w:val="20"/>
        </w:rPr>
        <w:t>Every tariff, contract, calculation, assignment, and settlement must use an effective-dated snapshot.</w:t>
      </w:r>
    </w:p>
    <w:p>
      <w:pPr>
        <w:pStyle w:val="ListNumber"/>
        <w:ind w:left="0"/>
      </w:pPr>
      <w:r>
        <w:rPr>
          <w:rFonts w:ascii="Aptos" w:hAnsi="Aptos" w:eastAsia="Aptos"/>
          <w:b w:val="0"/>
          <w:i w:val="0"/>
          <w:color w:val="0A1628"/>
          <w:sz w:val="20"/>
        </w:rPr>
        <w:t>A provider tracking number never replaces the Britium Way ID.</w:t>
      </w:r>
    </w:p>
    <w:p>
      <w:pPr>
        <w:pStyle w:val="ListNumber"/>
        <w:ind w:left="0"/>
      </w:pPr>
      <w:r>
        <w:rPr>
          <w:rFonts w:ascii="Aptos" w:hAnsi="Aptos" w:eastAsia="Aptos"/>
          <w:b w:val="0"/>
          <w:i w:val="0"/>
          <w:color w:val="0A1628"/>
          <w:sz w:val="20"/>
        </w:rPr>
        <w:t>Settled or paid records are corrected through adjustment entries, never destructive edits.</w:t>
      </w:r>
    </w:p>
    <w:p>
      <w:pPr>
        <w:pStyle w:val="ListNumber"/>
        <w:ind w:left="0"/>
      </w:pPr>
      <w:r>
        <w:rPr>
          <w:rFonts w:ascii="Aptos" w:hAnsi="Aptos" w:eastAsia="Aptos"/>
          <w:b w:val="0"/>
          <w:i w:val="0"/>
          <w:color w:val="0A1628"/>
          <w:sz w:val="20"/>
        </w:rPr>
        <w:t>Missing rates, ambiguous breakdowns, missing POD, and reconciliation differences block settlement.</w:t>
      </w:r>
    </w:p>
    <w:p>
      <w:pPr>
        <w:pStyle w:val="ListNumber"/>
        <w:ind w:left="0"/>
      </w:pPr>
      <w:r>
        <w:rPr>
          <w:rFonts w:ascii="Aptos" w:hAnsi="Aptos" w:eastAsia="Aptos"/>
          <w:b w:val="0"/>
          <w:i w:val="0"/>
          <w:color w:val="0A1628"/>
          <w:sz w:val="20"/>
        </w:rPr>
        <w:t>No UI mode, browser state, spreadsheet formula, or imported calculated value can grant authority or finalize finance.</w:t>
      </w:r>
    </w:p>
    <w:p>
      <w:pPr>
        <w:pStyle w:val="Heading2"/>
        <w:keepNext/>
      </w:pPr>
      <w:r>
        <w:rPr>
          <w:rFonts w:ascii="Aptos" w:hAnsi="Aptos" w:eastAsia="Aptos"/>
          <w:b w:val="0"/>
          <w:i w:val="0"/>
          <w:color w:val="0A1628"/>
          <w:sz w:val="20"/>
        </w:rPr>
        <w:t>2. Terminology and Financial Separation</w:t>
      </w:r>
    </w:p>
    <w:tbl>
      <w:tblPr>
        <w:tblW w:type="pct" w:w="5000"/>
        <w:jc w:val="center"/>
        <w:tblLayout w:type="autofit"/>
        <w:tblLook w:firstColumn="1" w:firstRow="1" w:lastColumn="0" w:lastRow="0" w:noHBand="0" w:noVBand="1" w:val="04A0"/>
        <w:tblBorders>
          <w:top w:val="single" w:sz="4" w:color="B8C4D1"/>
          <w:start w:val="single" w:sz="4" w:color="B8C4D1"/>
          <w:bottom w:val="single" w:sz="4" w:color="B8C4D1"/>
          <w:end w:val="single" w:sz="4" w:color="B8C4D1"/>
          <w:insideH w:val="single" w:sz="4" w:color="B8C4D1"/>
          <w:insideV w:val="single" w:sz="4" w:color="B8C4D1"/>
        </w:tblBorders>
      </w:tblPr>
      <w:tblGrid>
        <w:gridCol w:w="5184"/>
        <w:gridCol w:w="5184"/>
      </w:tblGrid>
      <w:tr>
        <w:trPr>
          <w:tblHeader w:val="true"/>
          <w:cantSplit/>
        </w:trPr>
        <w:tc>
          <w:tcPr>
            <w:tcW w:type="dxa" w:w="5184"/>
            <w:vAlign w:val="center"/>
            <w:tcMar>
              <w:top w:w="75" w:type="dxa"/>
              <w:start w:w="80" w:type="dxa"/>
              <w:bottom w:w="75" w:type="dxa"/>
              <w:end w:w="80" w:type="dxa"/>
            </w:tcMar>
            <w:shd w:fill="17365D"/>
          </w:tcPr>
          <w:p>
            <w:pPr>
              <w:spacing w:after="0" w:line="240" w:lineRule="auto"/>
            </w:pPr>
            <w:r>
              <w:rPr>
                <w:b/>
                <w:color w:val="FFFFFF"/>
                <w:sz w:val="17"/>
              </w:rPr>
            </w:r>
            <w:r>
              <w:rPr>
                <w:rFonts w:ascii="Aptos" w:hAnsi="Aptos" w:eastAsia="Aptos"/>
                <w:b/>
                <w:i w:val="0"/>
                <w:color w:val="FFFFFF"/>
                <w:sz w:val="17"/>
              </w:rPr>
              <w:t>Term</w:t>
            </w:r>
          </w:p>
        </w:tc>
        <w:tc>
          <w:tcPr>
            <w:tcW w:type="dxa" w:w="5184"/>
            <w:vAlign w:val="center"/>
            <w:tcMar>
              <w:top w:w="75" w:type="dxa"/>
              <w:start w:w="80" w:type="dxa"/>
              <w:bottom w:w="75" w:type="dxa"/>
              <w:end w:w="80" w:type="dxa"/>
            </w:tcMar>
            <w:shd w:fill="17365D"/>
          </w:tcPr>
          <w:p>
            <w:pPr>
              <w:spacing w:after="0" w:line="240" w:lineRule="auto"/>
            </w:pPr>
            <w:r>
              <w:rPr>
                <w:b/>
                <w:color w:val="FFFFFF"/>
                <w:sz w:val="17"/>
              </w:rPr>
            </w:r>
            <w:r>
              <w:rPr>
                <w:rFonts w:ascii="Aptos" w:hAnsi="Aptos" w:eastAsia="Aptos"/>
                <w:b/>
                <w:i w:val="0"/>
                <w:color w:val="FFFFFF"/>
                <w:sz w:val="17"/>
              </w:rPr>
              <w:t>Definition</w:t>
            </w:r>
          </w:p>
        </w:tc>
      </w:tr>
      <w:tr>
        <w:trPr>
          <w:cantSplit/>
        </w:trPr>
        <w:tc>
          <w:tcPr>
            <w:tcW w:type="dxa" w:w="5184"/>
            <w:vAlign w:val="center"/>
            <w:tcMar>
              <w:top w:w="75" w:type="dxa"/>
              <w:start w:w="80" w:type="dxa"/>
              <w:bottom w:w="75" w:type="dxa"/>
              <w:end w:w="80" w:type="dxa"/>
            </w:tcMar>
          </w:tcPr>
          <w:p>
            <w:pPr>
              <w:spacing w:after="0" w:line="240" w:lineRule="auto"/>
            </w:pPr>
            <w:r>
              <w:rPr>
                <w:color w:val="0A1628"/>
                <w:sz w:val="17"/>
              </w:rPr>
            </w:r>
            <w:r>
              <w:rPr>
                <w:rFonts w:ascii="Consolas" w:hAnsi="Consolas" w:eastAsia="Consolas"/>
                <w:b w:val="0"/>
                <w:i w:val="0"/>
                <w:color w:val="0A1628"/>
                <w:sz w:val="17"/>
                <w:shd w:fill="EEF2F6"/>
              </w:rPr>
              <w:t>delivery_way_id</w:t>
            </w:r>
          </w:p>
        </w:tc>
        <w:tc>
          <w:tcPr>
            <w:tcW w:type="dxa" w:w="5184"/>
            <w:vAlign w:val="center"/>
            <w:tcMar>
              <w:top w:w="75" w:type="dxa"/>
              <w:start w:w="80" w:type="dxa"/>
              <w:bottom w:w="75" w:type="dxa"/>
              <w:end w:w="80" w:type="dxa"/>
            </w:tcMar>
          </w:tcPr>
          <w:p>
            <w:pPr>
              <w:spacing w:after="0" w:line="240" w:lineRule="auto"/>
            </w:pPr>
            <w:r>
              <w:rPr>
                <w:color w:val="0A1628"/>
                <w:sz w:val="17"/>
              </w:rPr>
            </w:r>
            <w:r>
              <w:rPr>
                <w:rFonts w:ascii="Aptos" w:hAnsi="Aptos" w:eastAsia="Aptos"/>
                <w:b w:val="0"/>
                <w:i w:val="0"/>
                <w:color w:val="0A1628"/>
                <w:sz w:val="17"/>
              </w:rPr>
              <w:t>Canonical Britium parcel/Way identifier</w:t>
            </w:r>
          </w:p>
        </w:tc>
      </w:tr>
      <w:tr>
        <w:trPr>
          <w:cantSplit/>
        </w:trPr>
        <w:tc>
          <w:tcPr>
            <w:tcW w:type="dxa" w:w="5184"/>
            <w:vAlign w:val="center"/>
            <w:tcMar>
              <w:top w:w="75" w:type="dxa"/>
              <w:start w:w="80" w:type="dxa"/>
              <w:bottom w:w="75" w:type="dxa"/>
              <w:end w:w="80" w:type="dxa"/>
            </w:tcMar>
            <w:shd w:fill="F7F9FC"/>
          </w:tcPr>
          <w:p>
            <w:pPr>
              <w:spacing w:after="0" w:line="240" w:lineRule="auto"/>
            </w:pPr>
            <w:r>
              <w:rPr>
                <w:color w:val="0A1628"/>
                <w:sz w:val="17"/>
              </w:rPr>
            </w:r>
            <w:r>
              <w:rPr>
                <w:rFonts w:ascii="Consolas" w:hAnsi="Consolas" w:eastAsia="Consolas"/>
                <w:b w:val="0"/>
                <w:i w:val="0"/>
                <w:color w:val="0A1628"/>
                <w:sz w:val="17"/>
                <w:shd w:fill="EEF2F6"/>
              </w:rPr>
              <w:t>pickup_id</w:t>
            </w:r>
          </w:p>
        </w:tc>
        <w:tc>
          <w:tcPr>
            <w:tcW w:type="dxa" w:w="5184"/>
            <w:vAlign w:val="center"/>
            <w:tcMar>
              <w:top w:w="75" w:type="dxa"/>
              <w:start w:w="80" w:type="dxa"/>
              <w:bottom w:w="75" w:type="dxa"/>
              <w:end w:w="80" w:type="dxa"/>
            </w:tcMar>
            <w:shd w:fill="F7F9FC"/>
          </w:tcPr>
          <w:p>
            <w:pPr>
              <w:spacing w:after="0" w:line="240" w:lineRule="auto"/>
            </w:pPr>
            <w:r>
              <w:rPr>
                <w:color w:val="0A1628"/>
                <w:sz w:val="17"/>
              </w:rPr>
            </w:r>
            <w:r>
              <w:rPr>
                <w:rFonts w:ascii="Aptos" w:hAnsi="Aptos" w:eastAsia="Aptos"/>
                <w:b w:val="0"/>
                <w:i w:val="0"/>
                <w:color w:val="0A1628"/>
                <w:sz w:val="17"/>
              </w:rPr>
              <w:t>Canonical parent pickup identifier</w:t>
            </w:r>
          </w:p>
        </w:tc>
      </w:tr>
      <w:tr>
        <w:trPr>
          <w:cantSplit/>
        </w:trPr>
        <w:tc>
          <w:tcPr>
            <w:tcW w:type="dxa" w:w="5184"/>
            <w:vAlign w:val="center"/>
            <w:tcMar>
              <w:top w:w="75" w:type="dxa"/>
              <w:start w:w="80" w:type="dxa"/>
              <w:bottom w:w="75" w:type="dxa"/>
              <w:end w:w="80" w:type="dxa"/>
            </w:tcMar>
          </w:tcPr>
          <w:p>
            <w:pPr>
              <w:spacing w:after="0" w:line="240" w:lineRule="auto"/>
            </w:pPr>
            <w:r>
              <w:rPr>
                <w:color w:val="0A1628"/>
                <w:sz w:val="17"/>
              </w:rPr>
            </w:r>
            <w:r>
              <w:rPr>
                <w:rFonts w:ascii="Aptos" w:hAnsi="Aptos" w:eastAsia="Aptos"/>
                <w:b w:val="0"/>
                <w:i w:val="0"/>
                <w:color w:val="0A1628"/>
                <w:sz w:val="17"/>
              </w:rPr>
              <w:t>Merchant-declared delivery</w:t>
            </w:r>
          </w:p>
        </w:tc>
        <w:tc>
          <w:tcPr>
            <w:tcW w:type="dxa" w:w="5184"/>
            <w:vAlign w:val="center"/>
            <w:tcMar>
              <w:top w:w="75" w:type="dxa"/>
              <w:start w:w="80" w:type="dxa"/>
              <w:bottom w:w="75" w:type="dxa"/>
              <w:end w:w="80" w:type="dxa"/>
            </w:tcMar>
          </w:tcPr>
          <w:p>
            <w:pPr>
              <w:spacing w:after="0" w:line="240" w:lineRule="auto"/>
            </w:pPr>
            <w:r>
              <w:rPr>
                <w:color w:val="0A1628"/>
                <w:sz w:val="17"/>
              </w:rPr>
            </w:r>
            <w:r>
              <w:rPr>
                <w:rFonts w:ascii="Aptos" w:hAnsi="Aptos" w:eastAsia="Aptos"/>
                <w:b w:val="0"/>
                <w:i w:val="0"/>
                <w:color w:val="0A1628"/>
                <w:sz w:val="17"/>
              </w:rPr>
              <w:t>Delivery amount written or instructed by merchant/seller for collection from receiver</w:t>
            </w:r>
          </w:p>
        </w:tc>
      </w:tr>
      <w:tr>
        <w:trPr>
          <w:cantSplit/>
        </w:trPr>
        <w:tc>
          <w:tcPr>
            <w:tcW w:type="dxa" w:w="5184"/>
            <w:vAlign w:val="center"/>
            <w:tcMar>
              <w:top w:w="75" w:type="dxa"/>
              <w:start w:w="80" w:type="dxa"/>
              <w:bottom w:w="75" w:type="dxa"/>
              <w:end w:w="80" w:type="dxa"/>
            </w:tcMar>
            <w:shd w:fill="F7F9FC"/>
          </w:tcPr>
          <w:p>
            <w:pPr>
              <w:spacing w:after="0" w:line="240" w:lineRule="auto"/>
            </w:pPr>
            <w:r>
              <w:rPr>
                <w:color w:val="0A1628"/>
                <w:sz w:val="17"/>
              </w:rPr>
            </w:r>
            <w:r>
              <w:rPr>
                <w:rFonts w:ascii="Aptos" w:hAnsi="Aptos" w:eastAsia="Aptos"/>
                <w:b w:val="0"/>
                <w:i w:val="0"/>
                <w:color w:val="0A1628"/>
                <w:sz w:val="17"/>
              </w:rPr>
              <w:t>Britium net system delivery charge</w:t>
            </w:r>
          </w:p>
        </w:tc>
        <w:tc>
          <w:tcPr>
            <w:tcW w:type="dxa" w:w="5184"/>
            <w:vAlign w:val="center"/>
            <w:tcMar>
              <w:top w:w="75" w:type="dxa"/>
              <w:start w:w="80" w:type="dxa"/>
              <w:bottom w:w="75" w:type="dxa"/>
              <w:end w:w="80" w:type="dxa"/>
            </w:tcMar>
            <w:shd w:fill="F7F9FC"/>
          </w:tcPr>
          <w:p>
            <w:pPr>
              <w:spacing w:after="0" w:line="240" w:lineRule="auto"/>
            </w:pPr>
            <w:r>
              <w:rPr>
                <w:color w:val="0A1628"/>
                <w:sz w:val="17"/>
              </w:rPr>
            </w:r>
            <w:r>
              <w:rPr>
                <w:rFonts w:ascii="Aptos" w:hAnsi="Aptos" w:eastAsia="Aptos"/>
                <w:b w:val="0"/>
                <w:i w:val="0"/>
                <w:color w:val="0A1628"/>
                <w:sz w:val="17"/>
              </w:rPr>
              <w:t>Britium tariff after weight/CBM/other approved surcharges and applicable Commitment refund</w:t>
            </w:r>
          </w:p>
        </w:tc>
      </w:tr>
      <w:tr>
        <w:trPr>
          <w:cantSplit/>
        </w:trPr>
        <w:tc>
          <w:tcPr>
            <w:tcW w:type="dxa" w:w="5184"/>
            <w:vAlign w:val="center"/>
            <w:tcMar>
              <w:top w:w="75" w:type="dxa"/>
              <w:start w:w="80" w:type="dxa"/>
              <w:bottom w:w="75" w:type="dxa"/>
              <w:end w:w="80" w:type="dxa"/>
            </w:tcMar>
          </w:tcPr>
          <w:p>
            <w:pPr>
              <w:spacing w:after="0" w:line="240" w:lineRule="auto"/>
            </w:pPr>
            <w:r>
              <w:rPr>
                <w:color w:val="0A1628"/>
                <w:sz w:val="17"/>
              </w:rPr>
            </w:r>
            <w:r>
              <w:rPr>
                <w:rFonts w:ascii="Consolas" w:hAnsi="Consolas" w:eastAsia="Consolas"/>
                <w:b w:val="0"/>
                <w:i w:val="0"/>
                <w:color w:val="0A1628"/>
                <w:sz w:val="17"/>
                <w:shd w:fill="EEF2F6"/>
              </w:rPr>
              <w:t>cod_amount</w:t>
            </w:r>
          </w:p>
        </w:tc>
        <w:tc>
          <w:tcPr>
            <w:tcW w:type="dxa" w:w="5184"/>
            <w:vAlign w:val="center"/>
            <w:tcMar>
              <w:top w:w="75" w:type="dxa"/>
              <w:start w:w="80" w:type="dxa"/>
              <w:bottom w:w="75" w:type="dxa"/>
              <w:end w:w="80" w:type="dxa"/>
            </w:tcMar>
          </w:tcPr>
          <w:p>
            <w:pPr>
              <w:spacing w:after="0" w:line="240" w:lineRule="auto"/>
            </w:pPr>
            <w:r>
              <w:rPr>
                <w:color w:val="0A1628"/>
                <w:sz w:val="17"/>
              </w:rPr>
            </w:r>
            <w:r>
              <w:rPr>
                <w:rFonts w:ascii="Aptos" w:hAnsi="Aptos" w:eastAsia="Aptos"/>
                <w:b w:val="0"/>
                <w:i w:val="0"/>
                <w:color w:val="0A1628"/>
                <w:sz w:val="17"/>
              </w:rPr>
              <w:t>Total backend-calculated amount to collect from receiver</w:t>
            </w:r>
          </w:p>
        </w:tc>
      </w:tr>
      <w:tr>
        <w:trPr>
          <w:cantSplit/>
        </w:trPr>
        <w:tc>
          <w:tcPr>
            <w:tcW w:type="dxa" w:w="5184"/>
            <w:vAlign w:val="center"/>
            <w:tcMar>
              <w:top w:w="75" w:type="dxa"/>
              <w:start w:w="80" w:type="dxa"/>
              <w:bottom w:w="75" w:type="dxa"/>
              <w:end w:w="80" w:type="dxa"/>
            </w:tcMar>
            <w:shd w:fill="F7F9FC"/>
          </w:tcPr>
          <w:p>
            <w:pPr>
              <w:spacing w:after="0" w:line="240" w:lineRule="auto"/>
            </w:pPr>
            <w:r>
              <w:rPr>
                <w:color w:val="0A1628"/>
                <w:sz w:val="17"/>
              </w:rPr>
            </w:r>
            <w:r>
              <w:rPr>
                <w:rFonts w:ascii="Aptos" w:hAnsi="Aptos" w:eastAsia="Aptos"/>
                <w:b w:val="0"/>
                <w:i w:val="0"/>
                <w:color w:val="0A1628"/>
                <w:sz w:val="17"/>
              </w:rPr>
              <w:t>Delivery difference</w:t>
            </w:r>
          </w:p>
        </w:tc>
        <w:tc>
          <w:tcPr>
            <w:tcW w:type="dxa" w:w="5184"/>
            <w:vAlign w:val="center"/>
            <w:tcMar>
              <w:top w:w="75" w:type="dxa"/>
              <w:start w:w="80" w:type="dxa"/>
              <w:bottom w:w="75" w:type="dxa"/>
              <w:end w:w="80" w:type="dxa"/>
            </w:tcMar>
            <w:shd w:fill="F7F9FC"/>
          </w:tcPr>
          <w:p>
            <w:pPr>
              <w:spacing w:after="0" w:line="240" w:lineRule="auto"/>
            </w:pPr>
            <w:r>
              <w:rPr>
                <w:color w:val="0A1628"/>
                <w:sz w:val="17"/>
              </w:rPr>
            </w:r>
            <w:r>
              <w:rPr>
                <w:rFonts w:ascii="Aptos" w:hAnsi="Aptos" w:eastAsia="Aptos"/>
                <w:b w:val="0"/>
                <w:i w:val="0"/>
                <w:color w:val="0A1628"/>
                <w:sz w:val="17"/>
              </w:rPr>
              <w:t>Merchant-declared delivery minus Britium net system delivery charge</w:t>
            </w:r>
          </w:p>
        </w:tc>
      </w:tr>
      <w:tr>
        <w:trPr>
          <w:cantSplit/>
        </w:trPr>
        <w:tc>
          <w:tcPr>
            <w:tcW w:type="dxa" w:w="5184"/>
            <w:vAlign w:val="center"/>
            <w:tcMar>
              <w:top w:w="75" w:type="dxa"/>
              <w:start w:w="80" w:type="dxa"/>
              <w:bottom w:w="75" w:type="dxa"/>
              <w:end w:w="80" w:type="dxa"/>
            </w:tcMar>
          </w:tcPr>
          <w:p>
            <w:pPr>
              <w:spacing w:after="0" w:line="240" w:lineRule="auto"/>
            </w:pPr>
            <w:r>
              <w:rPr>
                <w:color w:val="0A1628"/>
                <w:sz w:val="17"/>
              </w:rPr>
            </w:r>
            <w:r>
              <w:rPr>
                <w:rFonts w:ascii="Aptos" w:hAnsi="Aptos" w:eastAsia="Aptos"/>
                <w:b w:val="0"/>
                <w:i w:val="0"/>
                <w:color w:val="0A1628"/>
                <w:sz w:val="17"/>
              </w:rPr>
              <w:t>Merchant final settlement</w:t>
            </w:r>
          </w:p>
        </w:tc>
        <w:tc>
          <w:tcPr>
            <w:tcW w:type="dxa" w:w="5184"/>
            <w:vAlign w:val="center"/>
            <w:tcMar>
              <w:top w:w="75" w:type="dxa"/>
              <w:start w:w="80" w:type="dxa"/>
              <w:bottom w:w="75" w:type="dxa"/>
              <w:end w:w="80" w:type="dxa"/>
            </w:tcMar>
          </w:tcPr>
          <w:p>
            <w:pPr>
              <w:spacing w:after="0" w:line="240" w:lineRule="auto"/>
            </w:pPr>
            <w:r>
              <w:rPr>
                <w:color w:val="0A1628"/>
                <w:sz w:val="17"/>
              </w:rPr>
            </w:r>
            <w:r>
              <w:rPr>
                <w:rFonts w:ascii="Aptos" w:hAnsi="Aptos" w:eastAsia="Aptos"/>
                <w:b w:val="0"/>
                <w:i w:val="0"/>
                <w:color w:val="0A1628"/>
                <w:sz w:val="17"/>
              </w:rPr>
              <w:t>Item value plus delivery difference and approved credits less merchant charges</w:t>
            </w:r>
          </w:p>
        </w:tc>
      </w:tr>
      <w:tr>
        <w:trPr>
          <w:cantSplit/>
        </w:trPr>
        <w:tc>
          <w:tcPr>
            <w:tcW w:type="dxa" w:w="5184"/>
            <w:vAlign w:val="center"/>
            <w:tcMar>
              <w:top w:w="75" w:type="dxa"/>
              <w:start w:w="80" w:type="dxa"/>
              <w:bottom w:w="75" w:type="dxa"/>
              <w:end w:w="80" w:type="dxa"/>
            </w:tcMar>
            <w:shd w:fill="F7F9FC"/>
          </w:tcPr>
          <w:p>
            <w:pPr>
              <w:spacing w:after="0" w:line="240" w:lineRule="auto"/>
            </w:pPr>
            <w:r>
              <w:rPr>
                <w:color w:val="0A1628"/>
                <w:sz w:val="17"/>
              </w:rPr>
            </w:r>
            <w:r>
              <w:rPr>
                <w:rFonts w:ascii="Aptos" w:hAnsi="Aptos" w:eastAsia="Aptos"/>
                <w:b w:val="0"/>
                <w:i w:val="0"/>
                <w:color w:val="0A1628"/>
                <w:sz w:val="17"/>
              </w:rPr>
              <w:t>Shareable branch revenue</w:t>
            </w:r>
          </w:p>
        </w:tc>
        <w:tc>
          <w:tcPr>
            <w:tcW w:type="dxa" w:w="5184"/>
            <w:vAlign w:val="center"/>
            <w:tcMar>
              <w:top w:w="75" w:type="dxa"/>
              <w:start w:w="80" w:type="dxa"/>
              <w:bottom w:w="75" w:type="dxa"/>
              <w:end w:w="80" w:type="dxa"/>
            </w:tcMar>
            <w:shd w:fill="F7F9FC"/>
          </w:tcPr>
          <w:p>
            <w:pPr>
              <w:spacing w:after="0" w:line="240" w:lineRule="auto"/>
            </w:pPr>
            <w:r>
              <w:rPr>
                <w:color w:val="0A1628"/>
                <w:sz w:val="17"/>
              </w:rPr>
            </w:r>
            <w:r>
              <w:rPr>
                <w:rFonts w:ascii="Aptos" w:hAnsi="Aptos" w:eastAsia="Aptos"/>
                <w:b w:val="0"/>
                <w:i w:val="0"/>
                <w:color w:val="0A1628"/>
                <w:sz w:val="17"/>
              </w:rPr>
              <w:t>Delivery revenue eligible for branch 55/45 allocation</w:t>
            </w:r>
          </w:p>
        </w:tc>
      </w:tr>
      <w:tr>
        <w:trPr>
          <w:cantSplit/>
        </w:trPr>
        <w:tc>
          <w:tcPr>
            <w:tcW w:type="dxa" w:w="5184"/>
            <w:vAlign w:val="center"/>
            <w:tcMar>
              <w:top w:w="75" w:type="dxa"/>
              <w:start w:w="80" w:type="dxa"/>
              <w:bottom w:w="75" w:type="dxa"/>
              <w:end w:w="80" w:type="dxa"/>
            </w:tcMar>
          </w:tcPr>
          <w:p>
            <w:pPr>
              <w:spacing w:after="0" w:line="240" w:lineRule="auto"/>
            </w:pPr>
            <w:r>
              <w:rPr>
                <w:color w:val="0A1628"/>
                <w:sz w:val="17"/>
              </w:rPr>
            </w:r>
            <w:r>
              <w:rPr>
                <w:rFonts w:ascii="Aptos" w:hAnsi="Aptos" w:eastAsia="Aptos"/>
                <w:b w:val="0"/>
                <w:i w:val="0"/>
                <w:color w:val="0A1628"/>
                <w:sz w:val="17"/>
              </w:rPr>
              <w:t>Partner payable</w:t>
            </w:r>
          </w:p>
        </w:tc>
        <w:tc>
          <w:tcPr>
            <w:tcW w:type="dxa" w:w="5184"/>
            <w:vAlign w:val="center"/>
            <w:tcMar>
              <w:top w:w="75" w:type="dxa"/>
              <w:start w:w="80" w:type="dxa"/>
              <w:bottom w:w="75" w:type="dxa"/>
              <w:end w:w="80" w:type="dxa"/>
            </w:tcMar>
          </w:tcPr>
          <w:p>
            <w:pPr>
              <w:spacing w:after="0" w:line="240" w:lineRule="auto"/>
            </w:pPr>
            <w:r>
              <w:rPr>
                <w:color w:val="0A1628"/>
                <w:sz w:val="17"/>
              </w:rPr>
            </w:r>
            <w:r>
              <w:rPr>
                <w:rFonts w:ascii="Aptos" w:hAnsi="Aptos" w:eastAsia="Aptos"/>
                <w:b w:val="0"/>
                <w:i w:val="0"/>
                <w:color w:val="0A1628"/>
                <w:sz w:val="17"/>
              </w:rPr>
              <w:t>Approved third-party service cost owed by Britium</w:t>
            </w:r>
          </w:p>
        </w:tc>
      </w:tr>
      <w:tr>
        <w:trPr>
          <w:cantSplit/>
        </w:trPr>
        <w:tc>
          <w:tcPr>
            <w:tcW w:type="dxa" w:w="5184"/>
            <w:vAlign w:val="center"/>
            <w:tcMar>
              <w:top w:w="75" w:type="dxa"/>
              <w:start w:w="80" w:type="dxa"/>
              <w:bottom w:w="75" w:type="dxa"/>
              <w:end w:w="80" w:type="dxa"/>
            </w:tcMar>
            <w:shd w:fill="F7F9FC"/>
          </w:tcPr>
          <w:p>
            <w:pPr>
              <w:spacing w:after="0" w:line="240" w:lineRule="auto"/>
            </w:pPr>
            <w:r>
              <w:rPr>
                <w:color w:val="0A1628"/>
                <w:sz w:val="17"/>
              </w:rPr>
            </w:r>
            <w:r>
              <w:rPr>
                <w:rFonts w:ascii="Aptos" w:hAnsi="Aptos" w:eastAsia="Aptos"/>
                <w:b w:val="0"/>
                <w:i w:val="0"/>
                <w:color w:val="0A1628"/>
                <w:sz w:val="17"/>
              </w:rPr>
              <w:t>COD custody</w:t>
            </w:r>
          </w:p>
        </w:tc>
        <w:tc>
          <w:tcPr>
            <w:tcW w:type="dxa" w:w="5184"/>
            <w:vAlign w:val="center"/>
            <w:tcMar>
              <w:top w:w="75" w:type="dxa"/>
              <w:start w:w="80" w:type="dxa"/>
              <w:bottom w:w="75" w:type="dxa"/>
              <w:end w:w="80" w:type="dxa"/>
            </w:tcMar>
            <w:shd w:fill="F7F9FC"/>
          </w:tcPr>
          <w:p>
            <w:pPr>
              <w:spacing w:after="0" w:line="240" w:lineRule="auto"/>
            </w:pPr>
            <w:r>
              <w:rPr>
                <w:color w:val="0A1628"/>
                <w:sz w:val="17"/>
              </w:rPr>
            </w:r>
            <w:r>
              <w:rPr>
                <w:rFonts w:ascii="Aptos" w:hAnsi="Aptos" w:eastAsia="Aptos"/>
                <w:b w:val="0"/>
                <w:i w:val="0"/>
                <w:color w:val="0A1628"/>
                <w:sz w:val="17"/>
              </w:rPr>
              <w:t>Gross customer money physically or electronically held by a branch/provider</w:t>
            </w:r>
          </w:p>
        </w:tc>
      </w:tr>
      <w:tr>
        <w:trPr>
          <w:cantSplit/>
        </w:trPr>
        <w:tc>
          <w:tcPr>
            <w:tcW w:type="dxa" w:w="5184"/>
            <w:vAlign w:val="center"/>
            <w:tcMar>
              <w:top w:w="75" w:type="dxa"/>
              <w:start w:w="80" w:type="dxa"/>
              <w:bottom w:w="75" w:type="dxa"/>
              <w:end w:w="80" w:type="dxa"/>
            </w:tcMar>
          </w:tcPr>
          <w:p>
            <w:pPr>
              <w:spacing w:after="0" w:line="240" w:lineRule="auto"/>
            </w:pPr>
            <w:r>
              <w:rPr>
                <w:color w:val="0A1628"/>
                <w:sz w:val="17"/>
              </w:rPr>
            </w:r>
            <w:r>
              <w:rPr>
                <w:rFonts w:ascii="Aptos" w:hAnsi="Aptos" w:eastAsia="Aptos"/>
                <w:b w:val="0"/>
                <w:i w:val="0"/>
                <w:color w:val="0A1628"/>
                <w:sz w:val="17"/>
              </w:rPr>
              <w:t>Fulfillment margin</w:t>
            </w:r>
          </w:p>
        </w:tc>
        <w:tc>
          <w:tcPr>
            <w:tcW w:type="dxa" w:w="5184"/>
            <w:vAlign w:val="center"/>
            <w:tcMar>
              <w:top w:w="75" w:type="dxa"/>
              <w:start w:w="80" w:type="dxa"/>
              <w:bottom w:w="75" w:type="dxa"/>
              <w:end w:w="80" w:type="dxa"/>
            </w:tcMar>
          </w:tcPr>
          <w:p>
            <w:pPr>
              <w:spacing w:after="0" w:line="240" w:lineRule="auto"/>
            </w:pPr>
            <w:r>
              <w:rPr>
                <w:color w:val="0A1628"/>
                <w:sz w:val="17"/>
              </w:rPr>
            </w:r>
            <w:r>
              <w:rPr>
                <w:rFonts w:ascii="Aptos" w:hAnsi="Aptos" w:eastAsia="Aptos"/>
                <w:b w:val="0"/>
                <w:i w:val="0"/>
                <w:color w:val="0A1628"/>
                <w:sz w:val="17"/>
              </w:rPr>
              <w:t>Britium recognized delivery revenue less partner/transport costs and company-owned charges/credits</w:t>
            </w:r>
          </w:p>
        </w:tc>
      </w:tr>
      <w:tr>
        <w:trPr>
          <w:cantSplit/>
        </w:trPr>
        <w:tc>
          <w:tcPr>
            <w:tcW w:type="dxa" w:w="5184"/>
            <w:vAlign w:val="center"/>
            <w:tcMar>
              <w:top w:w="75" w:type="dxa"/>
              <w:start w:w="80" w:type="dxa"/>
              <w:bottom w:w="75" w:type="dxa"/>
              <w:end w:w="80" w:type="dxa"/>
            </w:tcMar>
            <w:shd w:fill="F7F9FC"/>
          </w:tcPr>
          <w:p>
            <w:pPr>
              <w:spacing w:after="0" w:line="240" w:lineRule="auto"/>
            </w:pPr>
            <w:r>
              <w:rPr>
                <w:color w:val="0A1628"/>
                <w:sz w:val="17"/>
              </w:rPr>
            </w:r>
            <w:r>
              <w:rPr>
                <w:rFonts w:ascii="Aptos" w:hAnsi="Aptos" w:eastAsia="Aptos"/>
                <w:b w:val="0"/>
                <w:i w:val="0"/>
                <w:color w:val="0A1628"/>
                <w:sz w:val="17"/>
              </w:rPr>
              <w:t>Settlement batch</w:t>
            </w:r>
          </w:p>
        </w:tc>
        <w:tc>
          <w:tcPr>
            <w:tcW w:type="dxa" w:w="5184"/>
            <w:vAlign w:val="center"/>
            <w:tcMar>
              <w:top w:w="75" w:type="dxa"/>
              <w:start w:w="80" w:type="dxa"/>
              <w:bottom w:w="75" w:type="dxa"/>
              <w:end w:w="80" w:type="dxa"/>
            </w:tcMar>
            <w:shd w:fill="F7F9FC"/>
          </w:tcPr>
          <w:p>
            <w:pPr>
              <w:spacing w:after="0" w:line="240" w:lineRule="auto"/>
            </w:pPr>
            <w:r>
              <w:rPr>
                <w:color w:val="0A1628"/>
                <w:sz w:val="17"/>
              </w:rPr>
            </w:r>
            <w:r>
              <w:rPr>
                <w:rFonts w:ascii="Aptos" w:hAnsi="Aptos" w:eastAsia="Aptos"/>
                <w:b w:val="0"/>
                <w:i w:val="0"/>
                <w:color w:val="0A1628"/>
                <w:sz w:val="17"/>
              </w:rPr>
              <w:t>Versioned group of eligible parcel financial snapshots approved and paid together</w:t>
            </w:r>
          </w:p>
        </w:tc>
      </w:tr>
    </w:tbl>
    <w:p>
      <w:pPr>
        <w:spacing w:after="0"/>
      </w:pPr>
    </w:p>
    <w:p>
      <w:pPr>
        <w:pStyle w:val="Heading3"/>
        <w:keepNext/>
      </w:pPr>
      <w:r>
        <w:rPr>
          <w:rFonts w:ascii="Aptos" w:hAnsi="Aptos" w:eastAsia="Aptos"/>
          <w:b w:val="0"/>
          <w:i w:val="0"/>
          <w:color w:val="0A1628"/>
          <w:sz w:val="20"/>
        </w:rPr>
        <w:t>2.1 Required independent value groups</w:t>
      </w:r>
    </w:p>
    <w:p>
      <w:r>
        <w:rPr>
          <w:rFonts w:ascii="Aptos" w:hAnsi="Aptos" w:eastAsia="Aptos"/>
          <w:b w:val="0"/>
          <w:i w:val="0"/>
          <w:color w:val="0A1628"/>
          <w:sz w:val="20"/>
        </w:rPr>
        <w:t>The data model must never collapse these into one field:</w:t>
      </w:r>
    </w:p>
    <w:p>
      <w:pPr>
        <w:pStyle w:val="ListBullet"/>
        <w:ind w:left="0"/>
      </w:pPr>
      <w:r>
        <w:rPr>
          <w:rFonts w:ascii="Aptos" w:hAnsi="Aptos" w:eastAsia="Aptos"/>
          <w:b w:val="0"/>
          <w:i w:val="0"/>
          <w:color w:val="0A1628"/>
          <w:sz w:val="20"/>
        </w:rPr>
        <w:t>Customer item price.</w:t>
      </w:r>
    </w:p>
    <w:p>
      <w:pPr>
        <w:pStyle w:val="ListBullet"/>
        <w:ind w:left="0"/>
      </w:pPr>
      <w:r>
        <w:rPr>
          <w:rFonts w:ascii="Aptos" w:hAnsi="Aptos" w:eastAsia="Aptos"/>
          <w:b w:val="0"/>
          <w:i w:val="0"/>
          <w:color w:val="0A1628"/>
          <w:sz w:val="20"/>
        </w:rPr>
        <w:t>Merchant-declared delivery charge.</w:t>
      </w:r>
    </w:p>
    <w:p>
      <w:pPr>
        <w:pStyle w:val="ListBullet"/>
        <w:ind w:left="0"/>
      </w:pPr>
      <w:r>
        <w:rPr>
          <w:rFonts w:ascii="Aptos" w:hAnsi="Aptos" w:eastAsia="Aptos"/>
          <w:b w:val="0"/>
          <w:i w:val="0"/>
          <w:color w:val="0A1628"/>
          <w:sz w:val="20"/>
        </w:rPr>
        <w:t>Customer total collection.</w:t>
      </w:r>
    </w:p>
    <w:p>
      <w:pPr>
        <w:pStyle w:val="ListBullet"/>
        <w:ind w:left="0"/>
      </w:pPr>
      <w:r>
        <w:rPr>
          <w:rFonts w:ascii="Aptos" w:hAnsi="Aptos" w:eastAsia="Aptos"/>
          <w:b w:val="0"/>
          <w:i w:val="0"/>
          <w:color w:val="0A1628"/>
          <w:sz w:val="20"/>
        </w:rPr>
        <w:t>Britium base tariff.</w:t>
      </w:r>
    </w:p>
    <w:p>
      <w:pPr>
        <w:pStyle w:val="ListBullet"/>
        <w:ind w:left="0"/>
      </w:pPr>
      <w:r>
        <w:rPr>
          <w:rFonts w:ascii="Aptos" w:hAnsi="Aptos" w:eastAsia="Aptos"/>
          <w:b w:val="0"/>
          <w:i w:val="0"/>
          <w:color w:val="0A1628"/>
          <w:sz w:val="20"/>
        </w:rPr>
        <w:t>Britium surcharges and refunds.</w:t>
      </w:r>
    </w:p>
    <w:p>
      <w:pPr>
        <w:pStyle w:val="ListBullet"/>
        <w:ind w:left="0"/>
      </w:pPr>
      <w:r>
        <w:rPr>
          <w:rFonts w:ascii="Aptos" w:hAnsi="Aptos" w:eastAsia="Aptos"/>
          <w:b w:val="0"/>
          <w:i w:val="0"/>
          <w:color w:val="0A1628"/>
          <w:sz w:val="20"/>
        </w:rPr>
        <w:t>Britium net delivery revenue.</w:t>
      </w:r>
    </w:p>
    <w:p>
      <w:pPr>
        <w:pStyle w:val="ListBullet"/>
        <w:ind w:left="0"/>
      </w:pPr>
      <w:r>
        <w:rPr>
          <w:rFonts w:ascii="Aptos" w:hAnsi="Aptos" w:eastAsia="Aptos"/>
          <w:b w:val="0"/>
          <w:i w:val="0"/>
          <w:color w:val="0A1628"/>
          <w:sz w:val="20"/>
        </w:rPr>
        <w:t>Merchant delivery difference.</w:t>
      </w:r>
    </w:p>
    <w:p>
      <w:pPr>
        <w:pStyle w:val="ListBullet"/>
        <w:ind w:left="0"/>
      </w:pPr>
      <w:r>
        <w:rPr>
          <w:rFonts w:ascii="Aptos" w:hAnsi="Aptos" w:eastAsia="Aptos"/>
          <w:b w:val="0"/>
          <w:i w:val="0"/>
          <w:color w:val="0A1628"/>
          <w:sz w:val="20"/>
        </w:rPr>
        <w:t>Merchant final settlement.</w:t>
      </w:r>
    </w:p>
    <w:p>
      <w:pPr>
        <w:pStyle w:val="ListBullet"/>
        <w:ind w:left="0"/>
      </w:pPr>
      <w:r>
        <w:rPr>
          <w:rFonts w:ascii="Aptos" w:hAnsi="Aptos" w:eastAsia="Aptos"/>
          <w:b w:val="0"/>
          <w:i w:val="0"/>
          <w:color w:val="0A1628"/>
          <w:sz w:val="20"/>
        </w:rPr>
        <w:t>Branch allocated revenue and management fee.</w:t>
      </w:r>
    </w:p>
    <w:p>
      <w:pPr>
        <w:pStyle w:val="ListBullet"/>
        <w:ind w:left="0"/>
      </w:pPr>
      <w:r>
        <w:rPr>
          <w:rFonts w:ascii="Aptos" w:hAnsi="Aptos" w:eastAsia="Aptos"/>
          <w:b w:val="0"/>
          <w:i w:val="0"/>
          <w:color w:val="0A1628"/>
          <w:sz w:val="20"/>
        </w:rPr>
        <w:t>Highway transport cost.</w:t>
      </w:r>
    </w:p>
    <w:p>
      <w:pPr>
        <w:pStyle w:val="ListBullet"/>
        <w:ind w:left="0"/>
      </w:pPr>
      <w:r>
        <w:rPr>
          <w:rFonts w:ascii="Aptos" w:hAnsi="Aptos" w:eastAsia="Aptos"/>
          <w:b w:val="0"/>
          <w:i w:val="0"/>
          <w:color w:val="0A1628"/>
          <w:sz w:val="20"/>
        </w:rPr>
        <w:t>Third-party last-mile cost.</w:t>
      </w:r>
    </w:p>
    <w:p>
      <w:pPr>
        <w:pStyle w:val="ListBullet"/>
        <w:ind w:left="0"/>
      </w:pPr>
      <w:r>
        <w:rPr>
          <w:rFonts w:ascii="Aptos" w:hAnsi="Aptos" w:eastAsia="Aptos"/>
          <w:b w:val="0"/>
          <w:i w:val="0"/>
          <w:color w:val="0A1628"/>
          <w:sz w:val="20"/>
        </w:rPr>
        <w:t>Third-party COD fee.</w:t>
      </w:r>
    </w:p>
    <w:p>
      <w:pPr>
        <w:pStyle w:val="ListBullet"/>
        <w:ind w:left="0"/>
      </w:pPr>
      <w:r>
        <w:rPr>
          <w:rFonts w:ascii="Aptos" w:hAnsi="Aptos" w:eastAsia="Aptos"/>
          <w:b w:val="0"/>
          <w:i w:val="0"/>
          <w:color w:val="0A1628"/>
          <w:sz w:val="20"/>
        </w:rPr>
        <w:t>Partner discount and rebate.</w:t>
      </w:r>
    </w:p>
    <w:p>
      <w:pPr>
        <w:pStyle w:val="ListBullet"/>
        <w:ind w:left="0"/>
      </w:pPr>
      <w:r>
        <w:rPr>
          <w:rFonts w:ascii="Aptos" w:hAnsi="Aptos" w:eastAsia="Aptos"/>
          <w:b w:val="0"/>
          <w:i w:val="0"/>
          <w:color w:val="0A1628"/>
          <w:sz w:val="20"/>
        </w:rPr>
        <w:t>Employee referral commission.</w:t>
      </w:r>
    </w:p>
    <w:p>
      <w:pPr>
        <w:pStyle w:val="ListBullet"/>
        <w:ind w:left="0"/>
      </w:pPr>
      <w:r>
        <w:rPr>
          <w:rFonts w:ascii="Aptos" w:hAnsi="Aptos" w:eastAsia="Aptos"/>
          <w:b w:val="0"/>
          <w:i w:val="0"/>
          <w:color w:val="0A1628"/>
          <w:sz w:val="20"/>
        </w:rPr>
        <w:t>COD amount held, remitted, refunded, short, or over.</w:t>
      </w:r>
    </w:p>
    <w:p>
      <w:pPr>
        <w:pStyle w:val="Heading2"/>
        <w:keepNext/>
      </w:pPr>
      <w:r>
        <w:rPr>
          <w:rFonts w:ascii="Aptos" w:hAnsi="Aptos" w:eastAsia="Aptos"/>
          <w:b w:val="0"/>
          <w:i w:val="0"/>
          <w:color w:val="0A1628"/>
          <w:sz w:val="20"/>
        </w:rPr>
        <w:t>3. Customer Collection and Delivery-Charge Methods</w:t>
      </w:r>
    </w:p>
    <w:p>
      <w:pPr>
        <w:pStyle w:val="Heading3"/>
        <w:keepNext/>
      </w:pPr>
      <w:r>
        <w:rPr>
          <w:rFonts w:ascii="Aptos" w:hAnsi="Aptos" w:eastAsia="Aptos"/>
          <w:b w:val="0"/>
          <w:i w:val="0"/>
          <w:color w:val="0A1628"/>
          <w:sz w:val="20"/>
        </w:rPr>
        <w:t>3.1 Customer tiers and tariff defaults</w:t>
      </w:r>
    </w:p>
    <w:p>
      <w:r>
        <w:rPr>
          <w:rFonts w:ascii="Aptos" w:hAnsi="Aptos" w:eastAsia="Aptos"/>
          <w:b w:val="0"/>
          <w:i w:val="0"/>
          <w:color w:val="0A1628"/>
          <w:sz w:val="20"/>
        </w:rPr>
        <w:t>The current tariff rules used in this workstream are:</w:t>
      </w:r>
    </w:p>
    <w:tbl>
      <w:tblPr>
        <w:tblW w:type="pct" w:w="5000"/>
        <w:jc w:val="center"/>
        <w:tblLayout w:type="autofit"/>
        <w:tblLook w:firstColumn="1" w:firstRow="1" w:lastColumn="0" w:lastRow="0" w:noHBand="0" w:noVBand="1" w:val="04A0"/>
        <w:tblBorders>
          <w:top w:val="single" w:sz="4" w:color="B8C4D1"/>
          <w:start w:val="single" w:sz="4" w:color="B8C4D1"/>
          <w:bottom w:val="single" w:sz="4" w:color="B8C4D1"/>
          <w:end w:val="single" w:sz="4" w:color="B8C4D1"/>
          <w:insideH w:val="single" w:sz="4" w:color="B8C4D1"/>
          <w:insideV w:val="single" w:sz="4" w:color="B8C4D1"/>
        </w:tblBorders>
      </w:tblPr>
      <w:tblGrid>
        <w:gridCol w:w="2592"/>
        <w:gridCol w:w="2592"/>
        <w:gridCol w:w="2592"/>
        <w:gridCol w:w="2592"/>
      </w:tblGrid>
      <w:tr>
        <w:trPr>
          <w:tblHeader w:val="true"/>
          <w:cantSplit/>
        </w:trPr>
        <w:tc>
          <w:tcPr>
            <w:tcW w:type="dxa" w:w="2592"/>
            <w:vAlign w:val="center"/>
            <w:tcMar>
              <w:top w:w="75" w:type="dxa"/>
              <w:start w:w="80" w:type="dxa"/>
              <w:bottom w:w="75" w:type="dxa"/>
              <w:end w:w="80" w:type="dxa"/>
            </w:tcMar>
            <w:shd w:fill="17365D"/>
          </w:tcPr>
          <w:p>
            <w:pPr>
              <w:spacing w:after="0" w:line="240" w:lineRule="auto"/>
            </w:pPr>
            <w:r>
              <w:rPr>
                <w:b/>
                <w:color w:val="FFFFFF"/>
                <w:sz w:val="17"/>
              </w:rPr>
            </w:r>
            <w:r>
              <w:rPr>
                <w:rFonts w:ascii="Aptos" w:hAnsi="Aptos" w:eastAsia="Aptos"/>
                <w:b/>
                <w:i w:val="0"/>
                <w:color w:val="FFFFFF"/>
                <w:sz w:val="17"/>
              </w:rPr>
              <w:t>Customer tier</w:t>
            </w:r>
          </w:p>
        </w:tc>
        <w:tc>
          <w:tcPr>
            <w:tcW w:type="dxa" w:w="2592"/>
            <w:vAlign w:val="center"/>
            <w:tcMar>
              <w:top w:w="75" w:type="dxa"/>
              <w:start w:w="80" w:type="dxa"/>
              <w:bottom w:w="75" w:type="dxa"/>
              <w:end w:w="80" w:type="dxa"/>
            </w:tcMar>
            <w:shd w:fill="17365D"/>
          </w:tcPr>
          <w:p>
            <w:pPr>
              <w:spacing w:after="0" w:line="240" w:lineRule="auto"/>
            </w:pPr>
            <w:r>
              <w:rPr>
                <w:b/>
                <w:color w:val="FFFFFF"/>
                <w:sz w:val="17"/>
              </w:rPr>
            </w:r>
            <w:r>
              <w:rPr>
                <w:rFonts w:ascii="Aptos" w:hAnsi="Aptos" w:eastAsia="Aptos"/>
                <w:b/>
                <w:i w:val="0"/>
                <w:color w:val="FFFFFF"/>
                <w:sz w:val="17"/>
              </w:rPr>
              <w:t>Included weight</w:t>
            </w:r>
          </w:p>
        </w:tc>
        <w:tc>
          <w:tcPr>
            <w:tcW w:type="dxa" w:w="2592"/>
            <w:vAlign w:val="center"/>
            <w:tcMar>
              <w:top w:w="75" w:type="dxa"/>
              <w:start w:w="80" w:type="dxa"/>
              <w:bottom w:w="75" w:type="dxa"/>
              <w:end w:w="80" w:type="dxa"/>
            </w:tcMar>
            <w:shd w:fill="17365D"/>
          </w:tcPr>
          <w:p>
            <w:pPr>
              <w:spacing w:after="0" w:line="240" w:lineRule="auto"/>
            </w:pPr>
            <w:r>
              <w:rPr>
                <w:b/>
                <w:color w:val="FFFFFF"/>
                <w:sz w:val="17"/>
              </w:rPr>
            </w:r>
            <w:r>
              <w:rPr>
                <w:rFonts w:ascii="Aptos" w:hAnsi="Aptos" w:eastAsia="Aptos"/>
                <w:b/>
                <w:i w:val="0"/>
                <w:color w:val="FFFFFF"/>
                <w:sz w:val="17"/>
              </w:rPr>
              <w:t>Commitment threshold</w:t>
            </w:r>
          </w:p>
        </w:tc>
        <w:tc>
          <w:tcPr>
            <w:tcW w:type="dxa" w:w="2592"/>
            <w:vAlign w:val="center"/>
            <w:tcMar>
              <w:top w:w="75" w:type="dxa"/>
              <w:start w:w="80" w:type="dxa"/>
              <w:bottom w:w="75" w:type="dxa"/>
              <w:end w:w="80" w:type="dxa"/>
            </w:tcMar>
            <w:shd w:fill="17365D"/>
          </w:tcPr>
          <w:p>
            <w:pPr>
              <w:spacing w:after="0" w:line="240" w:lineRule="auto"/>
            </w:pPr>
            <w:r>
              <w:rPr>
                <w:b/>
                <w:color w:val="FFFFFF"/>
                <w:sz w:val="17"/>
              </w:rPr>
            </w:r>
            <w:r>
              <w:rPr>
                <w:rFonts w:ascii="Aptos" w:hAnsi="Aptos" w:eastAsia="Aptos"/>
                <w:b/>
                <w:i w:val="0"/>
                <w:color w:val="FFFFFF"/>
                <w:sz w:val="17"/>
              </w:rPr>
              <w:t>Per-Way refund</w:t>
            </w:r>
          </w:p>
        </w:tc>
      </w:tr>
      <w:tr>
        <w:trPr>
          <w:cantSplit/>
        </w:trPr>
        <w:tc>
          <w:tcPr>
            <w:tcW w:type="dxa" w:w="2592"/>
            <w:vAlign w:val="center"/>
            <w:tcMar>
              <w:top w:w="75" w:type="dxa"/>
              <w:start w:w="80" w:type="dxa"/>
              <w:bottom w:w="75" w:type="dxa"/>
              <w:end w:w="80" w:type="dxa"/>
            </w:tcMar>
          </w:tcPr>
          <w:p>
            <w:pPr>
              <w:spacing w:after="0" w:line="240" w:lineRule="auto"/>
            </w:pPr>
            <w:r>
              <w:rPr>
                <w:color w:val="0A1628"/>
                <w:sz w:val="17"/>
              </w:rPr>
            </w:r>
            <w:r>
              <w:rPr>
                <w:rFonts w:ascii="Aptos" w:hAnsi="Aptos" w:eastAsia="Aptos"/>
                <w:b w:val="0"/>
                <w:i w:val="0"/>
                <w:color w:val="0A1628"/>
                <w:sz w:val="17"/>
              </w:rPr>
              <w:t>Standard</w:t>
            </w:r>
          </w:p>
        </w:tc>
        <w:tc>
          <w:tcPr>
            <w:tcW w:type="dxa" w:w="2592"/>
            <w:vAlign w:val="center"/>
            <w:tcMar>
              <w:top w:w="75" w:type="dxa"/>
              <w:start w:w="80" w:type="dxa"/>
              <w:bottom w:w="75" w:type="dxa"/>
              <w:end w:w="80" w:type="dxa"/>
            </w:tcMar>
          </w:tcPr>
          <w:p>
            <w:pPr>
              <w:spacing w:after="0" w:line="240" w:lineRule="auto"/>
              <w:jc w:val="right"/>
            </w:pPr>
            <w:r>
              <w:rPr>
                <w:color w:val="0A1628"/>
                <w:sz w:val="17"/>
              </w:rPr>
            </w:r>
            <w:r>
              <w:rPr>
                <w:rFonts w:ascii="Aptos" w:hAnsi="Aptos" w:eastAsia="Aptos"/>
                <w:b w:val="0"/>
                <w:i w:val="0"/>
                <w:color w:val="0A1628"/>
                <w:sz w:val="17"/>
              </w:rPr>
              <w:t>3 kg</w:t>
            </w:r>
          </w:p>
        </w:tc>
        <w:tc>
          <w:tcPr>
            <w:tcW w:type="dxa" w:w="2592"/>
            <w:vAlign w:val="center"/>
            <w:tcMar>
              <w:top w:w="75" w:type="dxa"/>
              <w:start w:w="80" w:type="dxa"/>
              <w:bottom w:w="75" w:type="dxa"/>
              <w:end w:w="80" w:type="dxa"/>
            </w:tcMar>
          </w:tcPr>
          <w:p>
            <w:pPr>
              <w:spacing w:after="0" w:line="240" w:lineRule="auto"/>
            </w:pPr>
            <w:r>
              <w:rPr>
                <w:color w:val="0A1628"/>
                <w:sz w:val="17"/>
              </w:rPr>
            </w:r>
            <w:r>
              <w:rPr>
                <w:rFonts w:ascii="Aptos" w:hAnsi="Aptos" w:eastAsia="Aptos"/>
                <w:b w:val="0"/>
                <w:i w:val="0"/>
                <w:color w:val="0A1628"/>
                <w:sz w:val="17"/>
              </w:rPr>
              <w:t>Not applicable</w:t>
            </w:r>
          </w:p>
        </w:tc>
        <w:tc>
          <w:tcPr>
            <w:tcW w:type="dxa" w:w="2592"/>
            <w:vAlign w:val="center"/>
            <w:tcMar>
              <w:top w:w="75" w:type="dxa"/>
              <w:start w:w="80" w:type="dxa"/>
              <w:bottom w:w="75" w:type="dxa"/>
              <w:end w:w="80" w:type="dxa"/>
            </w:tcMar>
          </w:tcPr>
          <w:p>
            <w:pPr>
              <w:spacing w:after="0" w:line="240" w:lineRule="auto"/>
              <w:jc w:val="right"/>
            </w:pPr>
            <w:r>
              <w:rPr>
                <w:color w:val="0A1628"/>
                <w:sz w:val="17"/>
              </w:rPr>
            </w:r>
            <w:r>
              <w:rPr>
                <w:rFonts w:ascii="Aptos" w:hAnsi="Aptos" w:eastAsia="Aptos"/>
                <w:b w:val="0"/>
                <w:i w:val="0"/>
                <w:color w:val="0A1628"/>
                <w:sz w:val="17"/>
              </w:rPr>
              <w:t>0 MMK</w:t>
            </w:r>
          </w:p>
        </w:tc>
      </w:tr>
      <w:tr>
        <w:trPr>
          <w:cantSplit/>
        </w:trPr>
        <w:tc>
          <w:tcPr>
            <w:tcW w:type="dxa" w:w="2592"/>
            <w:vAlign w:val="center"/>
            <w:tcMar>
              <w:top w:w="75" w:type="dxa"/>
              <w:start w:w="80" w:type="dxa"/>
              <w:bottom w:w="75" w:type="dxa"/>
              <w:end w:w="80" w:type="dxa"/>
            </w:tcMar>
            <w:shd w:fill="F7F9FC"/>
          </w:tcPr>
          <w:p>
            <w:pPr>
              <w:spacing w:after="0" w:line="240" w:lineRule="auto"/>
            </w:pPr>
            <w:r>
              <w:rPr>
                <w:color w:val="0A1628"/>
                <w:sz w:val="17"/>
              </w:rPr>
            </w:r>
            <w:r>
              <w:rPr>
                <w:rFonts w:ascii="Aptos" w:hAnsi="Aptos" w:eastAsia="Aptos"/>
                <w:b w:val="0"/>
                <w:i w:val="0"/>
                <w:color w:val="0A1628"/>
                <w:sz w:val="17"/>
              </w:rPr>
              <w:t>Royal</w:t>
            </w:r>
          </w:p>
        </w:tc>
        <w:tc>
          <w:tcPr>
            <w:tcW w:type="dxa" w:w="2592"/>
            <w:vAlign w:val="center"/>
            <w:tcMar>
              <w:top w:w="75" w:type="dxa"/>
              <w:start w:w="80" w:type="dxa"/>
              <w:bottom w:w="75" w:type="dxa"/>
              <w:end w:w="80" w:type="dxa"/>
            </w:tcMar>
            <w:shd w:fill="F7F9FC"/>
          </w:tcPr>
          <w:p>
            <w:pPr>
              <w:spacing w:after="0" w:line="240" w:lineRule="auto"/>
              <w:jc w:val="right"/>
            </w:pPr>
            <w:r>
              <w:rPr>
                <w:color w:val="0A1628"/>
                <w:sz w:val="17"/>
              </w:rPr>
            </w:r>
            <w:r>
              <w:rPr>
                <w:rFonts w:ascii="Aptos" w:hAnsi="Aptos" w:eastAsia="Aptos"/>
                <w:b w:val="0"/>
                <w:i w:val="0"/>
                <w:color w:val="0A1628"/>
                <w:sz w:val="17"/>
              </w:rPr>
              <w:t>5 kg</w:t>
            </w:r>
          </w:p>
        </w:tc>
        <w:tc>
          <w:tcPr>
            <w:tcW w:type="dxa" w:w="2592"/>
            <w:vAlign w:val="center"/>
            <w:tcMar>
              <w:top w:w="75" w:type="dxa"/>
              <w:start w:w="80" w:type="dxa"/>
              <w:bottom w:w="75" w:type="dxa"/>
              <w:end w:w="80" w:type="dxa"/>
            </w:tcMar>
            <w:shd w:fill="F7F9FC"/>
          </w:tcPr>
          <w:p>
            <w:pPr>
              <w:spacing w:after="0" w:line="240" w:lineRule="auto"/>
            </w:pPr>
            <w:r>
              <w:rPr>
                <w:color w:val="0A1628"/>
                <w:sz w:val="17"/>
              </w:rPr>
            </w:r>
            <w:r>
              <w:rPr>
                <w:rFonts w:ascii="Aptos" w:hAnsi="Aptos" w:eastAsia="Aptos"/>
                <w:b w:val="0"/>
                <w:i w:val="0"/>
                <w:color w:val="0A1628"/>
                <w:sz w:val="17"/>
              </w:rPr>
              <w:t>Not applicable</w:t>
            </w:r>
          </w:p>
        </w:tc>
        <w:tc>
          <w:tcPr>
            <w:tcW w:type="dxa" w:w="2592"/>
            <w:vAlign w:val="center"/>
            <w:tcMar>
              <w:top w:w="75" w:type="dxa"/>
              <w:start w:w="80" w:type="dxa"/>
              <w:bottom w:w="75" w:type="dxa"/>
              <w:end w:w="80" w:type="dxa"/>
            </w:tcMar>
            <w:shd w:fill="F7F9FC"/>
          </w:tcPr>
          <w:p>
            <w:pPr>
              <w:spacing w:after="0" w:line="240" w:lineRule="auto"/>
              <w:jc w:val="right"/>
            </w:pPr>
            <w:r>
              <w:rPr>
                <w:color w:val="0A1628"/>
                <w:sz w:val="17"/>
              </w:rPr>
            </w:r>
            <w:r>
              <w:rPr>
                <w:rFonts w:ascii="Aptos" w:hAnsi="Aptos" w:eastAsia="Aptos"/>
                <w:b w:val="0"/>
                <w:i w:val="0"/>
                <w:color w:val="0A1628"/>
                <w:sz w:val="17"/>
              </w:rPr>
              <w:t>0 MMK</w:t>
            </w:r>
          </w:p>
        </w:tc>
      </w:tr>
      <w:tr>
        <w:trPr>
          <w:cantSplit/>
        </w:trPr>
        <w:tc>
          <w:tcPr>
            <w:tcW w:type="dxa" w:w="2592"/>
            <w:vAlign w:val="center"/>
            <w:tcMar>
              <w:top w:w="75" w:type="dxa"/>
              <w:start w:w="80" w:type="dxa"/>
              <w:bottom w:w="75" w:type="dxa"/>
              <w:end w:w="80" w:type="dxa"/>
            </w:tcMar>
          </w:tcPr>
          <w:p>
            <w:pPr>
              <w:spacing w:after="0" w:line="240" w:lineRule="auto"/>
            </w:pPr>
            <w:r>
              <w:rPr>
                <w:color w:val="0A1628"/>
                <w:sz w:val="17"/>
              </w:rPr>
            </w:r>
            <w:r>
              <w:rPr>
                <w:rFonts w:ascii="Aptos" w:hAnsi="Aptos" w:eastAsia="Aptos"/>
                <w:b w:val="0"/>
                <w:i w:val="0"/>
                <w:color w:val="0A1628"/>
                <w:sz w:val="17"/>
              </w:rPr>
              <w:t>Commitment</w:t>
            </w:r>
          </w:p>
        </w:tc>
        <w:tc>
          <w:tcPr>
            <w:tcW w:type="dxa" w:w="2592"/>
            <w:vAlign w:val="center"/>
            <w:tcMar>
              <w:top w:w="75" w:type="dxa"/>
              <w:start w:w="80" w:type="dxa"/>
              <w:bottom w:w="75" w:type="dxa"/>
              <w:end w:w="80" w:type="dxa"/>
            </w:tcMar>
          </w:tcPr>
          <w:p>
            <w:pPr>
              <w:spacing w:after="0" w:line="240" w:lineRule="auto"/>
              <w:jc w:val="right"/>
            </w:pPr>
            <w:r>
              <w:rPr>
                <w:color w:val="0A1628"/>
                <w:sz w:val="17"/>
              </w:rPr>
            </w:r>
            <w:r>
              <w:rPr>
                <w:rFonts w:ascii="Aptos" w:hAnsi="Aptos" w:eastAsia="Aptos"/>
                <w:b w:val="0"/>
                <w:i w:val="0"/>
                <w:color w:val="0A1628"/>
                <w:sz w:val="17"/>
              </w:rPr>
              <w:t>5 kg</w:t>
            </w:r>
          </w:p>
        </w:tc>
        <w:tc>
          <w:tcPr>
            <w:tcW w:type="dxa" w:w="2592"/>
            <w:vAlign w:val="center"/>
            <w:tcMar>
              <w:top w:w="75" w:type="dxa"/>
              <w:start w:w="80" w:type="dxa"/>
              <w:bottom w:w="75" w:type="dxa"/>
              <w:end w:w="80" w:type="dxa"/>
            </w:tcMar>
          </w:tcPr>
          <w:p>
            <w:pPr>
              <w:spacing w:after="0" w:line="240" w:lineRule="auto"/>
            </w:pPr>
            <w:r>
              <w:rPr>
                <w:color w:val="0A1628"/>
                <w:sz w:val="17"/>
              </w:rPr>
            </w:r>
            <w:r>
              <w:rPr>
                <w:rFonts w:ascii="Aptos" w:hAnsi="Aptos" w:eastAsia="Aptos"/>
                <w:b w:val="0"/>
                <w:i w:val="0"/>
                <w:color w:val="0A1628"/>
                <w:sz w:val="17"/>
              </w:rPr>
              <w:t>1,500 monthly Ways</w:t>
            </w:r>
          </w:p>
        </w:tc>
        <w:tc>
          <w:tcPr>
            <w:tcW w:type="dxa" w:w="2592"/>
            <w:vAlign w:val="center"/>
            <w:tcMar>
              <w:top w:w="75" w:type="dxa"/>
              <w:start w:w="80" w:type="dxa"/>
              <w:bottom w:w="75" w:type="dxa"/>
              <w:end w:w="80" w:type="dxa"/>
            </w:tcMar>
          </w:tcPr>
          <w:p>
            <w:pPr>
              <w:spacing w:after="0" w:line="240" w:lineRule="auto"/>
              <w:jc w:val="right"/>
            </w:pPr>
            <w:r>
              <w:rPr>
                <w:color w:val="0A1628"/>
                <w:sz w:val="17"/>
              </w:rPr>
            </w:r>
            <w:r>
              <w:rPr>
                <w:rFonts w:ascii="Aptos" w:hAnsi="Aptos" w:eastAsia="Aptos"/>
                <w:b w:val="0"/>
                <w:i w:val="0"/>
                <w:color w:val="0A1628"/>
                <w:sz w:val="17"/>
              </w:rPr>
              <w:t>500 MMK</w:t>
            </w:r>
          </w:p>
        </w:tc>
      </w:tr>
    </w:tbl>
    <w:p>
      <w:pPr>
        <w:spacing w:after="0"/>
      </w:pPr>
    </w:p>
    <w:p>
      <w:r>
        <w:rPr>
          <w:rFonts w:ascii="Aptos" w:hAnsi="Aptos" w:eastAsia="Aptos"/>
          <w:b w:val="0"/>
          <w:i w:val="0"/>
          <w:color w:val="0A1628"/>
          <w:sz w:val="20"/>
        </w:rPr>
        <w:t>The default Britium extra-weight charge is 500 MMK per chargeable kilogram unless an effective tariff row specifies otherwise.</w:t>
      </w:r>
    </w:p>
    <w:p>
      <w:pPr>
        <w:pStyle w:val="Heading3"/>
        <w:keepNext/>
      </w:pPr>
      <w:r>
        <w:rPr>
          <w:rFonts w:ascii="Aptos" w:hAnsi="Aptos" w:eastAsia="Aptos"/>
          <w:b w:val="0"/>
          <w:i w:val="0"/>
          <w:color w:val="0A1628"/>
          <w:sz w:val="20"/>
        </w:rPr>
        <w:t>3.2 Chargeable-weight formula</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chargeable_weight_kg = CEILING(actual_weight_kg)</w:t>
              <w:br/>
              <w:t>extra_kg = MAX(0, chargeable_weight_kg - included_kg)</w:t>
              <w:br/>
              <w:t>weight_surcharge = extra_kg x extra_per_kg_mmk</w:t>
            </w:r>
          </w:p>
        </w:tc>
      </w:tr>
    </w:tbl>
    <w:p>
      <w:pPr>
        <w:spacing w:after="0"/>
      </w:pPr>
    </w:p>
    <w:p>
      <w:r>
        <w:rPr>
          <w:rFonts w:ascii="Aptos" w:hAnsi="Aptos" w:eastAsia="Aptos"/>
          <w:b w:val="0"/>
          <w:i w:val="0"/>
          <w:color w:val="0A1628"/>
          <w:sz w:val="20"/>
        </w:rPr>
        <w:t>Examples:</w:t>
      </w:r>
    </w:p>
    <w:tbl>
      <w:tblPr>
        <w:tblW w:type="pct" w:w="5000"/>
        <w:jc w:val="center"/>
        <w:tblLayout w:type="autofit"/>
        <w:tblLook w:firstColumn="1" w:firstRow="1" w:lastColumn="0" w:lastRow="0" w:noHBand="0" w:noVBand="1" w:val="04A0"/>
        <w:tblBorders>
          <w:top w:val="single" w:sz="4" w:color="B8C4D1"/>
          <w:start w:val="single" w:sz="4" w:color="B8C4D1"/>
          <w:bottom w:val="single" w:sz="4" w:color="B8C4D1"/>
          <w:end w:val="single" w:sz="4" w:color="B8C4D1"/>
          <w:insideH w:val="single" w:sz="4" w:color="B8C4D1"/>
          <w:insideV w:val="single" w:sz="4" w:color="B8C4D1"/>
        </w:tblBorders>
      </w:tblPr>
      <w:tblGrid>
        <w:gridCol w:w="5184"/>
        <w:gridCol w:w="5184"/>
      </w:tblGrid>
      <w:tr>
        <w:trPr>
          <w:tblHeader w:val="true"/>
          <w:cantSplit/>
        </w:trPr>
        <w:tc>
          <w:tcPr>
            <w:tcW w:type="dxa" w:w="5184"/>
            <w:vAlign w:val="center"/>
            <w:tcMar>
              <w:top w:w="75" w:type="dxa"/>
              <w:start w:w="80" w:type="dxa"/>
              <w:bottom w:w="75" w:type="dxa"/>
              <w:end w:w="80" w:type="dxa"/>
            </w:tcMar>
            <w:shd w:fill="17365D"/>
          </w:tcPr>
          <w:p>
            <w:pPr>
              <w:spacing w:after="0" w:line="240" w:lineRule="auto"/>
            </w:pPr>
            <w:r>
              <w:rPr>
                <w:b/>
                <w:color w:val="FFFFFF"/>
                <w:sz w:val="17"/>
              </w:rPr>
            </w:r>
            <w:r>
              <w:rPr>
                <w:rFonts w:ascii="Aptos" w:hAnsi="Aptos" w:eastAsia="Aptos"/>
                <w:b/>
                <w:i w:val="0"/>
                <w:color w:val="FFFFFF"/>
                <w:sz w:val="17"/>
              </w:rPr>
              <w:t>Actual weight</w:t>
            </w:r>
          </w:p>
        </w:tc>
        <w:tc>
          <w:tcPr>
            <w:tcW w:type="dxa" w:w="5184"/>
            <w:vAlign w:val="center"/>
            <w:tcMar>
              <w:top w:w="75" w:type="dxa"/>
              <w:start w:w="80" w:type="dxa"/>
              <w:bottom w:w="75" w:type="dxa"/>
              <w:end w:w="80" w:type="dxa"/>
            </w:tcMar>
            <w:shd w:fill="17365D"/>
          </w:tcPr>
          <w:p>
            <w:pPr>
              <w:spacing w:after="0" w:line="240" w:lineRule="auto"/>
            </w:pPr>
            <w:r>
              <w:rPr>
                <w:b/>
                <w:color w:val="FFFFFF"/>
                <w:sz w:val="17"/>
              </w:rPr>
            </w:r>
            <w:r>
              <w:rPr>
                <w:rFonts w:ascii="Aptos" w:hAnsi="Aptos" w:eastAsia="Aptos"/>
                <w:b/>
                <w:i w:val="0"/>
                <w:color w:val="FFFFFF"/>
                <w:sz w:val="17"/>
              </w:rPr>
              <w:t>Chargeable weight</w:t>
            </w:r>
          </w:p>
        </w:tc>
      </w:tr>
      <w:tr>
        <w:trPr>
          <w:cantSplit/>
        </w:trPr>
        <w:tc>
          <w:tcPr>
            <w:tcW w:type="dxa" w:w="5184"/>
            <w:vAlign w:val="center"/>
            <w:tcMar>
              <w:top w:w="75" w:type="dxa"/>
              <w:start w:w="80" w:type="dxa"/>
              <w:bottom w:w="75" w:type="dxa"/>
              <w:end w:w="80" w:type="dxa"/>
            </w:tcMar>
          </w:tcPr>
          <w:p>
            <w:pPr>
              <w:spacing w:after="0" w:line="240" w:lineRule="auto"/>
              <w:jc w:val="right"/>
            </w:pPr>
            <w:r>
              <w:rPr>
                <w:color w:val="0A1628"/>
                <w:sz w:val="17"/>
              </w:rPr>
            </w:r>
            <w:r>
              <w:rPr>
                <w:rFonts w:ascii="Aptos" w:hAnsi="Aptos" w:eastAsia="Aptos"/>
                <w:b w:val="0"/>
                <w:i w:val="0"/>
                <w:color w:val="0A1628"/>
                <w:sz w:val="17"/>
              </w:rPr>
              <w:t>1.0 kg</w:t>
            </w:r>
          </w:p>
        </w:tc>
        <w:tc>
          <w:tcPr>
            <w:tcW w:type="dxa" w:w="5184"/>
            <w:vAlign w:val="center"/>
            <w:tcMar>
              <w:top w:w="75" w:type="dxa"/>
              <w:start w:w="80" w:type="dxa"/>
              <w:bottom w:w="75" w:type="dxa"/>
              <w:end w:w="80" w:type="dxa"/>
            </w:tcMar>
          </w:tcPr>
          <w:p>
            <w:pPr>
              <w:spacing w:after="0" w:line="240" w:lineRule="auto"/>
              <w:jc w:val="right"/>
            </w:pPr>
            <w:r>
              <w:rPr>
                <w:color w:val="0A1628"/>
                <w:sz w:val="17"/>
              </w:rPr>
            </w:r>
            <w:r>
              <w:rPr>
                <w:rFonts w:ascii="Aptos" w:hAnsi="Aptos" w:eastAsia="Aptos"/>
                <w:b w:val="0"/>
                <w:i w:val="0"/>
                <w:color w:val="0A1628"/>
                <w:sz w:val="17"/>
              </w:rPr>
              <w:t>1 kg</w:t>
            </w:r>
          </w:p>
        </w:tc>
      </w:tr>
      <w:tr>
        <w:trPr>
          <w:cantSplit/>
        </w:trPr>
        <w:tc>
          <w:tcPr>
            <w:tcW w:type="dxa" w:w="5184"/>
            <w:vAlign w:val="center"/>
            <w:tcMar>
              <w:top w:w="75" w:type="dxa"/>
              <w:start w:w="80" w:type="dxa"/>
              <w:bottom w:w="75" w:type="dxa"/>
              <w:end w:w="80" w:type="dxa"/>
            </w:tcMar>
            <w:shd w:fill="F7F9FC"/>
          </w:tcPr>
          <w:p>
            <w:pPr>
              <w:spacing w:after="0" w:line="240" w:lineRule="auto"/>
              <w:jc w:val="right"/>
            </w:pPr>
            <w:r>
              <w:rPr>
                <w:color w:val="0A1628"/>
                <w:sz w:val="17"/>
              </w:rPr>
            </w:r>
            <w:r>
              <w:rPr>
                <w:rFonts w:ascii="Aptos" w:hAnsi="Aptos" w:eastAsia="Aptos"/>
                <w:b w:val="0"/>
                <w:i w:val="0"/>
                <w:color w:val="0A1628"/>
                <w:sz w:val="17"/>
              </w:rPr>
              <w:t>1.2 kg</w:t>
            </w:r>
          </w:p>
        </w:tc>
        <w:tc>
          <w:tcPr>
            <w:tcW w:type="dxa" w:w="5184"/>
            <w:vAlign w:val="center"/>
            <w:tcMar>
              <w:top w:w="75" w:type="dxa"/>
              <w:start w:w="80" w:type="dxa"/>
              <w:bottom w:w="75" w:type="dxa"/>
              <w:end w:w="80" w:type="dxa"/>
            </w:tcMar>
            <w:shd w:fill="F7F9FC"/>
          </w:tcPr>
          <w:p>
            <w:pPr>
              <w:spacing w:after="0" w:line="240" w:lineRule="auto"/>
              <w:jc w:val="right"/>
            </w:pPr>
            <w:r>
              <w:rPr>
                <w:color w:val="0A1628"/>
                <w:sz w:val="17"/>
              </w:rPr>
            </w:r>
            <w:r>
              <w:rPr>
                <w:rFonts w:ascii="Aptos" w:hAnsi="Aptos" w:eastAsia="Aptos"/>
                <w:b w:val="0"/>
                <w:i w:val="0"/>
                <w:color w:val="0A1628"/>
                <w:sz w:val="17"/>
              </w:rPr>
              <w:t>2 kg</w:t>
            </w:r>
          </w:p>
        </w:tc>
      </w:tr>
      <w:tr>
        <w:trPr>
          <w:cantSplit/>
        </w:trPr>
        <w:tc>
          <w:tcPr>
            <w:tcW w:type="dxa" w:w="5184"/>
            <w:vAlign w:val="center"/>
            <w:tcMar>
              <w:top w:w="75" w:type="dxa"/>
              <w:start w:w="80" w:type="dxa"/>
              <w:bottom w:w="75" w:type="dxa"/>
              <w:end w:w="80" w:type="dxa"/>
            </w:tcMar>
          </w:tcPr>
          <w:p>
            <w:pPr>
              <w:spacing w:after="0" w:line="240" w:lineRule="auto"/>
              <w:jc w:val="right"/>
            </w:pPr>
            <w:r>
              <w:rPr>
                <w:color w:val="0A1628"/>
                <w:sz w:val="17"/>
              </w:rPr>
            </w:r>
            <w:r>
              <w:rPr>
                <w:rFonts w:ascii="Aptos" w:hAnsi="Aptos" w:eastAsia="Aptos"/>
                <w:b w:val="0"/>
                <w:i w:val="0"/>
                <w:color w:val="0A1628"/>
                <w:sz w:val="17"/>
              </w:rPr>
              <w:t>3.1 kg</w:t>
            </w:r>
          </w:p>
        </w:tc>
        <w:tc>
          <w:tcPr>
            <w:tcW w:type="dxa" w:w="5184"/>
            <w:vAlign w:val="center"/>
            <w:tcMar>
              <w:top w:w="75" w:type="dxa"/>
              <w:start w:w="80" w:type="dxa"/>
              <w:bottom w:w="75" w:type="dxa"/>
              <w:end w:w="80" w:type="dxa"/>
            </w:tcMar>
          </w:tcPr>
          <w:p>
            <w:pPr>
              <w:spacing w:after="0" w:line="240" w:lineRule="auto"/>
              <w:jc w:val="right"/>
            </w:pPr>
            <w:r>
              <w:rPr>
                <w:color w:val="0A1628"/>
                <w:sz w:val="17"/>
              </w:rPr>
            </w:r>
            <w:r>
              <w:rPr>
                <w:rFonts w:ascii="Aptos" w:hAnsi="Aptos" w:eastAsia="Aptos"/>
                <w:b w:val="0"/>
                <w:i w:val="0"/>
                <w:color w:val="0A1628"/>
                <w:sz w:val="17"/>
              </w:rPr>
              <w:t>4 kg</w:t>
            </w:r>
          </w:p>
        </w:tc>
      </w:tr>
      <w:tr>
        <w:trPr>
          <w:cantSplit/>
        </w:trPr>
        <w:tc>
          <w:tcPr>
            <w:tcW w:type="dxa" w:w="5184"/>
            <w:vAlign w:val="center"/>
            <w:tcMar>
              <w:top w:w="75" w:type="dxa"/>
              <w:start w:w="80" w:type="dxa"/>
              <w:bottom w:w="75" w:type="dxa"/>
              <w:end w:w="80" w:type="dxa"/>
            </w:tcMar>
            <w:shd w:fill="F7F9FC"/>
          </w:tcPr>
          <w:p>
            <w:pPr>
              <w:spacing w:after="0" w:line="240" w:lineRule="auto"/>
              <w:jc w:val="right"/>
            </w:pPr>
            <w:r>
              <w:rPr>
                <w:color w:val="0A1628"/>
                <w:sz w:val="17"/>
              </w:rPr>
            </w:r>
            <w:r>
              <w:rPr>
                <w:rFonts w:ascii="Aptos" w:hAnsi="Aptos" w:eastAsia="Aptos"/>
                <w:b w:val="0"/>
                <w:i w:val="0"/>
                <w:color w:val="0A1628"/>
                <w:sz w:val="17"/>
              </w:rPr>
              <w:t>4.2 kg</w:t>
            </w:r>
          </w:p>
        </w:tc>
        <w:tc>
          <w:tcPr>
            <w:tcW w:type="dxa" w:w="5184"/>
            <w:vAlign w:val="center"/>
            <w:tcMar>
              <w:top w:w="75" w:type="dxa"/>
              <w:start w:w="80" w:type="dxa"/>
              <w:bottom w:w="75" w:type="dxa"/>
              <w:end w:w="80" w:type="dxa"/>
            </w:tcMar>
            <w:shd w:fill="F7F9FC"/>
          </w:tcPr>
          <w:p>
            <w:pPr>
              <w:spacing w:after="0" w:line="240" w:lineRule="auto"/>
              <w:jc w:val="right"/>
            </w:pPr>
            <w:r>
              <w:rPr>
                <w:color w:val="0A1628"/>
                <w:sz w:val="17"/>
              </w:rPr>
            </w:r>
            <w:r>
              <w:rPr>
                <w:rFonts w:ascii="Aptos" w:hAnsi="Aptos" w:eastAsia="Aptos"/>
                <w:b w:val="0"/>
                <w:i w:val="0"/>
                <w:color w:val="0A1628"/>
                <w:sz w:val="17"/>
              </w:rPr>
              <w:t>5 kg</w:t>
            </w:r>
          </w:p>
        </w:tc>
      </w:tr>
    </w:tbl>
    <w:p>
      <w:pPr>
        <w:spacing w:after="0"/>
      </w:pPr>
    </w:p>
    <w:p>
      <w:pPr>
        <w:pStyle w:val="Heading3"/>
        <w:keepNext/>
      </w:pPr>
      <w:r>
        <w:rPr>
          <w:rFonts w:ascii="Aptos" w:hAnsi="Aptos" w:eastAsia="Aptos"/>
          <w:b w:val="0"/>
          <w:i w:val="0"/>
          <w:color w:val="0A1628"/>
          <w:sz w:val="20"/>
        </w:rPr>
        <w:t>3.3 Highway Station Drop-Off Tariff Conditions</w:t>
      </w:r>
    </w:p>
    <w:p>
      <w:r>
        <w:rPr>
          <w:rFonts w:ascii="Aptos" w:hAnsi="Aptos" w:eastAsia="Aptos"/>
          <w:b w:val="0"/>
          <w:i w:val="0"/>
          <w:color w:val="0A1628"/>
          <w:sz w:val="20"/>
        </w:rPr>
        <w:t>Add a distinct tariff product:</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service_type = HIGHWAY_STATION_DROP_OFF</w:t>
              <w:br/>
              <w:t>tariff_product_code = YGN_HIGHWAY_STATION_DROP_OFF</w:t>
            </w:r>
          </w:p>
        </w:tc>
      </w:tr>
    </w:tbl>
    <w:p>
      <w:pPr>
        <w:spacing w:after="0"/>
      </w:pPr>
    </w:p>
    <w:p>
      <w:r>
        <w:rPr>
          <w:rFonts w:ascii="Aptos" w:hAnsi="Aptos" w:eastAsia="Aptos"/>
          <w:b w:val="0"/>
          <w:i w:val="0"/>
          <w:color w:val="0A1628"/>
          <w:sz w:val="20"/>
        </w:rPr>
        <w:t>The system must use a controlled station code rather than a free-text station name. The active base-rate matrix is:</w:t>
      </w:r>
    </w:p>
    <w:tbl>
      <w:tblPr>
        <w:tblW w:type="pct" w:w="5000"/>
        <w:jc w:val="center"/>
        <w:tblLayout w:type="autofit"/>
        <w:tblLook w:firstColumn="1" w:firstRow="1" w:lastColumn="0" w:lastRow="0" w:noHBand="0" w:noVBand="1" w:val="04A0"/>
        <w:tblBorders>
          <w:top w:val="single" w:sz="4" w:color="B8C4D1"/>
          <w:start w:val="single" w:sz="4" w:color="B8C4D1"/>
          <w:bottom w:val="single" w:sz="4" w:color="B8C4D1"/>
          <w:end w:val="single" w:sz="4" w:color="B8C4D1"/>
          <w:insideH w:val="single" w:sz="4" w:color="B8C4D1"/>
          <w:insideV w:val="single" w:sz="4" w:color="B8C4D1"/>
        </w:tblBorders>
      </w:tblPr>
      <w:tblGrid>
        <w:gridCol w:w="2592"/>
        <w:gridCol w:w="2592"/>
        <w:gridCol w:w="2592"/>
        <w:gridCol w:w="2592"/>
      </w:tblGrid>
      <w:tr>
        <w:trPr>
          <w:tblHeader w:val="true"/>
          <w:cantSplit/>
        </w:trPr>
        <w:tc>
          <w:tcPr>
            <w:tcW w:type="dxa" w:w="2592"/>
            <w:vAlign w:val="center"/>
            <w:tcMar>
              <w:top w:w="75" w:type="dxa"/>
              <w:start w:w="80" w:type="dxa"/>
              <w:bottom w:w="75" w:type="dxa"/>
              <w:end w:w="80" w:type="dxa"/>
            </w:tcMar>
            <w:shd w:fill="17365D"/>
          </w:tcPr>
          <w:p>
            <w:pPr>
              <w:spacing w:after="0" w:line="240" w:lineRule="auto"/>
            </w:pPr>
            <w:r>
              <w:rPr>
                <w:b/>
                <w:color w:val="FFFFFF"/>
                <w:sz w:val="17"/>
              </w:rPr>
            </w:r>
            <w:r>
              <w:rPr>
                <w:rFonts w:ascii="Aptos" w:hAnsi="Aptos" w:eastAsia="Aptos"/>
                <w:b/>
                <w:i w:val="0"/>
                <w:color w:val="FFFFFF"/>
                <w:sz w:val="17"/>
              </w:rPr>
              <w:t>Station code</w:t>
            </w:r>
          </w:p>
        </w:tc>
        <w:tc>
          <w:tcPr>
            <w:tcW w:type="dxa" w:w="2592"/>
            <w:vAlign w:val="center"/>
            <w:tcMar>
              <w:top w:w="75" w:type="dxa"/>
              <w:start w:w="80" w:type="dxa"/>
              <w:bottom w:w="75" w:type="dxa"/>
              <w:end w:w="80" w:type="dxa"/>
            </w:tcMar>
            <w:shd w:fill="17365D"/>
          </w:tcPr>
          <w:p>
            <w:pPr>
              <w:spacing w:after="0" w:line="240" w:lineRule="auto"/>
            </w:pPr>
            <w:r>
              <w:rPr>
                <w:b/>
                <w:color w:val="FFFFFF"/>
                <w:sz w:val="17"/>
              </w:rPr>
            </w:r>
            <w:r>
              <w:rPr>
                <w:rFonts w:ascii="Aptos" w:hAnsi="Aptos" w:eastAsia="Aptos"/>
                <w:b/>
                <w:i w:val="0"/>
                <w:color w:val="FFFFFF"/>
                <w:sz w:val="17"/>
              </w:rPr>
              <w:t>Customer-facing station name</w:t>
            </w:r>
          </w:p>
        </w:tc>
        <w:tc>
          <w:tcPr>
            <w:tcW w:type="dxa" w:w="2592"/>
            <w:vAlign w:val="center"/>
            <w:tcMar>
              <w:top w:w="75" w:type="dxa"/>
              <w:start w:w="80" w:type="dxa"/>
              <w:bottom w:w="75" w:type="dxa"/>
              <w:end w:w="80" w:type="dxa"/>
            </w:tcMar>
            <w:shd w:fill="17365D"/>
          </w:tcPr>
          <w:p>
            <w:pPr>
              <w:spacing w:after="0" w:line="240" w:lineRule="auto"/>
            </w:pPr>
            <w:r>
              <w:rPr>
                <w:b/>
                <w:color w:val="FFFFFF"/>
                <w:sz w:val="17"/>
              </w:rPr>
            </w:r>
            <w:r>
              <w:rPr>
                <w:rFonts w:ascii="Aptos" w:hAnsi="Aptos" w:eastAsia="Aptos"/>
                <w:b/>
                <w:i w:val="0"/>
                <w:color w:val="FFFFFF"/>
                <w:sz w:val="17"/>
              </w:rPr>
              <w:t>Accepted aliases</w:t>
            </w:r>
          </w:p>
        </w:tc>
        <w:tc>
          <w:tcPr>
            <w:tcW w:type="dxa" w:w="2592"/>
            <w:vAlign w:val="center"/>
            <w:tcMar>
              <w:top w:w="75" w:type="dxa"/>
              <w:start w:w="80" w:type="dxa"/>
              <w:bottom w:w="75" w:type="dxa"/>
              <w:end w:w="80" w:type="dxa"/>
            </w:tcMar>
            <w:shd w:fill="17365D"/>
          </w:tcPr>
          <w:p>
            <w:pPr>
              <w:spacing w:after="0" w:line="240" w:lineRule="auto"/>
            </w:pPr>
            <w:r>
              <w:rPr>
                <w:b/>
                <w:color w:val="FFFFFF"/>
                <w:sz w:val="17"/>
              </w:rPr>
            </w:r>
            <w:r>
              <w:rPr>
                <w:rFonts w:ascii="Aptos" w:hAnsi="Aptos" w:eastAsia="Aptos"/>
                <w:b/>
                <w:i w:val="0"/>
                <w:color w:val="FFFFFF"/>
                <w:sz w:val="17"/>
              </w:rPr>
              <w:t>Base rate</w:t>
            </w:r>
          </w:p>
        </w:tc>
      </w:tr>
      <w:tr>
        <w:trPr>
          <w:cantSplit/>
        </w:trPr>
        <w:tc>
          <w:tcPr>
            <w:tcW w:type="dxa" w:w="2592"/>
            <w:vAlign w:val="center"/>
            <w:tcMar>
              <w:top w:w="75" w:type="dxa"/>
              <w:start w:w="80" w:type="dxa"/>
              <w:bottom w:w="75" w:type="dxa"/>
              <w:end w:w="80" w:type="dxa"/>
            </w:tcMar>
          </w:tcPr>
          <w:p>
            <w:pPr>
              <w:spacing w:after="0" w:line="240" w:lineRule="auto"/>
            </w:pPr>
            <w:r>
              <w:rPr>
                <w:color w:val="0A1628"/>
                <w:sz w:val="17"/>
              </w:rPr>
            </w:r>
            <w:r>
              <w:rPr>
                <w:rFonts w:ascii="Consolas" w:hAnsi="Consolas" w:eastAsia="Consolas"/>
                <w:b w:val="0"/>
                <w:i w:val="0"/>
                <w:color w:val="0A1628"/>
                <w:sz w:val="17"/>
                <w:shd w:fill="EEF2F6"/>
              </w:rPr>
              <w:t>HW_DOWNTOWN</w:t>
            </w:r>
          </w:p>
        </w:tc>
        <w:tc>
          <w:tcPr>
            <w:tcW w:type="dxa" w:w="2592"/>
            <w:vAlign w:val="center"/>
            <w:tcMar>
              <w:top w:w="75" w:type="dxa"/>
              <w:start w:w="80" w:type="dxa"/>
              <w:bottom w:w="75" w:type="dxa"/>
              <w:end w:w="80" w:type="dxa"/>
            </w:tcMar>
          </w:tcPr>
          <w:p>
            <w:pPr>
              <w:spacing w:after="0" w:line="240" w:lineRule="auto"/>
            </w:pPr>
            <w:r>
              <w:rPr>
                <w:color w:val="0A1628"/>
                <w:sz w:val="17"/>
              </w:rPr>
            </w:r>
            <w:r>
              <w:rPr>
                <w:rFonts w:ascii="Aptos" w:hAnsi="Aptos" w:eastAsia="Aptos"/>
                <w:b w:val="0"/>
                <w:i w:val="0"/>
                <w:color w:val="0A1628"/>
                <w:sz w:val="17"/>
              </w:rPr>
              <w:t>Highway Station Drop Off (Downtown)</w:t>
            </w:r>
          </w:p>
        </w:tc>
        <w:tc>
          <w:tcPr>
            <w:tcW w:type="dxa" w:w="2592"/>
            <w:vAlign w:val="center"/>
            <w:tcMar>
              <w:top w:w="75" w:type="dxa"/>
              <w:start w:w="80" w:type="dxa"/>
              <w:bottom w:w="75" w:type="dxa"/>
              <w:end w:w="80" w:type="dxa"/>
            </w:tcMar>
          </w:tcPr>
          <w:p>
            <w:pPr>
              <w:spacing w:after="0" w:line="240" w:lineRule="auto"/>
            </w:pPr>
            <w:r>
              <w:rPr>
                <w:color w:val="0A1628"/>
                <w:sz w:val="17"/>
              </w:rPr>
            </w:r>
            <w:r>
              <w:rPr>
                <w:rFonts w:ascii="Aptos" w:hAnsi="Aptos" w:eastAsia="Aptos"/>
                <w:b w:val="0"/>
                <w:i w:val="0"/>
                <w:color w:val="0A1628"/>
                <w:sz w:val="17"/>
              </w:rPr>
              <w:t>Downtown Highway Station, Downtown Drop Off</w:t>
            </w:r>
          </w:p>
        </w:tc>
        <w:tc>
          <w:tcPr>
            <w:tcW w:type="dxa" w:w="2592"/>
            <w:vAlign w:val="center"/>
            <w:tcMar>
              <w:top w:w="75" w:type="dxa"/>
              <w:start w:w="80" w:type="dxa"/>
              <w:bottom w:w="75" w:type="dxa"/>
              <w:end w:w="80" w:type="dxa"/>
            </w:tcMar>
          </w:tcPr>
          <w:p>
            <w:pPr>
              <w:spacing w:after="0" w:line="240" w:lineRule="auto"/>
              <w:jc w:val="right"/>
            </w:pPr>
            <w:r>
              <w:rPr>
                <w:color w:val="0A1628"/>
                <w:sz w:val="17"/>
              </w:rPr>
            </w:r>
            <w:r>
              <w:rPr>
                <w:rFonts w:ascii="Aptos" w:hAnsi="Aptos" w:eastAsia="Aptos"/>
                <w:b w:val="0"/>
                <w:i w:val="0"/>
                <w:color w:val="0A1628"/>
                <w:sz w:val="17"/>
              </w:rPr>
              <w:t>4,000 MMK</w:t>
            </w:r>
          </w:p>
        </w:tc>
      </w:tr>
      <w:tr>
        <w:trPr>
          <w:cantSplit/>
        </w:trPr>
        <w:tc>
          <w:tcPr>
            <w:tcW w:type="dxa" w:w="2592"/>
            <w:vAlign w:val="center"/>
            <w:tcMar>
              <w:top w:w="75" w:type="dxa"/>
              <w:start w:w="80" w:type="dxa"/>
              <w:bottom w:w="75" w:type="dxa"/>
              <w:end w:w="80" w:type="dxa"/>
            </w:tcMar>
            <w:shd w:fill="F7F9FC"/>
          </w:tcPr>
          <w:p>
            <w:pPr>
              <w:spacing w:after="0" w:line="240" w:lineRule="auto"/>
            </w:pPr>
            <w:r>
              <w:rPr>
                <w:color w:val="0A1628"/>
                <w:sz w:val="17"/>
              </w:rPr>
            </w:r>
            <w:r>
              <w:rPr>
                <w:rFonts w:ascii="Consolas" w:hAnsi="Consolas" w:eastAsia="Consolas"/>
                <w:b w:val="0"/>
                <w:i w:val="0"/>
                <w:color w:val="0A1628"/>
                <w:sz w:val="17"/>
                <w:shd w:fill="EEF2F6"/>
              </w:rPr>
              <w:t>HW_BAYINTNAUNG</w:t>
            </w:r>
          </w:p>
        </w:tc>
        <w:tc>
          <w:tcPr>
            <w:tcW w:type="dxa" w:w="2592"/>
            <w:vAlign w:val="center"/>
            <w:tcMar>
              <w:top w:w="75" w:type="dxa"/>
              <w:start w:w="80" w:type="dxa"/>
              <w:bottom w:w="75" w:type="dxa"/>
              <w:end w:w="80" w:type="dxa"/>
            </w:tcMar>
            <w:shd w:fill="F7F9FC"/>
          </w:tcPr>
          <w:p>
            <w:pPr>
              <w:spacing w:after="0" w:line="240" w:lineRule="auto"/>
            </w:pPr>
            <w:r>
              <w:rPr>
                <w:color w:val="0A1628"/>
                <w:sz w:val="17"/>
              </w:rPr>
            </w:r>
            <w:r>
              <w:rPr>
                <w:rFonts w:ascii="Aptos" w:hAnsi="Aptos" w:eastAsia="Aptos"/>
                <w:b w:val="0"/>
                <w:i w:val="0"/>
                <w:color w:val="0A1628"/>
                <w:sz w:val="17"/>
              </w:rPr>
              <w:t>Bayintnaung Drop Off</w:t>
            </w:r>
          </w:p>
        </w:tc>
        <w:tc>
          <w:tcPr>
            <w:tcW w:type="dxa" w:w="2592"/>
            <w:vAlign w:val="center"/>
            <w:tcMar>
              <w:top w:w="75" w:type="dxa"/>
              <w:start w:w="80" w:type="dxa"/>
              <w:bottom w:w="75" w:type="dxa"/>
              <w:end w:w="80" w:type="dxa"/>
            </w:tcMar>
            <w:shd w:fill="F7F9FC"/>
          </w:tcPr>
          <w:p>
            <w:pPr>
              <w:spacing w:after="0" w:line="240" w:lineRule="auto"/>
            </w:pPr>
            <w:r>
              <w:rPr>
                <w:color w:val="0A1628"/>
                <w:sz w:val="17"/>
              </w:rPr>
            </w:r>
            <w:r>
              <w:rPr>
                <w:rFonts w:ascii="Aptos" w:hAnsi="Aptos" w:eastAsia="Aptos"/>
                <w:b w:val="0"/>
                <w:i w:val="0"/>
                <w:color w:val="0A1628"/>
                <w:sz w:val="17"/>
              </w:rPr>
              <w:t>Bayintnaung Highway Station, Bayintnaung Bus Station</w:t>
            </w:r>
          </w:p>
        </w:tc>
        <w:tc>
          <w:tcPr>
            <w:tcW w:type="dxa" w:w="2592"/>
            <w:vAlign w:val="center"/>
            <w:tcMar>
              <w:top w:w="75" w:type="dxa"/>
              <w:start w:w="80" w:type="dxa"/>
              <w:bottom w:w="75" w:type="dxa"/>
              <w:end w:w="80" w:type="dxa"/>
            </w:tcMar>
            <w:shd w:fill="F7F9FC"/>
          </w:tcPr>
          <w:p>
            <w:pPr>
              <w:spacing w:after="0" w:line="240" w:lineRule="auto"/>
              <w:jc w:val="right"/>
            </w:pPr>
            <w:r>
              <w:rPr>
                <w:color w:val="0A1628"/>
                <w:sz w:val="17"/>
              </w:rPr>
            </w:r>
            <w:r>
              <w:rPr>
                <w:rFonts w:ascii="Aptos" w:hAnsi="Aptos" w:eastAsia="Aptos"/>
                <w:b w:val="0"/>
                <w:i w:val="0"/>
                <w:color w:val="0A1628"/>
                <w:sz w:val="17"/>
              </w:rPr>
              <w:t>4,000 MMK</w:t>
            </w:r>
          </w:p>
        </w:tc>
      </w:tr>
      <w:tr>
        <w:trPr>
          <w:cantSplit/>
        </w:trPr>
        <w:tc>
          <w:tcPr>
            <w:tcW w:type="dxa" w:w="2592"/>
            <w:vAlign w:val="center"/>
            <w:tcMar>
              <w:top w:w="75" w:type="dxa"/>
              <w:start w:w="80" w:type="dxa"/>
              <w:bottom w:w="75" w:type="dxa"/>
              <w:end w:w="80" w:type="dxa"/>
            </w:tcMar>
          </w:tcPr>
          <w:p>
            <w:pPr>
              <w:spacing w:after="0" w:line="240" w:lineRule="auto"/>
            </w:pPr>
            <w:r>
              <w:rPr>
                <w:color w:val="0A1628"/>
                <w:sz w:val="17"/>
              </w:rPr>
            </w:r>
            <w:r>
              <w:rPr>
                <w:rFonts w:ascii="Consolas" w:hAnsi="Consolas" w:eastAsia="Consolas"/>
                <w:b w:val="0"/>
                <w:i w:val="0"/>
                <w:color w:val="0A1628"/>
                <w:sz w:val="17"/>
                <w:shd w:fill="EEF2F6"/>
              </w:rPr>
              <w:t>HW_DAGON_THIRI</w:t>
            </w:r>
          </w:p>
        </w:tc>
        <w:tc>
          <w:tcPr>
            <w:tcW w:type="dxa" w:w="2592"/>
            <w:vAlign w:val="center"/>
            <w:tcMar>
              <w:top w:w="75" w:type="dxa"/>
              <w:start w:w="80" w:type="dxa"/>
              <w:bottom w:w="75" w:type="dxa"/>
              <w:end w:w="80" w:type="dxa"/>
            </w:tcMar>
          </w:tcPr>
          <w:p>
            <w:pPr>
              <w:spacing w:after="0" w:line="240" w:lineRule="auto"/>
            </w:pPr>
            <w:r>
              <w:rPr>
                <w:color w:val="0A1628"/>
                <w:sz w:val="17"/>
              </w:rPr>
            </w:r>
            <w:r>
              <w:rPr>
                <w:rFonts w:ascii="Aptos" w:hAnsi="Aptos" w:eastAsia="Aptos"/>
                <w:b w:val="0"/>
                <w:i w:val="0"/>
                <w:color w:val="0A1628"/>
                <w:sz w:val="17"/>
              </w:rPr>
              <w:t>Hlaing Thar Yar - Dagon Thiri Highway Station Drop Off</w:t>
            </w:r>
          </w:p>
        </w:tc>
        <w:tc>
          <w:tcPr>
            <w:tcW w:type="dxa" w:w="2592"/>
            <w:vAlign w:val="center"/>
            <w:tcMar>
              <w:top w:w="75" w:type="dxa"/>
              <w:start w:w="80" w:type="dxa"/>
              <w:bottom w:w="75" w:type="dxa"/>
              <w:end w:w="80" w:type="dxa"/>
            </w:tcMar>
          </w:tcPr>
          <w:p>
            <w:pPr>
              <w:spacing w:after="0" w:line="240" w:lineRule="auto"/>
            </w:pPr>
            <w:r>
              <w:rPr>
                <w:color w:val="0A1628"/>
                <w:sz w:val="17"/>
              </w:rPr>
            </w:r>
            <w:r>
              <w:rPr>
                <w:rFonts w:ascii="Aptos" w:hAnsi="Aptos" w:eastAsia="Aptos"/>
                <w:b w:val="0"/>
                <w:i w:val="0"/>
                <w:color w:val="0A1628"/>
                <w:sz w:val="17"/>
              </w:rPr>
              <w:t>Dagon Thiri, Dagon Ayar, Hlaing Thar Yar Highway Station</w:t>
            </w:r>
          </w:p>
        </w:tc>
        <w:tc>
          <w:tcPr>
            <w:tcW w:type="dxa" w:w="2592"/>
            <w:vAlign w:val="center"/>
            <w:tcMar>
              <w:top w:w="75" w:type="dxa"/>
              <w:start w:w="80" w:type="dxa"/>
              <w:bottom w:w="75" w:type="dxa"/>
              <w:end w:w="80" w:type="dxa"/>
            </w:tcMar>
          </w:tcPr>
          <w:p>
            <w:pPr>
              <w:spacing w:after="0" w:line="240" w:lineRule="auto"/>
              <w:jc w:val="right"/>
            </w:pPr>
            <w:r>
              <w:rPr>
                <w:color w:val="0A1628"/>
                <w:sz w:val="17"/>
              </w:rPr>
            </w:r>
            <w:r>
              <w:rPr>
                <w:rFonts w:ascii="Aptos" w:hAnsi="Aptos" w:eastAsia="Aptos"/>
                <w:b w:val="0"/>
                <w:i w:val="0"/>
                <w:color w:val="0A1628"/>
                <w:sz w:val="17"/>
              </w:rPr>
              <w:t>4,000 MMK</w:t>
            </w:r>
          </w:p>
        </w:tc>
      </w:tr>
      <w:tr>
        <w:trPr>
          <w:cantSplit/>
        </w:trPr>
        <w:tc>
          <w:tcPr>
            <w:tcW w:type="dxa" w:w="2592"/>
            <w:vAlign w:val="center"/>
            <w:tcMar>
              <w:top w:w="75" w:type="dxa"/>
              <w:start w:w="80" w:type="dxa"/>
              <w:bottom w:w="75" w:type="dxa"/>
              <w:end w:w="80" w:type="dxa"/>
            </w:tcMar>
            <w:shd w:fill="F7F9FC"/>
          </w:tcPr>
          <w:p>
            <w:pPr>
              <w:spacing w:after="0" w:line="240" w:lineRule="auto"/>
            </w:pPr>
            <w:r>
              <w:rPr>
                <w:color w:val="0A1628"/>
                <w:sz w:val="17"/>
              </w:rPr>
            </w:r>
            <w:r>
              <w:rPr>
                <w:rFonts w:ascii="Consolas" w:hAnsi="Consolas" w:eastAsia="Consolas"/>
                <w:b w:val="0"/>
                <w:i w:val="0"/>
                <w:color w:val="0A1628"/>
                <w:sz w:val="17"/>
                <w:shd w:fill="EEF2F6"/>
              </w:rPr>
              <w:t>HW_AUNG_MINGALAR</w:t>
            </w:r>
          </w:p>
        </w:tc>
        <w:tc>
          <w:tcPr>
            <w:tcW w:type="dxa" w:w="2592"/>
            <w:vAlign w:val="center"/>
            <w:tcMar>
              <w:top w:w="75" w:type="dxa"/>
              <w:start w:w="80" w:type="dxa"/>
              <w:bottom w:w="75" w:type="dxa"/>
              <w:end w:w="80" w:type="dxa"/>
            </w:tcMar>
            <w:shd w:fill="F7F9FC"/>
          </w:tcPr>
          <w:p>
            <w:pPr>
              <w:spacing w:after="0" w:line="240" w:lineRule="auto"/>
            </w:pPr>
            <w:r>
              <w:rPr>
                <w:color w:val="0A1628"/>
                <w:sz w:val="17"/>
              </w:rPr>
            </w:r>
            <w:r>
              <w:rPr>
                <w:rFonts w:ascii="Aptos" w:hAnsi="Aptos" w:eastAsia="Aptos"/>
                <w:b w:val="0"/>
                <w:i w:val="0"/>
                <w:color w:val="0A1628"/>
                <w:sz w:val="17"/>
              </w:rPr>
              <w:t>North Okkalapa - Aung Mingalar Highway Station Drop Off</w:t>
            </w:r>
          </w:p>
        </w:tc>
        <w:tc>
          <w:tcPr>
            <w:tcW w:type="dxa" w:w="2592"/>
            <w:vAlign w:val="center"/>
            <w:tcMar>
              <w:top w:w="75" w:type="dxa"/>
              <w:start w:w="80" w:type="dxa"/>
              <w:bottom w:w="75" w:type="dxa"/>
              <w:end w:w="80" w:type="dxa"/>
            </w:tcMar>
            <w:shd w:fill="F7F9FC"/>
          </w:tcPr>
          <w:p>
            <w:pPr>
              <w:spacing w:after="0" w:line="240" w:lineRule="auto"/>
            </w:pPr>
            <w:r>
              <w:rPr>
                <w:color w:val="0A1628"/>
                <w:sz w:val="17"/>
              </w:rPr>
            </w:r>
            <w:r>
              <w:rPr>
                <w:rFonts w:ascii="Aptos" w:hAnsi="Aptos" w:eastAsia="Aptos"/>
                <w:b w:val="0"/>
                <w:i w:val="0"/>
                <w:color w:val="0A1628"/>
                <w:sz w:val="17"/>
              </w:rPr>
              <w:t>Aung Mingalar, Aung Mingalar Highway, North Okkalapa Highway Station</w:t>
            </w:r>
          </w:p>
        </w:tc>
        <w:tc>
          <w:tcPr>
            <w:tcW w:type="dxa" w:w="2592"/>
            <w:vAlign w:val="center"/>
            <w:tcMar>
              <w:top w:w="75" w:type="dxa"/>
              <w:start w:w="80" w:type="dxa"/>
              <w:bottom w:w="75" w:type="dxa"/>
              <w:end w:w="80" w:type="dxa"/>
            </w:tcMar>
            <w:shd w:fill="F7F9FC"/>
          </w:tcPr>
          <w:p>
            <w:pPr>
              <w:spacing w:after="0" w:line="240" w:lineRule="auto"/>
              <w:jc w:val="right"/>
            </w:pPr>
            <w:r>
              <w:rPr>
                <w:color w:val="0A1628"/>
                <w:sz w:val="17"/>
              </w:rPr>
            </w:r>
            <w:r>
              <w:rPr>
                <w:rFonts w:ascii="Aptos" w:hAnsi="Aptos" w:eastAsia="Aptos"/>
                <w:b w:val="0"/>
                <w:i w:val="0"/>
                <w:color w:val="0A1628"/>
                <w:sz w:val="17"/>
              </w:rPr>
              <w:t>3,000 MMK</w:t>
            </w:r>
          </w:p>
        </w:tc>
      </w:tr>
      <w:tr>
        <w:trPr>
          <w:cantSplit/>
        </w:trPr>
        <w:tc>
          <w:tcPr>
            <w:tcW w:type="dxa" w:w="2592"/>
            <w:vAlign w:val="center"/>
            <w:tcMar>
              <w:top w:w="75" w:type="dxa"/>
              <w:start w:w="80" w:type="dxa"/>
              <w:bottom w:w="75" w:type="dxa"/>
              <w:end w:w="80" w:type="dxa"/>
            </w:tcMar>
          </w:tcPr>
          <w:p>
            <w:pPr>
              <w:spacing w:after="0" w:line="240" w:lineRule="auto"/>
            </w:pPr>
            <w:r>
              <w:rPr>
                <w:color w:val="0A1628"/>
                <w:sz w:val="17"/>
              </w:rPr>
            </w:r>
            <w:r>
              <w:rPr>
                <w:rFonts w:ascii="Consolas" w:hAnsi="Consolas" w:eastAsia="Consolas"/>
                <w:b w:val="0"/>
                <w:i w:val="0"/>
                <w:color w:val="0A1628"/>
                <w:sz w:val="17"/>
                <w:shd w:fill="EEF2F6"/>
              </w:rPr>
              <w:t>HW_PARAMI</w:t>
            </w:r>
          </w:p>
        </w:tc>
        <w:tc>
          <w:tcPr>
            <w:tcW w:type="dxa" w:w="2592"/>
            <w:vAlign w:val="center"/>
            <w:tcMar>
              <w:top w:w="75" w:type="dxa"/>
              <w:start w:w="80" w:type="dxa"/>
              <w:bottom w:w="75" w:type="dxa"/>
              <w:end w:w="80" w:type="dxa"/>
            </w:tcMar>
          </w:tcPr>
          <w:p>
            <w:pPr>
              <w:spacing w:after="0" w:line="240" w:lineRule="auto"/>
            </w:pPr>
            <w:r>
              <w:rPr>
                <w:color w:val="0A1628"/>
                <w:sz w:val="17"/>
              </w:rPr>
            </w:r>
            <w:r>
              <w:rPr>
                <w:rFonts w:ascii="Aptos" w:hAnsi="Aptos" w:eastAsia="Aptos"/>
                <w:b w:val="0"/>
                <w:i w:val="0"/>
                <w:color w:val="0A1628"/>
                <w:sz w:val="17"/>
              </w:rPr>
              <w:t>Parami Highway Station Drop Off</w:t>
            </w:r>
          </w:p>
        </w:tc>
        <w:tc>
          <w:tcPr>
            <w:tcW w:type="dxa" w:w="2592"/>
            <w:vAlign w:val="center"/>
            <w:tcMar>
              <w:top w:w="75" w:type="dxa"/>
              <w:start w:w="80" w:type="dxa"/>
              <w:bottom w:w="75" w:type="dxa"/>
              <w:end w:w="80" w:type="dxa"/>
            </w:tcMar>
          </w:tcPr>
          <w:p>
            <w:pPr>
              <w:spacing w:after="0" w:line="240" w:lineRule="auto"/>
            </w:pPr>
            <w:r>
              <w:rPr>
                <w:color w:val="0A1628"/>
                <w:sz w:val="17"/>
              </w:rPr>
            </w:r>
            <w:r>
              <w:rPr>
                <w:rFonts w:ascii="Aptos" w:hAnsi="Aptos" w:eastAsia="Aptos"/>
                <w:b w:val="0"/>
                <w:i w:val="0"/>
                <w:color w:val="0A1628"/>
                <w:sz w:val="17"/>
              </w:rPr>
              <w:t>Parami Bus Compound, Parami Highway Station</w:t>
            </w:r>
          </w:p>
        </w:tc>
        <w:tc>
          <w:tcPr>
            <w:tcW w:type="dxa" w:w="2592"/>
            <w:vAlign w:val="center"/>
            <w:tcMar>
              <w:top w:w="75" w:type="dxa"/>
              <w:start w:w="80" w:type="dxa"/>
              <w:bottom w:w="75" w:type="dxa"/>
              <w:end w:w="80" w:type="dxa"/>
            </w:tcMar>
          </w:tcPr>
          <w:p>
            <w:pPr>
              <w:spacing w:after="0" w:line="240" w:lineRule="auto"/>
              <w:jc w:val="right"/>
            </w:pPr>
            <w:r>
              <w:rPr>
                <w:color w:val="0A1628"/>
                <w:sz w:val="17"/>
              </w:rPr>
            </w:r>
            <w:r>
              <w:rPr>
                <w:rFonts w:ascii="Aptos" w:hAnsi="Aptos" w:eastAsia="Aptos"/>
                <w:b w:val="0"/>
                <w:i w:val="0"/>
                <w:color w:val="0A1628"/>
                <w:sz w:val="17"/>
              </w:rPr>
              <w:t>3,000 MMK</w:t>
            </w:r>
          </w:p>
        </w:tc>
      </w:tr>
    </w:tbl>
    <w:p>
      <w:pPr>
        <w:spacing w:after="0"/>
      </w:pPr>
    </w:p>
    <w:p>
      <w:pPr>
        <w:pStyle w:val="Heading4"/>
        <w:keepNext/>
      </w:pPr>
      <w:r>
        <w:rPr>
          <w:rFonts w:ascii="Aptos" w:hAnsi="Aptos" w:eastAsia="Aptos"/>
          <w:b w:val="0"/>
          <w:i w:val="0"/>
          <w:color w:val="0A1628"/>
          <w:sz w:val="20"/>
        </w:rPr>
        <w:t>3.3.1 Surcharge calculation</w:t>
      </w:r>
    </w:p>
    <w:p>
      <w:r>
        <w:rPr>
          <w:rFonts w:ascii="Aptos" w:hAnsi="Aptos" w:eastAsia="Aptos"/>
          <w:b w:val="0"/>
          <w:i w:val="0"/>
          <w:color w:val="0A1628"/>
          <w:sz w:val="20"/>
        </w:rPr>
        <w:t>The base rate changes by station, but all surcharge and customer-tier rules remain the same as the active Britium tariff master:</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chargeable_weight_kg = CEILING(actual_weight_kg)</w:t>
              <w:br/>
              <w:t>extra_kg = MAX(0, chargeable_weight_kg - included_kg)</w:t>
              <w:br/>
              <w:t>weight_surcharge = extra_kg x extra_per_kg_mmk</w:t>
              <w:br/>
              <w:br/>
              <w:t>gross_highway_dropoff_charge</w:t>
              <w:br/>
              <w:t>= station_base_rate</w:t>
              <w:br/>
              <w:t>+ weight_surcharge</w:t>
              <w:br/>
              <w:t>+ cbm_surcharge</w:t>
              <w:br/>
              <w:t>+ other_approved_surcharge</w:t>
              <w:br/>
              <w:br/>
              <w:t>net_highway_dropoff_charge</w:t>
              <w:br/>
              <w:t>= MAX(0, gross_highway_dropoff_charge - applicable_commitment_refund)</w:t>
            </w:r>
          </w:p>
        </w:tc>
      </w:tr>
    </w:tbl>
    <w:p>
      <w:pPr>
        <w:spacing w:after="0"/>
      </w:pPr>
    </w:p>
    <w:p>
      <w:r>
        <w:rPr>
          <w:rFonts w:ascii="Aptos" w:hAnsi="Aptos" w:eastAsia="Aptos"/>
          <w:b w:val="0"/>
          <w:i w:val="0"/>
          <w:color w:val="0A1628"/>
          <w:sz w:val="20"/>
        </w:rPr>
        <w:t>Unless a later effective-dated rate overrides it:</w:t>
      </w:r>
    </w:p>
    <w:p>
      <w:pPr>
        <w:pStyle w:val="ListBullet"/>
        <w:ind w:left="0"/>
      </w:pPr>
      <w:r>
        <w:rPr>
          <w:rFonts w:ascii="Aptos" w:hAnsi="Aptos" w:eastAsia="Aptos"/>
          <w:b w:val="0"/>
          <w:i w:val="0"/>
          <w:color w:val="0A1628"/>
          <w:sz w:val="20"/>
        </w:rPr>
        <w:t>Standard includes 3 kg.</w:t>
      </w:r>
    </w:p>
    <w:p>
      <w:pPr>
        <w:pStyle w:val="ListBullet"/>
        <w:ind w:left="0"/>
      </w:pPr>
      <w:r>
        <w:rPr>
          <w:rFonts w:ascii="Aptos" w:hAnsi="Aptos" w:eastAsia="Aptos"/>
          <w:b w:val="0"/>
          <w:i w:val="0"/>
          <w:color w:val="0A1628"/>
          <w:sz w:val="20"/>
        </w:rPr>
        <w:t>Royal includes 5 kg.</w:t>
      </w:r>
    </w:p>
    <w:p>
      <w:pPr>
        <w:pStyle w:val="ListBullet"/>
        <w:ind w:left="0"/>
      </w:pPr>
      <w:r>
        <w:rPr>
          <w:rFonts w:ascii="Aptos" w:hAnsi="Aptos" w:eastAsia="Aptos"/>
          <w:b w:val="0"/>
          <w:i w:val="0"/>
          <w:color w:val="0A1628"/>
          <w:sz w:val="20"/>
        </w:rPr>
        <w:t>Commitment includes 5 kg.</w:t>
      </w:r>
    </w:p>
    <w:p>
      <w:pPr>
        <w:pStyle w:val="ListBullet"/>
        <w:ind w:left="0"/>
      </w:pPr>
      <w:r>
        <w:rPr>
          <w:rFonts w:ascii="Aptos" w:hAnsi="Aptos" w:eastAsia="Aptos"/>
          <w:b w:val="0"/>
          <w:i w:val="0"/>
          <w:color w:val="0A1628"/>
          <w:sz w:val="20"/>
        </w:rPr>
        <w:t>Extra weight is 500 MMK per chargeable kilogram.</w:t>
      </w:r>
    </w:p>
    <w:p>
      <w:pPr>
        <w:pStyle w:val="ListBullet"/>
        <w:ind w:left="0"/>
      </w:pPr>
      <w:r>
        <w:rPr>
          <w:rFonts w:ascii="Aptos" w:hAnsi="Aptos" w:eastAsia="Aptos"/>
          <w:b w:val="0"/>
          <w:i w:val="0"/>
          <w:color w:val="0A1628"/>
          <w:sz w:val="20"/>
        </w:rPr>
        <w:t>The existing Commitment qualification and refund rule continues to apply.</w:t>
      </w:r>
    </w:p>
    <w:p>
      <w:pPr>
        <w:pStyle w:val="ListBullet"/>
        <w:ind w:left="0"/>
      </w:pPr>
      <w:r>
        <w:rPr>
          <w:rFonts w:ascii="Aptos" w:hAnsi="Aptos" w:eastAsia="Aptos"/>
          <w:b w:val="0"/>
          <w:i w:val="0"/>
          <w:color w:val="0A1628"/>
          <w:sz w:val="20"/>
        </w:rPr>
        <w:t>CBM and other surcharges use the same approval, ownership, and audit rules as other Britium delivery products.</w:t>
      </w:r>
    </w:p>
    <w:p>
      <w:pPr>
        <w:pStyle w:val="Heading4"/>
        <w:keepNext/>
      </w:pPr>
      <w:r>
        <w:rPr>
          <w:rFonts w:ascii="Aptos" w:hAnsi="Aptos" w:eastAsia="Aptos"/>
          <w:b w:val="0"/>
          <w:i w:val="0"/>
          <w:color w:val="0A1628"/>
          <w:sz w:val="20"/>
        </w:rPr>
        <w:t>3.3.2 Collection and merchant settlement</w:t>
      </w:r>
    </w:p>
    <w:p>
      <w:r>
        <w:rPr>
          <w:rFonts w:ascii="Aptos" w:hAnsi="Aptos" w:eastAsia="Aptos"/>
          <w:b w:val="0"/>
          <w:i w:val="0"/>
          <w:color w:val="0A1628"/>
          <w:sz w:val="20"/>
        </w:rPr>
        <w:t>The station tariff is Britium's internal system delivery charge for this service product. Customer collection still follows the selected amount-entry type and merchant-declared amount. Therefore:</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delivery_difference</w:t>
              <w:br/>
              <w:t>= effective_merchant_declared_delivery_charge</w:t>
              <w:br/>
              <w:t>- net_highway_dropoff_charge</w:t>
            </w:r>
          </w:p>
        </w:tc>
      </w:tr>
    </w:tbl>
    <w:p>
      <w:pPr>
        <w:spacing w:after="0"/>
      </w:pPr>
    </w:p>
    <w:p>
      <w:r>
        <w:rPr>
          <w:rFonts w:ascii="Aptos" w:hAnsi="Aptos" w:eastAsia="Aptos"/>
          <w:b w:val="0"/>
          <w:i w:val="0"/>
          <w:color w:val="0A1628"/>
          <w:sz w:val="20"/>
        </w:rPr>
        <w:t>A customer must not be charged an unapproved difference merely because the merchant declared less than the station tariff. Shortages are deducted from merchant settlement and excess amounts are credited to the merchant under the existing rules.</w:t>
      </w:r>
    </w:p>
    <w:p>
      <w:pPr>
        <w:pStyle w:val="Heading4"/>
        <w:keepNext/>
      </w:pPr>
      <w:r>
        <w:rPr>
          <w:rFonts w:ascii="Aptos" w:hAnsi="Aptos" w:eastAsia="Aptos"/>
          <w:b w:val="0"/>
          <w:i w:val="0"/>
          <w:color w:val="0A1628"/>
          <w:sz w:val="20"/>
        </w:rPr>
        <w:t>3.3.3 Data Entry and routing requirements</w:t>
      </w:r>
    </w:p>
    <w:p>
      <w:r>
        <w:rPr>
          <w:rFonts w:ascii="Aptos" w:hAnsi="Aptos" w:eastAsia="Aptos"/>
          <w:b w:val="0"/>
          <w:i w:val="0"/>
          <w:color w:val="0A1628"/>
          <w:sz w:val="20"/>
        </w:rPr>
        <w:t xml:space="preserve">For </w:t>
      </w:r>
      <w:r>
        <w:rPr>
          <w:rFonts w:ascii="Consolas" w:hAnsi="Consolas" w:eastAsia="Consolas"/>
          <w:b w:val="0"/>
          <w:i w:val="0"/>
          <w:color w:val="0A1628"/>
          <w:sz w:val="17"/>
          <w:shd w:fill="EEF2F6"/>
        </w:rPr>
        <w:t>HIGHWAY_STATION_DROP_OFF</w:t>
      </w:r>
      <w:r>
        <w:rPr>
          <w:rFonts w:ascii="Aptos" w:hAnsi="Aptos" w:eastAsia="Aptos"/>
          <w:b w:val="0"/>
          <w:i w:val="0"/>
          <w:color w:val="0A1628"/>
          <w:sz w:val="20"/>
        </w:rPr>
        <w:t>, Data Entry must require:</w:t>
      </w:r>
    </w:p>
    <w:p>
      <w:pPr>
        <w:pStyle w:val="ListBullet"/>
        <w:ind w:left="0"/>
      </w:pPr>
      <w:r>
        <w:rPr>
          <w:rFonts w:ascii="Aptos" w:hAnsi="Aptos" w:eastAsia="Aptos"/>
          <w:b w:val="0"/>
          <w:i w:val="0"/>
          <w:color w:val="0A1628"/>
          <w:sz w:val="20"/>
        </w:rPr>
        <w:t>Highway station code.</w:t>
      </w:r>
    </w:p>
    <w:p>
      <w:pPr>
        <w:pStyle w:val="ListBullet"/>
        <w:ind w:left="0"/>
      </w:pPr>
      <w:r>
        <w:rPr>
          <w:rFonts w:ascii="Aptos" w:hAnsi="Aptos" w:eastAsia="Aptos"/>
          <w:b w:val="0"/>
          <w:i w:val="0"/>
          <w:color w:val="0A1628"/>
          <w:sz w:val="20"/>
        </w:rPr>
        <w:t>Parcel weight and CBM, when applicable.</w:t>
      </w:r>
    </w:p>
    <w:p>
      <w:pPr>
        <w:pStyle w:val="ListBullet"/>
        <w:ind w:left="0"/>
      </w:pPr>
      <w:r>
        <w:rPr>
          <w:rFonts w:ascii="Aptos" w:hAnsi="Aptos" w:eastAsia="Aptos"/>
          <w:b w:val="0"/>
          <w:i w:val="0"/>
          <w:color w:val="0A1628"/>
          <w:sz w:val="20"/>
        </w:rPr>
        <w:t>Merchant collection instruction.</w:t>
      </w:r>
    </w:p>
    <w:p>
      <w:pPr>
        <w:pStyle w:val="ListBullet"/>
        <w:ind w:left="0"/>
      </w:pPr>
      <w:r>
        <w:rPr>
          <w:rFonts w:ascii="Aptos" w:hAnsi="Aptos" w:eastAsia="Aptos"/>
          <w:b w:val="0"/>
          <w:i w:val="0"/>
          <w:color w:val="0A1628"/>
          <w:sz w:val="20"/>
        </w:rPr>
        <w:t>Handover date and station acceptance status.</w:t>
      </w:r>
    </w:p>
    <w:p>
      <w:pPr>
        <w:pStyle w:val="ListBullet"/>
        <w:ind w:left="0"/>
      </w:pPr>
      <w:r>
        <w:rPr>
          <w:rFonts w:ascii="Aptos" w:hAnsi="Aptos" w:eastAsia="Aptos"/>
          <w:b w:val="0"/>
          <w:i w:val="0"/>
          <w:color w:val="0A1628"/>
          <w:sz w:val="20"/>
        </w:rPr>
        <w:t>Manifest or handover reference when the parcel continues by highway carrier.</w:t>
      </w:r>
    </w:p>
    <w:p>
      <w:r>
        <w:rPr>
          <w:rFonts w:ascii="Aptos" w:hAnsi="Aptos" w:eastAsia="Aptos"/>
          <w:b w:val="0"/>
          <w:i w:val="0"/>
          <w:color w:val="0A1628"/>
          <w:sz w:val="20"/>
        </w:rPr>
        <w:t>The backend must resolve the station base rate from an effective-dated tariff row and must reject an unknown station code with:</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validation_status = ERROR</w:t>
              <w:br/>
              <w:t>exception_code = HIGHWAY_STATION_RATE_NOT_FOUND</w:t>
            </w:r>
          </w:p>
        </w:tc>
      </w:tr>
    </w:tbl>
    <w:p>
      <w:pPr>
        <w:spacing w:after="0"/>
      </w:pPr>
    </w:p>
    <w:p>
      <w:r>
        <w:rPr>
          <w:rFonts w:ascii="Aptos" w:hAnsi="Aptos" w:eastAsia="Aptos"/>
          <w:b w:val="0"/>
          <w:i w:val="0"/>
          <w:color w:val="0A1628"/>
          <w:sz w:val="20"/>
        </w:rPr>
        <w:t>The printed waybill and station manifest must show the selected station name and the backend-calculated total amount to collect.</w:t>
      </w:r>
    </w:p>
    <w:p>
      <w:pPr>
        <w:pStyle w:val="Heading4"/>
        <w:keepNext/>
      </w:pPr>
      <w:r>
        <w:rPr>
          <w:rFonts w:ascii="Aptos" w:hAnsi="Aptos" w:eastAsia="Aptos"/>
          <w:b w:val="0"/>
          <w:i w:val="0"/>
          <w:color w:val="0A1628"/>
          <w:sz w:val="20"/>
        </w:rPr>
        <w:t>3.3.4 Financial separation</w:t>
      </w:r>
    </w:p>
    <w:p>
      <w:r>
        <w:rPr>
          <w:rFonts w:ascii="Aptos" w:hAnsi="Aptos" w:eastAsia="Aptos"/>
          <w:b w:val="0"/>
          <w:i w:val="0"/>
          <w:color w:val="0A1628"/>
          <w:sz w:val="20"/>
        </w:rPr>
        <w:t>The station customer tariff is not automatically the cost paid to a bus operator, station, branch, or third party. Any highway transportation, handling, loading, unloading, or provider fee must be recorded separately as a line-haul or partner cost.</w:t>
      </w:r>
    </w:p>
    <w:p>
      <w:r>
        <w:rPr>
          <w:rFonts w:ascii="Aptos" w:hAnsi="Aptos" w:eastAsia="Aptos"/>
          <w:b w:val="0"/>
          <w:i w:val="0"/>
          <w:color w:val="0A1628"/>
          <w:sz w:val="20"/>
        </w:rPr>
        <w:t>The system must preserve these independent values:</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customer_facing_delivery_charge</w:t>
              <w:br/>
              <w:t>britium_station_tariff</w:t>
              <w:br/>
              <w:t>highway_transport_cost</w:t>
              <w:br/>
              <w:t>station_or_provider_handling_cost</w:t>
              <w:br/>
              <w:t>merchant_settlement</w:t>
              <w:br/>
              <w:t>company_fulfillment_margin</w:t>
            </w:r>
          </w:p>
        </w:tc>
      </w:tr>
    </w:tbl>
    <w:p>
      <w:pPr>
        <w:spacing w:after="0"/>
      </w:pPr>
    </w:p>
    <w:p>
      <w:r>
        <w:rPr>
          <w:rFonts w:ascii="Aptos" w:hAnsi="Aptos" w:eastAsia="Aptos"/>
          <w:b w:val="0"/>
          <w:i w:val="0"/>
          <w:color w:val="0A1628"/>
          <w:sz w:val="20"/>
        </w:rPr>
        <w:t>Historical Ways retain the station-rate snapshot applied at creation. Later station-rate changes must not recalculate settled Ways.</w:t>
      </w:r>
    </w:p>
    <w:p>
      <w:pPr>
        <w:pStyle w:val="Heading3"/>
        <w:keepNext/>
      </w:pPr>
      <w:r>
        <w:rPr>
          <w:rFonts w:ascii="Aptos" w:hAnsi="Aptos" w:eastAsia="Aptos"/>
          <w:b w:val="0"/>
          <w:i w:val="0"/>
          <w:color w:val="0A1628"/>
          <w:sz w:val="20"/>
        </w:rPr>
        <w:t>3.4 Supported amount-entry types</w:t>
      </w:r>
    </w:p>
    <w:tbl>
      <w:tblPr>
        <w:tblW w:type="pct" w:w="5000"/>
        <w:jc w:val="center"/>
        <w:tblLayout w:type="autofit"/>
        <w:tblLook w:firstColumn="1" w:firstRow="1" w:lastColumn="0" w:lastRow="0" w:noHBand="0" w:noVBand="1" w:val="04A0"/>
        <w:tblBorders>
          <w:top w:val="single" w:sz="4" w:color="B8C4D1"/>
          <w:start w:val="single" w:sz="4" w:color="B8C4D1"/>
          <w:bottom w:val="single" w:sz="4" w:color="B8C4D1"/>
          <w:end w:val="single" w:sz="4" w:color="B8C4D1"/>
          <w:insideH w:val="single" w:sz="4" w:color="B8C4D1"/>
          <w:insideV w:val="single" w:sz="4" w:color="B8C4D1"/>
        </w:tblBorders>
      </w:tblPr>
      <w:tblGrid>
        <w:gridCol w:w="3456"/>
        <w:gridCol w:w="3456"/>
        <w:gridCol w:w="3456"/>
      </w:tblGrid>
      <w:tr>
        <w:trPr>
          <w:tblHeader w:val="true"/>
          <w:cantSplit/>
        </w:trPr>
        <w:tc>
          <w:tcPr>
            <w:tcW w:type="dxa" w:w="3456"/>
            <w:vAlign w:val="center"/>
            <w:tcMar>
              <w:top w:w="75" w:type="dxa"/>
              <w:start w:w="80" w:type="dxa"/>
              <w:bottom w:w="75" w:type="dxa"/>
              <w:end w:w="80" w:type="dxa"/>
            </w:tcMar>
            <w:shd w:fill="17365D"/>
          </w:tcPr>
          <w:p>
            <w:pPr>
              <w:spacing w:after="0" w:line="240" w:lineRule="auto"/>
            </w:pPr>
            <w:r>
              <w:rPr>
                <w:b/>
                <w:color w:val="FFFFFF"/>
                <w:sz w:val="17"/>
              </w:rPr>
            </w:r>
            <w:r>
              <w:rPr>
                <w:rFonts w:ascii="Aptos" w:hAnsi="Aptos" w:eastAsia="Aptos"/>
                <w:b/>
                <w:i w:val="0"/>
                <w:color w:val="FFFFFF"/>
                <w:sz w:val="17"/>
              </w:rPr>
              <w:t>Code</w:t>
            </w:r>
          </w:p>
        </w:tc>
        <w:tc>
          <w:tcPr>
            <w:tcW w:type="dxa" w:w="3456"/>
            <w:vAlign w:val="center"/>
            <w:tcMar>
              <w:top w:w="75" w:type="dxa"/>
              <w:start w:w="80" w:type="dxa"/>
              <w:bottom w:w="75" w:type="dxa"/>
              <w:end w:w="80" w:type="dxa"/>
            </w:tcMar>
            <w:shd w:fill="17365D"/>
          </w:tcPr>
          <w:p>
            <w:pPr>
              <w:spacing w:after="0" w:line="240" w:lineRule="auto"/>
            </w:pPr>
            <w:r>
              <w:rPr>
                <w:b/>
                <w:color w:val="FFFFFF"/>
                <w:sz w:val="17"/>
              </w:rPr>
            </w:r>
            <w:r>
              <w:rPr>
                <w:rFonts w:ascii="Aptos" w:hAnsi="Aptos" w:eastAsia="Aptos"/>
                <w:b/>
                <w:i w:val="0"/>
                <w:color w:val="FFFFFF"/>
                <w:sz w:val="17"/>
              </w:rPr>
              <w:t>Business use</w:t>
            </w:r>
          </w:p>
        </w:tc>
        <w:tc>
          <w:tcPr>
            <w:tcW w:type="dxa" w:w="3456"/>
            <w:vAlign w:val="center"/>
            <w:tcMar>
              <w:top w:w="75" w:type="dxa"/>
              <w:start w:w="80" w:type="dxa"/>
              <w:bottom w:w="75" w:type="dxa"/>
              <w:end w:w="80" w:type="dxa"/>
            </w:tcMar>
            <w:shd w:fill="17365D"/>
          </w:tcPr>
          <w:p>
            <w:pPr>
              <w:spacing w:after="0" w:line="240" w:lineRule="auto"/>
            </w:pPr>
            <w:r>
              <w:rPr>
                <w:b/>
                <w:color w:val="FFFFFF"/>
                <w:sz w:val="17"/>
              </w:rPr>
            </w:r>
            <w:r>
              <w:rPr>
                <w:rFonts w:ascii="Aptos" w:hAnsi="Aptos" w:eastAsia="Aptos"/>
                <w:b/>
                <w:i w:val="0"/>
                <w:color w:val="FFFFFF"/>
                <w:sz w:val="17"/>
              </w:rPr>
              <w:t>Customer collection formula</w:t>
            </w:r>
          </w:p>
        </w:tc>
      </w:tr>
      <w:tr>
        <w:trPr>
          <w:cantSplit/>
        </w:trPr>
        <w:tc>
          <w:tcPr>
            <w:tcW w:type="dxa" w:w="3456"/>
            <w:vAlign w:val="center"/>
            <w:tcMar>
              <w:top w:w="75" w:type="dxa"/>
              <w:start w:w="80" w:type="dxa"/>
              <w:bottom w:w="75" w:type="dxa"/>
              <w:end w:w="80" w:type="dxa"/>
            </w:tcMar>
          </w:tcPr>
          <w:p>
            <w:pPr>
              <w:spacing w:after="0" w:line="240" w:lineRule="auto"/>
            </w:pPr>
            <w:r>
              <w:rPr>
                <w:color w:val="0A1628"/>
                <w:sz w:val="17"/>
              </w:rPr>
            </w:r>
            <w:r>
              <w:rPr>
                <w:rFonts w:ascii="Consolas" w:hAnsi="Consolas" w:eastAsia="Consolas"/>
                <w:b w:val="0"/>
                <w:i w:val="0"/>
                <w:color w:val="0A1628"/>
                <w:sz w:val="17"/>
                <w:shd w:fill="EEF2F6"/>
              </w:rPr>
              <w:t>ITEM_PRICE_PLUS_DECLARED_DELIVERY</w:t>
            </w:r>
          </w:p>
        </w:tc>
        <w:tc>
          <w:tcPr>
            <w:tcW w:type="dxa" w:w="3456"/>
            <w:vAlign w:val="center"/>
            <w:tcMar>
              <w:top w:w="75" w:type="dxa"/>
              <w:start w:w="80" w:type="dxa"/>
              <w:bottom w:w="75" w:type="dxa"/>
              <w:end w:w="80" w:type="dxa"/>
            </w:tcMar>
          </w:tcPr>
          <w:p>
            <w:pPr>
              <w:spacing w:after="0" w:line="240" w:lineRule="auto"/>
            </w:pPr>
            <w:r>
              <w:rPr>
                <w:color w:val="0A1628"/>
                <w:sz w:val="17"/>
              </w:rPr>
            </w:r>
            <w:r>
              <w:rPr>
                <w:rFonts w:ascii="Aptos" w:hAnsi="Aptos" w:eastAsia="Aptos"/>
                <w:b w:val="0"/>
                <w:i w:val="0"/>
                <w:color w:val="0A1628"/>
                <w:sz w:val="17"/>
              </w:rPr>
              <w:t>Item and delivery stated separately</w:t>
            </w:r>
          </w:p>
        </w:tc>
        <w:tc>
          <w:tcPr>
            <w:tcW w:type="dxa" w:w="3456"/>
            <w:vAlign w:val="center"/>
            <w:tcMar>
              <w:top w:w="75" w:type="dxa"/>
              <w:start w:w="80" w:type="dxa"/>
              <w:bottom w:w="75" w:type="dxa"/>
              <w:end w:w="80" w:type="dxa"/>
            </w:tcMar>
          </w:tcPr>
          <w:p>
            <w:pPr>
              <w:spacing w:after="0" w:line="240" w:lineRule="auto"/>
            </w:pPr>
            <w:r>
              <w:rPr>
                <w:color w:val="0A1628"/>
                <w:sz w:val="17"/>
              </w:rPr>
            </w:r>
            <w:r>
              <w:rPr>
                <w:rFonts w:ascii="Aptos" w:hAnsi="Aptos" w:eastAsia="Aptos"/>
                <w:b w:val="0"/>
                <w:i w:val="0"/>
                <w:color w:val="0A1628"/>
                <w:sz w:val="17"/>
              </w:rPr>
              <w:t>Item price + declared delivery + customer-payable additions</w:t>
            </w:r>
          </w:p>
        </w:tc>
      </w:tr>
      <w:tr>
        <w:trPr>
          <w:cantSplit/>
        </w:trPr>
        <w:tc>
          <w:tcPr>
            <w:tcW w:type="dxa" w:w="3456"/>
            <w:vAlign w:val="center"/>
            <w:tcMar>
              <w:top w:w="75" w:type="dxa"/>
              <w:start w:w="80" w:type="dxa"/>
              <w:bottom w:w="75" w:type="dxa"/>
              <w:end w:w="80" w:type="dxa"/>
            </w:tcMar>
            <w:shd w:fill="F7F9FC"/>
          </w:tcPr>
          <w:p>
            <w:pPr>
              <w:spacing w:after="0" w:line="240" w:lineRule="auto"/>
            </w:pPr>
            <w:r>
              <w:rPr>
                <w:color w:val="0A1628"/>
                <w:sz w:val="17"/>
              </w:rPr>
            </w:r>
            <w:r>
              <w:rPr>
                <w:rFonts w:ascii="Consolas" w:hAnsi="Consolas" w:eastAsia="Consolas"/>
                <w:b w:val="0"/>
                <w:i w:val="0"/>
                <w:color w:val="0A1628"/>
                <w:sz w:val="17"/>
                <w:shd w:fill="EEF2F6"/>
              </w:rPr>
              <w:t>TOTAL_AMOUNT_INCLUDING_DELIVERY</w:t>
            </w:r>
          </w:p>
        </w:tc>
        <w:tc>
          <w:tcPr>
            <w:tcW w:type="dxa" w:w="3456"/>
            <w:vAlign w:val="center"/>
            <w:tcMar>
              <w:top w:w="75" w:type="dxa"/>
              <w:start w:w="80" w:type="dxa"/>
              <w:bottom w:w="75" w:type="dxa"/>
              <w:end w:w="80" w:type="dxa"/>
            </w:tcMar>
            <w:shd w:fill="F7F9FC"/>
          </w:tcPr>
          <w:p>
            <w:pPr>
              <w:spacing w:after="0" w:line="240" w:lineRule="auto"/>
            </w:pPr>
            <w:r>
              <w:rPr>
                <w:color w:val="0A1628"/>
                <w:sz w:val="17"/>
              </w:rPr>
            </w:r>
            <w:r>
              <w:rPr>
                <w:rFonts w:ascii="Aptos" w:hAnsi="Aptos" w:eastAsia="Aptos"/>
                <w:b w:val="0"/>
                <w:i w:val="0"/>
                <w:color w:val="0A1628"/>
                <w:sz w:val="17"/>
              </w:rPr>
              <w:t>One total stated including delivery</w:t>
            </w:r>
          </w:p>
        </w:tc>
        <w:tc>
          <w:tcPr>
            <w:tcW w:type="dxa" w:w="3456"/>
            <w:vAlign w:val="center"/>
            <w:tcMar>
              <w:top w:w="75" w:type="dxa"/>
              <w:start w:w="80" w:type="dxa"/>
              <w:bottom w:w="75" w:type="dxa"/>
              <w:end w:w="80" w:type="dxa"/>
            </w:tcMar>
            <w:shd w:fill="F7F9FC"/>
          </w:tcPr>
          <w:p>
            <w:pPr>
              <w:spacing w:after="0" w:line="240" w:lineRule="auto"/>
            </w:pPr>
            <w:r>
              <w:rPr>
                <w:color w:val="0A1628"/>
                <w:sz w:val="17"/>
              </w:rPr>
            </w:r>
            <w:r>
              <w:rPr>
                <w:rFonts w:ascii="Aptos" w:hAnsi="Aptos" w:eastAsia="Aptos"/>
                <w:b w:val="0"/>
                <w:i w:val="0"/>
                <w:color w:val="0A1628"/>
                <w:sz w:val="17"/>
              </w:rPr>
              <w:t>Merchant-stated total</w:t>
            </w:r>
          </w:p>
        </w:tc>
      </w:tr>
      <w:tr>
        <w:trPr>
          <w:cantSplit/>
        </w:trPr>
        <w:tc>
          <w:tcPr>
            <w:tcW w:type="dxa" w:w="3456"/>
            <w:vAlign w:val="center"/>
            <w:tcMar>
              <w:top w:w="75" w:type="dxa"/>
              <w:start w:w="80" w:type="dxa"/>
              <w:bottom w:w="75" w:type="dxa"/>
              <w:end w:w="80" w:type="dxa"/>
            </w:tcMar>
          </w:tcPr>
          <w:p>
            <w:pPr>
              <w:spacing w:after="0" w:line="240" w:lineRule="auto"/>
            </w:pPr>
            <w:r>
              <w:rPr>
                <w:color w:val="0A1628"/>
                <w:sz w:val="17"/>
              </w:rPr>
            </w:r>
            <w:r>
              <w:rPr>
                <w:rFonts w:ascii="Consolas" w:hAnsi="Consolas" w:eastAsia="Consolas"/>
                <w:b w:val="0"/>
                <w:i w:val="0"/>
                <w:color w:val="0A1628"/>
                <w:sz w:val="17"/>
                <w:shd w:fill="EEF2F6"/>
              </w:rPr>
              <w:t>DELIVERY_CHARGE_ONLY</w:t>
            </w:r>
          </w:p>
        </w:tc>
        <w:tc>
          <w:tcPr>
            <w:tcW w:type="dxa" w:w="3456"/>
            <w:vAlign w:val="center"/>
            <w:tcMar>
              <w:top w:w="75" w:type="dxa"/>
              <w:start w:w="80" w:type="dxa"/>
              <w:bottom w:w="75" w:type="dxa"/>
              <w:end w:w="80" w:type="dxa"/>
            </w:tcMar>
          </w:tcPr>
          <w:p>
            <w:pPr>
              <w:spacing w:after="0" w:line="240" w:lineRule="auto"/>
            </w:pPr>
            <w:r>
              <w:rPr>
                <w:color w:val="0A1628"/>
                <w:sz w:val="17"/>
              </w:rPr>
            </w:r>
            <w:r>
              <w:rPr>
                <w:rFonts w:ascii="Aptos" w:hAnsi="Aptos" w:eastAsia="Aptos"/>
                <w:b w:val="0"/>
                <w:i w:val="0"/>
                <w:color w:val="0A1628"/>
                <w:sz w:val="17"/>
              </w:rPr>
              <w:t>No item COD; collect delivery only</w:t>
            </w:r>
          </w:p>
        </w:tc>
        <w:tc>
          <w:tcPr>
            <w:tcW w:type="dxa" w:w="3456"/>
            <w:vAlign w:val="center"/>
            <w:tcMar>
              <w:top w:w="75" w:type="dxa"/>
              <w:start w:w="80" w:type="dxa"/>
              <w:bottom w:w="75" w:type="dxa"/>
              <w:end w:w="80" w:type="dxa"/>
            </w:tcMar>
          </w:tcPr>
          <w:p>
            <w:pPr>
              <w:spacing w:after="0" w:line="240" w:lineRule="auto"/>
            </w:pPr>
            <w:r>
              <w:rPr>
                <w:color w:val="0A1628"/>
                <w:sz w:val="17"/>
              </w:rPr>
            </w:r>
            <w:r>
              <w:rPr>
                <w:rFonts w:ascii="Aptos" w:hAnsi="Aptos" w:eastAsia="Aptos"/>
                <w:b w:val="0"/>
                <w:i w:val="0"/>
                <w:color w:val="0A1628"/>
                <w:sz w:val="17"/>
              </w:rPr>
              <w:t>Declared delivery + customer-payable additions</w:t>
            </w:r>
          </w:p>
        </w:tc>
      </w:tr>
      <w:tr>
        <w:trPr>
          <w:cantSplit/>
        </w:trPr>
        <w:tc>
          <w:tcPr>
            <w:tcW w:type="dxa" w:w="3456"/>
            <w:vAlign w:val="center"/>
            <w:tcMar>
              <w:top w:w="75" w:type="dxa"/>
              <w:start w:w="80" w:type="dxa"/>
              <w:bottom w:w="75" w:type="dxa"/>
              <w:end w:w="80" w:type="dxa"/>
            </w:tcMar>
            <w:shd w:fill="F7F9FC"/>
          </w:tcPr>
          <w:p>
            <w:pPr>
              <w:spacing w:after="0" w:line="240" w:lineRule="auto"/>
            </w:pPr>
            <w:r>
              <w:rPr>
                <w:color w:val="0A1628"/>
                <w:sz w:val="17"/>
              </w:rPr>
            </w:r>
            <w:r>
              <w:rPr>
                <w:rFonts w:ascii="Consolas" w:hAnsi="Consolas" w:eastAsia="Consolas"/>
                <w:b w:val="0"/>
                <w:i w:val="0"/>
                <w:color w:val="0A1628"/>
                <w:sz w:val="17"/>
                <w:shd w:fill="EEF2F6"/>
              </w:rPr>
              <w:t>EXACT_COLLECTION_AMOUNT</w:t>
            </w:r>
          </w:p>
        </w:tc>
        <w:tc>
          <w:tcPr>
            <w:tcW w:type="dxa" w:w="3456"/>
            <w:vAlign w:val="center"/>
            <w:tcMar>
              <w:top w:w="75" w:type="dxa"/>
              <w:start w:w="80" w:type="dxa"/>
              <w:bottom w:w="75" w:type="dxa"/>
              <w:end w:w="80" w:type="dxa"/>
            </w:tcMar>
            <w:shd w:fill="F7F9FC"/>
          </w:tcPr>
          <w:p>
            <w:pPr>
              <w:spacing w:after="0" w:line="240" w:lineRule="auto"/>
            </w:pPr>
            <w:r>
              <w:rPr>
                <w:color w:val="0A1628"/>
                <w:sz w:val="17"/>
              </w:rPr>
            </w:r>
            <w:r>
              <w:rPr>
                <w:rFonts w:ascii="Aptos" w:hAnsi="Aptos" w:eastAsia="Aptos"/>
                <w:b w:val="0"/>
                <w:i w:val="0"/>
                <w:color w:val="0A1628"/>
                <w:sz w:val="17"/>
              </w:rPr>
              <w:t>Exact total with no reliable breakdown</w:t>
            </w:r>
          </w:p>
        </w:tc>
        <w:tc>
          <w:tcPr>
            <w:tcW w:type="dxa" w:w="3456"/>
            <w:vAlign w:val="center"/>
            <w:tcMar>
              <w:top w:w="75" w:type="dxa"/>
              <w:start w:w="80" w:type="dxa"/>
              <w:bottom w:w="75" w:type="dxa"/>
              <w:end w:w="80" w:type="dxa"/>
            </w:tcMar>
            <w:shd w:fill="F7F9FC"/>
          </w:tcPr>
          <w:p>
            <w:pPr>
              <w:spacing w:after="0" w:line="240" w:lineRule="auto"/>
            </w:pPr>
            <w:r>
              <w:rPr>
                <w:color w:val="0A1628"/>
                <w:sz w:val="17"/>
              </w:rPr>
            </w:r>
            <w:r>
              <w:rPr>
                <w:rFonts w:ascii="Aptos" w:hAnsi="Aptos" w:eastAsia="Aptos"/>
                <w:b w:val="0"/>
                <w:i w:val="0"/>
                <w:color w:val="0A1628"/>
                <w:sz w:val="17"/>
              </w:rPr>
              <w:t>Merchant-stated total; settlement blocked until breakdown</w:t>
            </w:r>
          </w:p>
        </w:tc>
      </w:tr>
      <w:tr>
        <w:trPr>
          <w:cantSplit/>
        </w:trPr>
        <w:tc>
          <w:tcPr>
            <w:tcW w:type="dxa" w:w="3456"/>
            <w:vAlign w:val="center"/>
            <w:tcMar>
              <w:top w:w="75" w:type="dxa"/>
              <w:start w:w="80" w:type="dxa"/>
              <w:bottom w:w="75" w:type="dxa"/>
              <w:end w:w="80" w:type="dxa"/>
            </w:tcMar>
          </w:tcPr>
          <w:p>
            <w:pPr>
              <w:spacing w:after="0" w:line="240" w:lineRule="auto"/>
            </w:pPr>
            <w:r>
              <w:rPr>
                <w:color w:val="0A1628"/>
                <w:sz w:val="17"/>
              </w:rPr>
            </w:r>
            <w:r>
              <w:rPr>
                <w:rFonts w:ascii="Consolas" w:hAnsi="Consolas" w:eastAsia="Consolas"/>
                <w:b w:val="0"/>
                <w:i w:val="0"/>
                <w:color w:val="0A1628"/>
                <w:sz w:val="17"/>
                <w:shd w:fill="EEF2F6"/>
              </w:rPr>
              <w:t>ITEM_PRICE_ONLY_DELIVERY_PAID_BY_MERCHANT</w:t>
            </w:r>
          </w:p>
        </w:tc>
        <w:tc>
          <w:tcPr>
            <w:tcW w:type="dxa" w:w="3456"/>
            <w:vAlign w:val="center"/>
            <w:tcMar>
              <w:top w:w="75" w:type="dxa"/>
              <w:start w:w="80" w:type="dxa"/>
              <w:bottom w:w="75" w:type="dxa"/>
              <w:end w:w="80" w:type="dxa"/>
            </w:tcMar>
          </w:tcPr>
          <w:p>
            <w:pPr>
              <w:spacing w:after="0" w:line="240" w:lineRule="auto"/>
            </w:pPr>
            <w:r>
              <w:rPr>
                <w:color w:val="0A1628"/>
                <w:sz w:val="17"/>
              </w:rPr>
            </w:r>
            <w:r>
              <w:rPr>
                <w:rFonts w:ascii="Aptos" w:hAnsi="Aptos" w:eastAsia="Aptos"/>
                <w:b w:val="0"/>
                <w:i w:val="0"/>
                <w:color w:val="0A1628"/>
                <w:sz w:val="17"/>
              </w:rPr>
              <w:t>Receiver pays item only; merchant pays delivery</w:t>
            </w:r>
          </w:p>
        </w:tc>
        <w:tc>
          <w:tcPr>
            <w:tcW w:type="dxa" w:w="3456"/>
            <w:vAlign w:val="center"/>
            <w:tcMar>
              <w:top w:w="75" w:type="dxa"/>
              <w:start w:w="80" w:type="dxa"/>
              <w:bottom w:w="75" w:type="dxa"/>
              <w:end w:w="80" w:type="dxa"/>
            </w:tcMar>
          </w:tcPr>
          <w:p>
            <w:pPr>
              <w:spacing w:after="0" w:line="240" w:lineRule="auto"/>
            </w:pPr>
            <w:r>
              <w:rPr>
                <w:color w:val="0A1628"/>
                <w:sz w:val="17"/>
              </w:rPr>
            </w:r>
            <w:r>
              <w:rPr>
                <w:rFonts w:ascii="Aptos" w:hAnsi="Aptos" w:eastAsia="Aptos"/>
                <w:b w:val="0"/>
                <w:i w:val="0"/>
                <w:color w:val="0A1628"/>
                <w:sz w:val="17"/>
              </w:rPr>
              <w:t>Item price + customer-payable additions</w:t>
            </w:r>
          </w:p>
        </w:tc>
      </w:tr>
    </w:tbl>
    <w:p>
      <w:pPr>
        <w:spacing w:after="0"/>
      </w:pPr>
    </w:p>
    <w:p>
      <w:pPr>
        <w:pStyle w:val="Heading3"/>
        <w:keepNext/>
      </w:pPr>
      <w:r>
        <w:rPr>
          <w:rFonts w:ascii="Aptos" w:hAnsi="Aptos" w:eastAsia="Aptos"/>
          <w:b w:val="0"/>
          <w:i w:val="0"/>
          <w:color w:val="0A1628"/>
          <w:sz w:val="20"/>
        </w:rPr>
        <w:t>3.5 Existing-field meaning</w:t>
      </w:r>
    </w:p>
    <w:p>
      <w:pPr>
        <w:pStyle w:val="ListBullet"/>
        <w:ind w:left="0"/>
      </w:pPr>
      <w:r>
        <w:rPr>
          <w:rFonts w:ascii="Consolas" w:hAnsi="Consolas" w:eastAsia="Consolas"/>
          <w:b w:val="0"/>
          <w:i w:val="0"/>
          <w:color w:val="0A1628"/>
          <w:sz w:val="17"/>
          <w:shd w:fill="EEF2F6"/>
        </w:rPr>
        <w:t>delivery_charges</w:t>
      </w:r>
      <w:r>
        <w:rPr>
          <w:rFonts w:ascii="Aptos" w:hAnsi="Aptos" w:eastAsia="Aptos"/>
          <w:b w:val="0"/>
          <w:i w:val="0"/>
          <w:color w:val="0A1628"/>
          <w:sz w:val="20"/>
        </w:rPr>
        <w:t xml:space="preserve"> must store the </w:t>
      </w:r>
      <w:r>
        <w:rPr>
          <w:rFonts w:ascii="Aptos" w:hAnsi="Aptos" w:eastAsia="Aptos"/>
          <w:b/>
          <w:i w:val="0"/>
          <w:color w:val="0A1628"/>
          <w:sz w:val="20"/>
        </w:rPr>
        <w:t>merchant-declared customer-facing delivery charge</w:t>
      </w:r>
      <w:r>
        <w:rPr>
          <w:rFonts w:ascii="Aptos" w:hAnsi="Aptos" w:eastAsia="Aptos"/>
          <w:b w:val="0"/>
          <w:i w:val="0"/>
          <w:color w:val="0A1628"/>
          <w:sz w:val="20"/>
        </w:rPr>
        <w:t>.</w:t>
      </w:r>
    </w:p>
    <w:p>
      <w:pPr>
        <w:pStyle w:val="ListBullet"/>
        <w:ind w:left="0"/>
      </w:pPr>
      <w:r>
        <w:rPr>
          <w:rFonts w:ascii="Consolas" w:hAnsi="Consolas" w:eastAsia="Consolas"/>
          <w:b w:val="0"/>
          <w:i w:val="0"/>
          <w:color w:val="0A1628"/>
          <w:sz w:val="17"/>
          <w:shd w:fill="EEF2F6"/>
        </w:rPr>
        <w:t>cod_amount</w:t>
      </w:r>
      <w:r>
        <w:rPr>
          <w:rFonts w:ascii="Aptos" w:hAnsi="Aptos" w:eastAsia="Aptos"/>
          <w:b w:val="0"/>
          <w:i w:val="0"/>
          <w:color w:val="0A1628"/>
          <w:sz w:val="20"/>
        </w:rPr>
        <w:t xml:space="preserve"> must store the </w:t>
      </w:r>
      <w:r>
        <w:rPr>
          <w:rFonts w:ascii="Aptos" w:hAnsi="Aptos" w:eastAsia="Aptos"/>
          <w:b/>
          <w:i w:val="0"/>
          <w:color w:val="0A1628"/>
          <w:sz w:val="20"/>
        </w:rPr>
        <w:t>backend-calculated total amount to collect from the receiver</w:t>
      </w:r>
      <w:r>
        <w:rPr>
          <w:rFonts w:ascii="Aptos" w:hAnsi="Aptos" w:eastAsia="Aptos"/>
          <w:b w:val="0"/>
          <w:i w:val="0"/>
          <w:color w:val="0A1628"/>
          <w:sz w:val="20"/>
        </w:rPr>
        <w:t>.</w:t>
      </w:r>
    </w:p>
    <w:p>
      <w:pPr>
        <w:pStyle w:val="ListBullet"/>
        <w:ind w:left="0"/>
      </w:pPr>
      <w:r>
        <w:rPr>
          <w:rFonts w:ascii="Consolas" w:hAnsi="Consolas" w:eastAsia="Consolas"/>
          <w:b w:val="0"/>
          <w:i w:val="0"/>
          <w:color w:val="0A1628"/>
          <w:sz w:val="17"/>
          <w:shd w:fill="EEF2F6"/>
        </w:rPr>
        <w:t>net_system_delivery_charge</w:t>
      </w:r>
      <w:r>
        <w:rPr>
          <w:rFonts w:ascii="Aptos" w:hAnsi="Aptos" w:eastAsia="Aptos"/>
          <w:b w:val="0"/>
          <w:i w:val="0"/>
          <w:color w:val="0A1628"/>
          <w:sz w:val="20"/>
        </w:rPr>
        <w:t xml:space="preserve"> must store Britium's internal delivery entitlement.</w:t>
      </w:r>
    </w:p>
    <w:p>
      <w:pPr>
        <w:pStyle w:val="ListBullet"/>
        <w:ind w:left="0"/>
      </w:pPr>
      <w:r>
        <w:rPr>
          <w:rFonts w:ascii="Aptos" w:hAnsi="Aptos" w:eastAsia="Aptos"/>
          <w:b w:val="0"/>
          <w:i w:val="0"/>
          <w:color w:val="0A1628"/>
          <w:sz w:val="20"/>
        </w:rPr>
        <w:t>These values must not overwrite one another.</w:t>
      </w:r>
    </w:p>
    <w:p>
      <w:pPr>
        <w:pStyle w:val="Heading3"/>
        <w:keepNext/>
      </w:pPr>
      <w:r>
        <w:rPr>
          <w:rFonts w:ascii="Aptos" w:hAnsi="Aptos" w:eastAsia="Aptos"/>
          <w:b w:val="0"/>
          <w:i w:val="0"/>
          <w:color w:val="0A1628"/>
          <w:sz w:val="20"/>
        </w:rPr>
        <w:t>3.6 Collection formulas</w:t>
      </w:r>
    </w:p>
    <w:p>
      <w:pPr>
        <w:pStyle w:val="Heading4"/>
        <w:keepNext/>
      </w:pPr>
      <w:r>
        <w:rPr>
          <w:rFonts w:ascii="Aptos" w:hAnsi="Aptos" w:eastAsia="Aptos"/>
          <w:b w:val="0"/>
          <w:i w:val="0"/>
          <w:color w:val="0A1628"/>
          <w:sz w:val="20"/>
        </w:rPr>
        <w:t>Item price plus declared delivery</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customer_total_collection</w:t>
              <w:br/>
              <w:t>= item_price</w:t>
              <w:br/>
              <w:t>+ merchant_declared_delivery_charge</w:t>
              <w:br/>
              <w:t>+ additional_customer_charge</w:t>
            </w:r>
          </w:p>
        </w:tc>
      </w:tr>
    </w:tbl>
    <w:p>
      <w:pPr>
        <w:spacing w:after="0"/>
      </w:pPr>
    </w:p>
    <w:p>
      <w:pPr>
        <w:pStyle w:val="Heading4"/>
        <w:keepNext/>
      </w:pPr>
      <w:r>
        <w:rPr>
          <w:rFonts w:ascii="Aptos" w:hAnsi="Aptos" w:eastAsia="Aptos"/>
          <w:b w:val="0"/>
          <w:i w:val="0"/>
          <w:color w:val="0A1628"/>
          <w:sz w:val="20"/>
        </w:rPr>
        <w:t>Total amount including delivery</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customer_total_collection = merchant_stated_total_amount</w:t>
              <w:br/>
              <w:br/>
              <w:t>effective_declared_delivery_charge</w:t>
              <w:br/>
              <w:t>= merchant_stated_total_amount</w:t>
              <w:br/>
              <w:t>- item_price</w:t>
              <w:br/>
              <w:t>- additional_customer_charge</w:t>
            </w:r>
          </w:p>
        </w:tc>
      </w:tr>
    </w:tbl>
    <w:p>
      <w:pPr>
        <w:spacing w:after="0"/>
      </w:pPr>
    </w:p>
    <w:p>
      <w:r>
        <w:rPr>
          <w:rFonts w:ascii="Aptos" w:hAnsi="Aptos" w:eastAsia="Aptos"/>
          <w:b w:val="0"/>
          <w:i w:val="0"/>
          <w:color w:val="0A1628"/>
          <w:sz w:val="20"/>
        </w:rPr>
        <w:t>The derived delivery component must not be negative.</w:t>
      </w:r>
    </w:p>
    <w:p>
      <w:pPr>
        <w:pStyle w:val="Heading4"/>
        <w:keepNext/>
      </w:pPr>
      <w:r>
        <w:rPr>
          <w:rFonts w:ascii="Aptos" w:hAnsi="Aptos" w:eastAsia="Aptos"/>
          <w:b w:val="0"/>
          <w:i w:val="0"/>
          <w:color w:val="0A1628"/>
          <w:sz w:val="20"/>
        </w:rPr>
        <w:t>Delivery charge only</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customer_total_collection</w:t>
              <w:br/>
              <w:t>= merchant_declared_delivery_charge</w:t>
              <w:br/>
              <w:t>+ additional_customer_charge</w:t>
            </w:r>
          </w:p>
        </w:tc>
      </w:tr>
    </w:tbl>
    <w:p>
      <w:pPr>
        <w:spacing w:after="0"/>
      </w:pPr>
    </w:p>
    <w:p>
      <w:pPr>
        <w:pStyle w:val="Heading4"/>
        <w:keepNext/>
      </w:pPr>
      <w:r>
        <w:rPr>
          <w:rFonts w:ascii="Aptos" w:hAnsi="Aptos" w:eastAsia="Aptos"/>
          <w:b w:val="0"/>
          <w:i w:val="0"/>
          <w:color w:val="0A1628"/>
          <w:sz w:val="20"/>
        </w:rPr>
        <w:t>Exact collection</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customer_total_collection = merchant_stated_total_amount</w:t>
              <w:br/>
              <w:t>settlement_direction = BREAKDOWN_REQUIRED</w:t>
            </w:r>
          </w:p>
        </w:tc>
      </w:tr>
    </w:tbl>
    <w:p>
      <w:pPr>
        <w:spacing w:after="0"/>
      </w:pPr>
    </w:p>
    <w:p>
      <w:pPr>
        <w:pStyle w:val="Heading4"/>
        <w:keepNext/>
      </w:pPr>
      <w:r>
        <w:rPr>
          <w:rFonts w:ascii="Aptos" w:hAnsi="Aptos" w:eastAsia="Aptos"/>
          <w:b w:val="0"/>
          <w:i w:val="0"/>
          <w:color w:val="0A1628"/>
          <w:sz w:val="20"/>
        </w:rPr>
        <w:t>Item price only; merchant pays delivery</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customer_total_collection = item_price + additional_customer_charge</w:t>
              <w:br/>
              <w:t>effective_declared_delivery_charge = 0</w:t>
            </w:r>
          </w:p>
        </w:tc>
      </w:tr>
    </w:tbl>
    <w:p>
      <w:pPr>
        <w:spacing w:after="0"/>
      </w:pPr>
    </w:p>
    <w:p>
      <w:pPr>
        <w:pStyle w:val="Heading3"/>
        <w:keepNext/>
      </w:pPr>
      <w:r>
        <w:rPr>
          <w:rFonts w:ascii="Aptos" w:hAnsi="Aptos" w:eastAsia="Aptos"/>
          <w:b w:val="0"/>
          <w:i w:val="0"/>
          <w:color w:val="0A1628"/>
          <w:sz w:val="20"/>
        </w:rPr>
        <w:t>3.7 Waybill presentation</w:t>
      </w:r>
    </w:p>
    <w:p>
      <w:r>
        <w:rPr>
          <w:rFonts w:ascii="Aptos" w:hAnsi="Aptos" w:eastAsia="Aptos"/>
          <w:b w:val="0"/>
          <w:i w:val="0"/>
          <w:color w:val="0A1628"/>
          <w:sz w:val="20"/>
        </w:rPr>
        <w:t>The most prominent waybill value must be:</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TOTAL TO COLLECT FROM RECEIVER: {cod_amount} MMK</w:t>
            </w:r>
          </w:p>
        </w:tc>
      </w:tr>
    </w:tbl>
    <w:p>
      <w:pPr>
        <w:spacing w:after="0"/>
      </w:pPr>
    </w:p>
    <w:p>
      <w:r>
        <w:rPr>
          <w:rFonts w:ascii="Aptos" w:hAnsi="Aptos" w:eastAsia="Aptos"/>
          <w:b w:val="0"/>
          <w:i w:val="0"/>
          <w:color w:val="0A1628"/>
          <w:sz w:val="20"/>
        </w:rPr>
        <w:t>The customer-facing waybill may show item price, declared delivery, additional customer charge, total collection, payment method, and whether delivery is included. It must not show internal tariff difference, merchant deduction/credit, branch share, partner cost, company margin, Commitment refund, or employee commission.</w:t>
      </w:r>
    </w:p>
    <w:p>
      <w:pPr>
        <w:pStyle w:val="Heading2"/>
        <w:keepNext/>
      </w:pPr>
      <w:r>
        <w:rPr>
          <w:rFonts w:ascii="Aptos" w:hAnsi="Aptos" w:eastAsia="Aptos"/>
          <w:b w:val="0"/>
          <w:i w:val="0"/>
          <w:color w:val="0A1628"/>
          <w:sz w:val="20"/>
        </w:rPr>
        <w:t>4. Financial V2 Data Entry and Backend Calculation</w:t>
      </w:r>
    </w:p>
    <w:p>
      <w:pPr>
        <w:pStyle w:val="Heading3"/>
        <w:keepNext/>
      </w:pPr>
      <w:r>
        <w:rPr>
          <w:rFonts w:ascii="Aptos" w:hAnsi="Aptos" w:eastAsia="Aptos"/>
          <w:b w:val="0"/>
          <w:i w:val="0"/>
          <w:color w:val="0A1628"/>
          <w:sz w:val="20"/>
        </w:rPr>
        <w:t>4.1 Target design</w:t>
      </w:r>
    </w:p>
    <w:p>
      <w:r>
        <w:rPr>
          <w:rFonts w:ascii="Aptos" w:hAnsi="Aptos" w:eastAsia="Aptos"/>
          <w:b w:val="0"/>
          <w:i w:val="0"/>
          <w:color w:val="0A1628"/>
          <w:sz w:val="20"/>
        </w:rPr>
        <w:t>Rebuild the production Data Entry screen around the authoritative Financial V2 contract. The frontend must not maintain a separate legacy field definition.</w:t>
      </w:r>
    </w:p>
    <w:p>
      <w:r>
        <w:rPr>
          <w:rFonts w:ascii="Aptos" w:hAnsi="Aptos" w:eastAsia="Aptos"/>
          <w:b w:val="0"/>
          <w:i w:val="0"/>
          <w:color w:val="0A1628"/>
          <w:sz w:val="20"/>
        </w:rPr>
        <w:t>Recommended page sections:</w:t>
      </w:r>
    </w:p>
    <w:p>
      <w:pPr>
        <w:pStyle w:val="ListNumber"/>
        <w:ind w:left="0"/>
      </w:pPr>
      <w:r>
        <w:rPr>
          <w:rFonts w:ascii="Aptos" w:hAnsi="Aptos" w:eastAsia="Aptos"/>
          <w:b w:val="0"/>
          <w:i w:val="0"/>
          <w:color w:val="0A1628"/>
          <w:sz w:val="20"/>
        </w:rPr>
        <w:t>Parcel Identity</w:t>
      </w:r>
    </w:p>
    <w:p>
      <w:pPr>
        <w:pStyle w:val="ListNumber"/>
        <w:ind w:left="0"/>
      </w:pPr>
      <w:r>
        <w:rPr>
          <w:rFonts w:ascii="Aptos" w:hAnsi="Aptos" w:eastAsia="Aptos"/>
          <w:b w:val="0"/>
          <w:i w:val="0"/>
          <w:color w:val="0A1628"/>
          <w:sz w:val="20"/>
        </w:rPr>
        <w:t>Recipient &amp; Address</w:t>
      </w:r>
    </w:p>
    <w:p>
      <w:pPr>
        <w:pStyle w:val="ListNumber"/>
        <w:ind w:left="0"/>
      </w:pPr>
      <w:r>
        <w:rPr>
          <w:rFonts w:ascii="Aptos" w:hAnsi="Aptos" w:eastAsia="Aptos"/>
          <w:b w:val="0"/>
          <w:i w:val="0"/>
          <w:color w:val="0A1628"/>
          <w:sz w:val="20"/>
        </w:rPr>
        <w:t>Collection Instructions</w:t>
      </w:r>
    </w:p>
    <w:p>
      <w:pPr>
        <w:pStyle w:val="ListNumber"/>
        <w:ind w:left="0"/>
      </w:pPr>
      <w:r>
        <w:rPr>
          <w:rFonts w:ascii="Aptos" w:hAnsi="Aptos" w:eastAsia="Aptos"/>
          <w:b w:val="0"/>
          <w:i w:val="0"/>
          <w:color w:val="0A1628"/>
          <w:sz w:val="20"/>
        </w:rPr>
        <w:t>Weight &amp; Tariff</w:t>
      </w:r>
    </w:p>
    <w:p>
      <w:pPr>
        <w:pStyle w:val="ListNumber"/>
        <w:ind w:left="0"/>
      </w:pPr>
      <w:r>
        <w:rPr>
          <w:rFonts w:ascii="Aptos" w:hAnsi="Aptos" w:eastAsia="Aptos"/>
          <w:b w:val="0"/>
          <w:i w:val="0"/>
          <w:color w:val="0A1628"/>
          <w:sz w:val="20"/>
        </w:rPr>
        <w:t>Merchant Settlement</w:t>
      </w:r>
    </w:p>
    <w:p>
      <w:pPr>
        <w:pStyle w:val="ListNumber"/>
        <w:ind w:left="0"/>
      </w:pPr>
      <w:r>
        <w:rPr>
          <w:rFonts w:ascii="Aptos" w:hAnsi="Aptos" w:eastAsia="Aptos"/>
          <w:b w:val="0"/>
          <w:i w:val="0"/>
          <w:color w:val="0A1628"/>
          <w:sz w:val="20"/>
        </w:rPr>
        <w:t>Validation</w:t>
      </w:r>
    </w:p>
    <w:p>
      <w:pPr>
        <w:pStyle w:val="ListNumber"/>
        <w:ind w:left="0"/>
      </w:pPr>
      <w:r>
        <w:rPr>
          <w:rFonts w:ascii="Aptos" w:hAnsi="Aptos" w:eastAsia="Aptos"/>
          <w:b w:val="0"/>
          <w:i w:val="0"/>
          <w:color w:val="0A1628"/>
          <w:sz w:val="20"/>
        </w:rPr>
        <w:t>Photo Evidence</w:t>
      </w:r>
    </w:p>
    <w:p>
      <w:pPr>
        <w:pStyle w:val="ListNumber"/>
        <w:ind w:left="0"/>
      </w:pPr>
      <w:r>
        <w:rPr>
          <w:rFonts w:ascii="Aptos" w:hAnsi="Aptos" w:eastAsia="Aptos"/>
          <w:b w:val="0"/>
          <w:i w:val="0"/>
          <w:color w:val="0A1628"/>
          <w:sz w:val="20"/>
        </w:rPr>
        <w:t>Audit Information</w:t>
      </w:r>
    </w:p>
    <w:p>
      <w:pPr>
        <w:pStyle w:val="Heading3"/>
        <w:keepNext/>
      </w:pPr>
      <w:r>
        <w:rPr>
          <w:rFonts w:ascii="Aptos" w:hAnsi="Aptos" w:eastAsia="Aptos"/>
          <w:b w:val="0"/>
          <w:i w:val="0"/>
          <w:color w:val="0A1628"/>
          <w:sz w:val="20"/>
        </w:rPr>
        <w:t>4.2 Field ownership</w:t>
      </w:r>
    </w:p>
    <w:p>
      <w:pPr>
        <w:pStyle w:val="Heading4"/>
        <w:keepNext/>
      </w:pPr>
      <w:r>
        <w:rPr>
          <w:rFonts w:ascii="Aptos" w:hAnsi="Aptos" w:eastAsia="Aptos"/>
          <w:b w:val="0"/>
          <w:i w:val="0"/>
          <w:color w:val="0A1628"/>
          <w:sz w:val="20"/>
        </w:rPr>
        <w:t>Editable operational inputs</w:t>
      </w:r>
    </w:p>
    <w:p>
      <w:pPr>
        <w:pStyle w:val="ListBullet"/>
        <w:ind w:left="0"/>
      </w:pPr>
      <w:r>
        <w:rPr>
          <w:rFonts w:ascii="Aptos" w:hAnsi="Aptos" w:eastAsia="Aptos"/>
          <w:b w:val="0"/>
          <w:i w:val="0"/>
          <w:color w:val="0A1628"/>
          <w:sz w:val="20"/>
        </w:rPr>
        <w:t>Customer and merchant identity selection.</w:t>
      </w:r>
    </w:p>
    <w:p>
      <w:pPr>
        <w:pStyle w:val="ListBullet"/>
        <w:ind w:left="0"/>
      </w:pPr>
      <w:r>
        <w:rPr>
          <w:rFonts w:ascii="Aptos" w:hAnsi="Aptos" w:eastAsia="Aptos"/>
          <w:b w:val="0"/>
          <w:i w:val="0"/>
          <w:color w:val="0A1628"/>
          <w:sz w:val="20"/>
        </w:rPr>
        <w:t>Status and environment, when permitted.</w:t>
      </w:r>
    </w:p>
    <w:p>
      <w:pPr>
        <w:pStyle w:val="ListBullet"/>
        <w:ind w:left="0"/>
      </w:pPr>
      <w:r>
        <w:rPr>
          <w:rFonts w:ascii="Aptos" w:hAnsi="Aptos" w:eastAsia="Aptos"/>
          <w:b w:val="0"/>
          <w:i w:val="0"/>
          <w:color w:val="0A1628"/>
          <w:sz w:val="20"/>
        </w:rPr>
        <w:t>Recipient name and phone.</w:t>
      </w:r>
    </w:p>
    <w:p>
      <w:pPr>
        <w:pStyle w:val="ListBullet"/>
        <w:ind w:left="0"/>
      </w:pPr>
      <w:r>
        <w:rPr>
          <w:rFonts w:ascii="Aptos" w:hAnsi="Aptos" w:eastAsia="Aptos"/>
          <w:b w:val="0"/>
          <w:i w:val="0"/>
          <w:color w:val="0A1628"/>
          <w:sz w:val="20"/>
        </w:rPr>
        <w:t>Township and complete delivery address.</w:t>
      </w:r>
    </w:p>
    <w:p>
      <w:pPr>
        <w:pStyle w:val="ListBullet"/>
        <w:ind w:left="0"/>
      </w:pPr>
      <w:r>
        <w:rPr>
          <w:rFonts w:ascii="Aptos" w:hAnsi="Aptos" w:eastAsia="Aptos"/>
          <w:b w:val="0"/>
          <w:i w:val="0"/>
          <w:color w:val="0A1628"/>
          <w:sz w:val="20"/>
        </w:rPr>
        <w:t xml:space="preserve">Service type and highway station code when </w:t>
      </w:r>
      <w:r>
        <w:rPr>
          <w:rFonts w:ascii="Consolas" w:hAnsi="Consolas" w:eastAsia="Consolas"/>
          <w:b w:val="0"/>
          <w:i w:val="0"/>
          <w:color w:val="0A1628"/>
          <w:sz w:val="17"/>
          <w:shd w:fill="EEF2F6"/>
        </w:rPr>
        <w:t>HIGHWAY_STATION_DROP_OFF</w:t>
      </w:r>
      <w:r>
        <w:rPr>
          <w:rFonts w:ascii="Aptos" w:hAnsi="Aptos" w:eastAsia="Aptos"/>
          <w:b w:val="0"/>
          <w:i w:val="0"/>
          <w:color w:val="0A1628"/>
          <w:sz w:val="20"/>
        </w:rPr>
        <w:t xml:space="preserve"> is selected.</w:t>
      </w:r>
    </w:p>
    <w:p>
      <w:pPr>
        <w:pStyle w:val="ListBullet"/>
        <w:ind w:left="0"/>
      </w:pPr>
      <w:r>
        <w:rPr>
          <w:rFonts w:ascii="Aptos" w:hAnsi="Aptos" w:eastAsia="Aptos"/>
          <w:b w:val="0"/>
          <w:i w:val="0"/>
          <w:color w:val="0A1628"/>
          <w:sz w:val="20"/>
        </w:rPr>
        <w:t>Item price.</w:t>
      </w:r>
    </w:p>
    <w:p>
      <w:pPr>
        <w:pStyle w:val="ListBullet"/>
        <w:ind w:left="0"/>
      </w:pPr>
      <w:r>
        <w:rPr>
          <w:rFonts w:ascii="Aptos" w:hAnsi="Aptos" w:eastAsia="Aptos"/>
          <w:b w:val="0"/>
          <w:i w:val="0"/>
          <w:color w:val="0A1628"/>
          <w:sz w:val="20"/>
        </w:rPr>
        <w:t>Merchant-declared delivery charge.</w:t>
      </w:r>
    </w:p>
    <w:p>
      <w:pPr>
        <w:pStyle w:val="ListBullet"/>
        <w:ind w:left="0"/>
      </w:pPr>
      <w:r>
        <w:rPr>
          <w:rFonts w:ascii="Aptos" w:hAnsi="Aptos" w:eastAsia="Aptos"/>
          <w:b w:val="0"/>
          <w:i w:val="0"/>
          <w:color w:val="0A1628"/>
          <w:sz w:val="20"/>
        </w:rPr>
        <w:t>Weight.</w:t>
      </w:r>
    </w:p>
    <w:p>
      <w:pPr>
        <w:pStyle w:val="ListBullet"/>
        <w:ind w:left="0"/>
      </w:pPr>
      <w:r>
        <w:rPr>
          <w:rFonts w:ascii="Aptos" w:hAnsi="Aptos" w:eastAsia="Aptos"/>
          <w:b w:val="0"/>
          <w:i w:val="0"/>
          <w:color w:val="0A1628"/>
          <w:sz w:val="20"/>
        </w:rPr>
        <w:t>Amount-entry type.</w:t>
      </w:r>
    </w:p>
    <w:p>
      <w:pPr>
        <w:pStyle w:val="ListBullet"/>
        <w:ind w:left="0"/>
      </w:pPr>
      <w:r>
        <w:rPr>
          <w:rFonts w:ascii="Aptos" w:hAnsi="Aptos" w:eastAsia="Aptos"/>
          <w:b w:val="0"/>
          <w:i w:val="0"/>
          <w:color w:val="0A1628"/>
          <w:sz w:val="20"/>
        </w:rPr>
        <w:t>Merchant-stated total amount.</w:t>
      </w:r>
    </w:p>
    <w:p>
      <w:pPr>
        <w:pStyle w:val="ListBullet"/>
        <w:ind w:left="0"/>
      </w:pPr>
      <w:r>
        <w:rPr>
          <w:rFonts w:ascii="Aptos" w:hAnsi="Aptos" w:eastAsia="Aptos"/>
          <w:b w:val="0"/>
          <w:i w:val="0"/>
          <w:color w:val="0A1628"/>
          <w:sz w:val="20"/>
        </w:rPr>
        <w:t>Additional customer charge.</w:t>
      </w:r>
    </w:p>
    <w:p>
      <w:pPr>
        <w:pStyle w:val="ListBullet"/>
        <w:ind w:left="0"/>
      </w:pPr>
      <w:r>
        <w:rPr>
          <w:rFonts w:ascii="Aptos" w:hAnsi="Aptos" w:eastAsia="Aptos"/>
          <w:b w:val="0"/>
          <w:i w:val="0"/>
          <w:color w:val="0A1628"/>
          <w:sz w:val="20"/>
        </w:rPr>
        <w:t>CBM surcharge.</w:t>
      </w:r>
    </w:p>
    <w:p>
      <w:pPr>
        <w:pStyle w:val="ListBullet"/>
        <w:ind w:left="0"/>
      </w:pPr>
      <w:r>
        <w:rPr>
          <w:rFonts w:ascii="Aptos" w:hAnsi="Aptos" w:eastAsia="Aptos"/>
          <w:b w:val="0"/>
          <w:i w:val="0"/>
          <w:color w:val="0A1628"/>
          <w:sz w:val="20"/>
        </w:rPr>
        <w:t>Other approved surcharge.</w:t>
      </w:r>
    </w:p>
    <w:p>
      <w:pPr>
        <w:pStyle w:val="ListBullet"/>
        <w:ind w:left="0"/>
      </w:pPr>
      <w:r>
        <w:rPr>
          <w:rFonts w:ascii="Aptos" w:hAnsi="Aptos" w:eastAsia="Aptos"/>
          <w:b w:val="0"/>
          <w:i w:val="0"/>
          <w:color w:val="0A1628"/>
          <w:sz w:val="20"/>
        </w:rPr>
        <w:t>Merchant-payable charges.</w:t>
      </w:r>
    </w:p>
    <w:p>
      <w:pPr>
        <w:pStyle w:val="ListBullet"/>
        <w:ind w:left="0"/>
      </w:pPr>
      <w:r>
        <w:rPr>
          <w:rFonts w:ascii="Aptos" w:hAnsi="Aptos" w:eastAsia="Aptos"/>
          <w:b w:val="0"/>
          <w:i w:val="0"/>
          <w:color w:val="0A1628"/>
          <w:sz w:val="20"/>
        </w:rPr>
        <w:t>Other merchant credits.</w:t>
      </w:r>
    </w:p>
    <w:p>
      <w:pPr>
        <w:pStyle w:val="ListBullet"/>
        <w:ind w:left="0"/>
      </w:pPr>
      <w:r>
        <w:rPr>
          <w:rFonts w:ascii="Aptos" w:hAnsi="Aptos" w:eastAsia="Aptos"/>
          <w:b w:val="0"/>
          <w:i w:val="0"/>
          <w:color w:val="0A1628"/>
          <w:sz w:val="20"/>
        </w:rPr>
        <w:t>Remarks.</w:t>
      </w:r>
    </w:p>
    <w:p>
      <w:pPr>
        <w:pStyle w:val="Heading4"/>
        <w:keepNext/>
      </w:pPr>
      <w:r>
        <w:rPr>
          <w:rFonts w:ascii="Aptos" w:hAnsi="Aptos" w:eastAsia="Aptos"/>
          <w:b w:val="0"/>
          <w:i w:val="0"/>
          <w:color w:val="0A1628"/>
          <w:sz w:val="20"/>
        </w:rPr>
        <w:t>Server-controlled values</w:t>
      </w:r>
    </w:p>
    <w:p>
      <w:pPr>
        <w:pStyle w:val="ListBullet"/>
        <w:ind w:left="0"/>
      </w:pPr>
      <w:r>
        <w:rPr>
          <w:rFonts w:ascii="Aptos" w:hAnsi="Aptos" w:eastAsia="Aptos"/>
          <w:b w:val="0"/>
          <w:i w:val="0"/>
          <w:color w:val="0A1628"/>
          <w:sz w:val="20"/>
        </w:rPr>
        <w:t>Way ID.</w:t>
      </w:r>
    </w:p>
    <w:p>
      <w:pPr>
        <w:pStyle w:val="ListBullet"/>
        <w:ind w:left="0"/>
      </w:pPr>
      <w:r>
        <w:rPr>
          <w:rFonts w:ascii="Aptos" w:hAnsi="Aptos" w:eastAsia="Aptos"/>
          <w:b w:val="0"/>
          <w:i w:val="0"/>
          <w:color w:val="0A1628"/>
          <w:sz w:val="20"/>
        </w:rPr>
        <w:t>Pickup ID.</w:t>
      </w:r>
    </w:p>
    <w:p>
      <w:pPr>
        <w:pStyle w:val="ListBullet"/>
        <w:ind w:left="0"/>
      </w:pPr>
      <w:r>
        <w:rPr>
          <w:rFonts w:ascii="Aptos" w:hAnsi="Aptos" w:eastAsia="Aptos"/>
          <w:b w:val="0"/>
          <w:i w:val="0"/>
          <w:color w:val="0A1628"/>
          <w:sz w:val="20"/>
        </w:rPr>
        <w:t>Customer tier.</w:t>
      </w:r>
    </w:p>
    <w:p>
      <w:pPr>
        <w:pStyle w:val="ListBullet"/>
        <w:ind w:left="0"/>
      </w:pPr>
      <w:r>
        <w:rPr>
          <w:rFonts w:ascii="Aptos" w:hAnsi="Aptos" w:eastAsia="Aptos"/>
          <w:b w:val="0"/>
          <w:i w:val="0"/>
          <w:color w:val="0A1628"/>
          <w:sz w:val="20"/>
        </w:rPr>
        <w:t>Monthly ways.</w:t>
      </w:r>
    </w:p>
    <w:p>
      <w:pPr>
        <w:pStyle w:val="ListBullet"/>
        <w:ind w:left="0"/>
      </w:pPr>
      <w:r>
        <w:rPr>
          <w:rFonts w:ascii="Aptos" w:hAnsi="Aptos" w:eastAsia="Aptos"/>
          <w:b w:val="0"/>
          <w:i w:val="0"/>
          <w:color w:val="0A1628"/>
          <w:sz w:val="20"/>
        </w:rPr>
        <w:t>COD/customer collection amount.</w:t>
      </w:r>
    </w:p>
    <w:p>
      <w:pPr>
        <w:pStyle w:val="ListBullet"/>
        <w:ind w:left="0"/>
      </w:pPr>
      <w:r>
        <w:rPr>
          <w:rFonts w:ascii="Aptos" w:hAnsi="Aptos" w:eastAsia="Aptos"/>
          <w:b w:val="0"/>
          <w:i w:val="0"/>
          <w:color w:val="0A1628"/>
          <w:sz w:val="20"/>
        </w:rPr>
        <w:t>Tariff zone and zone code.</w:t>
      </w:r>
    </w:p>
    <w:p>
      <w:pPr>
        <w:pStyle w:val="ListBullet"/>
        <w:ind w:left="0"/>
      </w:pPr>
      <w:r>
        <w:rPr>
          <w:rFonts w:ascii="Aptos" w:hAnsi="Aptos" w:eastAsia="Aptos"/>
          <w:b w:val="0"/>
          <w:i w:val="0"/>
          <w:color w:val="0A1628"/>
          <w:sz w:val="20"/>
        </w:rPr>
        <w:t>Tariff product code, highway station code/name, and station-rate snapshot when applicable.</w:t>
      </w:r>
    </w:p>
    <w:p>
      <w:pPr>
        <w:pStyle w:val="ListBullet"/>
        <w:ind w:left="0"/>
      </w:pPr>
      <w:r>
        <w:rPr>
          <w:rFonts w:ascii="Aptos" w:hAnsi="Aptos" w:eastAsia="Aptos"/>
          <w:b w:val="0"/>
          <w:i w:val="0"/>
          <w:color w:val="0A1628"/>
          <w:sz w:val="20"/>
        </w:rPr>
        <w:t>Base tariff and included kilograms.</w:t>
      </w:r>
    </w:p>
    <w:p>
      <w:pPr>
        <w:pStyle w:val="ListBullet"/>
        <w:ind w:left="0"/>
      </w:pPr>
      <w:r>
        <w:rPr>
          <w:rFonts w:ascii="Aptos" w:hAnsi="Aptos" w:eastAsia="Aptos"/>
          <w:b w:val="0"/>
          <w:i w:val="0"/>
          <w:color w:val="0A1628"/>
          <w:sz w:val="20"/>
        </w:rPr>
        <w:t>Extra weight and weight surcharge.</w:t>
      </w:r>
    </w:p>
    <w:p>
      <w:pPr>
        <w:pStyle w:val="ListBullet"/>
        <w:ind w:left="0"/>
      </w:pPr>
      <w:r>
        <w:rPr>
          <w:rFonts w:ascii="Aptos" w:hAnsi="Aptos" w:eastAsia="Aptos"/>
          <w:b w:val="0"/>
          <w:i w:val="0"/>
          <w:color w:val="0A1628"/>
          <w:sz w:val="20"/>
        </w:rPr>
        <w:t>Gross and net system delivery charge.</w:t>
      </w:r>
    </w:p>
    <w:p>
      <w:pPr>
        <w:pStyle w:val="ListBullet"/>
        <w:ind w:left="0"/>
      </w:pPr>
      <w:r>
        <w:rPr>
          <w:rFonts w:ascii="Aptos" w:hAnsi="Aptos" w:eastAsia="Aptos"/>
          <w:b w:val="0"/>
          <w:i w:val="0"/>
          <w:color w:val="0A1628"/>
          <w:sz w:val="20"/>
        </w:rPr>
        <w:t>Commitment refund.</w:t>
      </w:r>
    </w:p>
    <w:p>
      <w:pPr>
        <w:pStyle w:val="ListBullet"/>
        <w:ind w:left="0"/>
      </w:pPr>
      <w:r>
        <w:rPr>
          <w:rFonts w:ascii="Aptos" w:hAnsi="Aptos" w:eastAsia="Aptos"/>
          <w:b w:val="0"/>
          <w:i w:val="0"/>
          <w:color w:val="0A1628"/>
          <w:sz w:val="20"/>
        </w:rPr>
        <w:t>Effective declared delivery charge.</w:t>
      </w:r>
    </w:p>
    <w:p>
      <w:pPr>
        <w:pStyle w:val="ListBullet"/>
        <w:ind w:left="0"/>
      </w:pPr>
      <w:r>
        <w:rPr>
          <w:rFonts w:ascii="Aptos" w:hAnsi="Aptos" w:eastAsia="Aptos"/>
          <w:b w:val="0"/>
          <w:i w:val="0"/>
          <w:color w:val="0A1628"/>
          <w:sz w:val="20"/>
        </w:rPr>
        <w:t>Delivery difference.</w:t>
      </w:r>
    </w:p>
    <w:p>
      <w:pPr>
        <w:pStyle w:val="ListBullet"/>
        <w:ind w:left="0"/>
      </w:pPr>
      <w:r>
        <w:rPr>
          <w:rFonts w:ascii="Aptos" w:hAnsi="Aptos" w:eastAsia="Aptos"/>
          <w:b w:val="0"/>
          <w:i w:val="0"/>
          <w:color w:val="0A1628"/>
          <w:sz w:val="20"/>
        </w:rPr>
        <w:t>Settlement direction.</w:t>
      </w:r>
    </w:p>
    <w:p>
      <w:pPr>
        <w:pStyle w:val="ListBullet"/>
        <w:ind w:left="0"/>
      </w:pPr>
      <w:r>
        <w:rPr>
          <w:rFonts w:ascii="Aptos" w:hAnsi="Aptos" w:eastAsia="Aptos"/>
          <w:b w:val="0"/>
          <w:i w:val="0"/>
          <w:color w:val="0A1628"/>
          <w:sz w:val="20"/>
        </w:rPr>
        <w:t>Merchant settlement adjustment.</w:t>
      </w:r>
    </w:p>
    <w:p>
      <w:pPr>
        <w:pStyle w:val="ListBullet"/>
        <w:ind w:left="0"/>
      </w:pPr>
      <w:r>
        <w:rPr>
          <w:rFonts w:ascii="Aptos" w:hAnsi="Aptos" w:eastAsia="Aptos"/>
          <w:b w:val="0"/>
          <w:i w:val="0"/>
          <w:color w:val="0A1628"/>
          <w:sz w:val="20"/>
        </w:rPr>
        <w:t>Final merchant settlement amount.</w:t>
      </w:r>
    </w:p>
    <w:p>
      <w:pPr>
        <w:pStyle w:val="ListBullet"/>
        <w:ind w:left="0"/>
      </w:pPr>
      <w:r>
        <w:rPr>
          <w:rFonts w:ascii="Aptos" w:hAnsi="Aptos" w:eastAsia="Aptos"/>
          <w:b w:val="0"/>
          <w:i w:val="0"/>
          <w:color w:val="0A1628"/>
          <w:sz w:val="20"/>
        </w:rPr>
        <w:t>Validation status and message.</w:t>
      </w:r>
    </w:p>
    <w:p>
      <w:pPr>
        <w:pStyle w:val="ListBullet"/>
        <w:ind w:left="0"/>
      </w:pPr>
      <w:r>
        <w:rPr>
          <w:rFonts w:ascii="Aptos" w:hAnsi="Aptos" w:eastAsia="Aptos"/>
          <w:b w:val="0"/>
          <w:i w:val="0"/>
          <w:color w:val="0A1628"/>
          <w:sz w:val="20"/>
        </w:rPr>
        <w:t>Calculation version and timestamp.</w:t>
      </w:r>
    </w:p>
    <w:p>
      <w:pPr>
        <w:pStyle w:val="ListBullet"/>
        <w:ind w:left="0"/>
      </w:pPr>
      <w:r>
        <w:rPr>
          <w:rFonts w:ascii="Aptos" w:hAnsi="Aptos" w:eastAsia="Aptos"/>
          <w:b w:val="0"/>
          <w:i w:val="0"/>
          <w:color w:val="0A1628"/>
          <w:sz w:val="20"/>
        </w:rPr>
        <w:t>Entered by and authorized by.</w:t>
      </w:r>
    </w:p>
    <w:p>
      <w:pPr>
        <w:pStyle w:val="Heading3"/>
        <w:keepNext/>
      </w:pPr>
      <w:r>
        <w:rPr>
          <w:rFonts w:ascii="Aptos" w:hAnsi="Aptos" w:eastAsia="Aptos"/>
          <w:b w:val="0"/>
          <w:i w:val="0"/>
          <w:color w:val="0A1628"/>
          <w:sz w:val="20"/>
        </w:rPr>
        <w:t>4.3 Canonical financial fields</w:t>
      </w:r>
    </w:p>
    <w:p>
      <w:r>
        <w:rPr>
          <w:rFonts w:ascii="Aptos" w:hAnsi="Aptos" w:eastAsia="Aptos"/>
          <w:b w:val="0"/>
          <w:i w:val="0"/>
          <w:color w:val="0A1628"/>
          <w:sz w:val="20"/>
        </w:rPr>
        <w:t>Use explicit fields rather than overloading legacy names:</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service_type</w:t>
              <w:br/>
              <w:t>highway_station_code</w:t>
              <w:br/>
              <w:t>highway_station_name</w:t>
              <w:br/>
              <w:t>tariff_product_code</w:t>
              <w:br/>
              <w:t>item_price</w:t>
              <w:br/>
              <w:t>merchant_declared_delivery_charge</w:t>
              <w:br/>
              <w:t>customer_total_collect_amount</w:t>
              <w:br/>
              <w:t>amount_entry_type</w:t>
              <w:br/>
              <w:t>merchant_stated_total_amount</w:t>
              <w:br/>
              <w:t>additional_customer_charge</w:t>
              <w:br/>
              <w:t>cbm_surcharge</w:t>
              <w:br/>
              <w:t>other_surcharge</w:t>
              <w:br/>
              <w:t>merchant_payable_charges</w:t>
              <w:br/>
              <w:t>other_merchant_credits</w:t>
              <w:br/>
              <w:t>base_tariff</w:t>
              <w:br/>
              <w:t>included_kg</w:t>
              <w:br/>
              <w:t>extra_per_kg</w:t>
              <w:br/>
              <w:t>chargeable_weight_kg</w:t>
              <w:br/>
              <w:t>extra_kg</w:t>
              <w:br/>
              <w:t>weight_surcharge</w:t>
              <w:br/>
              <w:t>gross_system_delivery_charge</w:t>
              <w:br/>
              <w:t>commitment_refund</w:t>
              <w:br/>
              <w:t>net_system_delivery_charge</w:t>
              <w:br/>
              <w:t>effective_declared_delivery_charge</w:t>
              <w:br/>
              <w:t>delivery_difference</w:t>
              <w:br/>
              <w:t>settlement_direction</w:t>
              <w:br/>
              <w:t>merchant_final_settlement_amount</w:t>
              <w:br/>
              <w:t>validation_status</w:t>
              <w:br/>
              <w:t>validation_message</w:t>
              <w:br/>
              <w:t>calculation_version</w:t>
              <w:br/>
              <w:t>calculated_at</w:t>
            </w:r>
          </w:p>
        </w:tc>
      </w:tr>
    </w:tbl>
    <w:p>
      <w:pPr>
        <w:spacing w:after="0"/>
      </w:pPr>
    </w:p>
    <w:p>
      <w:r>
        <w:rPr>
          <w:rFonts w:ascii="Aptos" w:hAnsi="Aptos" w:eastAsia="Aptos"/>
          <w:b w:val="0"/>
          <w:i w:val="0"/>
          <w:color w:val="0A1628"/>
          <w:sz w:val="20"/>
        </w:rPr>
        <w:t xml:space="preserve">Maintain compatibility views for legacy columns such as </w:t>
      </w:r>
      <w:r>
        <w:rPr>
          <w:rFonts w:ascii="Consolas" w:hAnsi="Consolas" w:eastAsia="Consolas"/>
          <w:b w:val="0"/>
          <w:i w:val="0"/>
          <w:color w:val="0A1628"/>
          <w:sz w:val="17"/>
          <w:shd w:fill="EEF2F6"/>
        </w:rPr>
        <w:t>delivery_fee_os</w:t>
      </w:r>
      <w:r>
        <w:rPr>
          <w:rFonts w:ascii="Aptos" w:hAnsi="Aptos" w:eastAsia="Aptos"/>
          <w:b w:val="0"/>
          <w:i w:val="0"/>
          <w:color w:val="0A1628"/>
          <w:sz w:val="20"/>
        </w:rPr>
        <w:t xml:space="preserve">, </w:t>
      </w:r>
      <w:r>
        <w:rPr>
          <w:rFonts w:ascii="Consolas" w:hAnsi="Consolas" w:eastAsia="Consolas"/>
          <w:b w:val="0"/>
          <w:i w:val="0"/>
          <w:color w:val="0A1628"/>
          <w:sz w:val="17"/>
          <w:shd w:fill="EEF2F6"/>
        </w:rPr>
        <w:t>deli_fee_os</w:t>
      </w:r>
      <w:r>
        <w:rPr>
          <w:rFonts w:ascii="Aptos" w:hAnsi="Aptos" w:eastAsia="Aptos"/>
          <w:b w:val="0"/>
          <w:i w:val="0"/>
          <w:color w:val="0A1628"/>
          <w:sz w:val="20"/>
        </w:rPr>
        <w:t xml:space="preserve">, </w:t>
      </w:r>
      <w:r>
        <w:rPr>
          <w:rFonts w:ascii="Consolas" w:hAnsi="Consolas" w:eastAsia="Consolas"/>
          <w:b w:val="0"/>
          <w:i w:val="0"/>
          <w:color w:val="0A1628"/>
          <w:sz w:val="17"/>
          <w:shd w:fill="EEF2F6"/>
        </w:rPr>
        <w:t>final_cod</w:t>
      </w:r>
      <w:r>
        <w:rPr>
          <w:rFonts w:ascii="Aptos" w:hAnsi="Aptos" w:eastAsia="Aptos"/>
          <w:b w:val="0"/>
          <w:i w:val="0"/>
          <w:color w:val="0A1628"/>
          <w:sz w:val="20"/>
        </w:rPr>
        <w:t xml:space="preserve">, </w:t>
      </w:r>
      <w:r>
        <w:rPr>
          <w:rFonts w:ascii="Consolas" w:hAnsi="Consolas" w:eastAsia="Consolas"/>
          <w:b w:val="0"/>
          <w:i w:val="0"/>
          <w:color w:val="0A1628"/>
          <w:sz w:val="17"/>
          <w:shd w:fill="EEF2F6"/>
        </w:rPr>
        <w:t>finance_deli</w:t>
      </w:r>
      <w:r>
        <w:rPr>
          <w:rFonts w:ascii="Aptos" w:hAnsi="Aptos" w:eastAsia="Aptos"/>
          <w:b w:val="0"/>
          <w:i w:val="0"/>
          <w:color w:val="0A1628"/>
          <w:sz w:val="20"/>
        </w:rPr>
        <w:t xml:space="preserve">, and </w:t>
      </w:r>
      <w:r>
        <w:rPr>
          <w:rFonts w:ascii="Consolas" w:hAnsi="Consolas" w:eastAsia="Consolas"/>
          <w:b w:val="0"/>
          <w:i w:val="0"/>
          <w:color w:val="0A1628"/>
          <w:sz w:val="17"/>
          <w:shd w:fill="EEF2F6"/>
        </w:rPr>
        <w:t>finance_cod</w:t>
      </w:r>
      <w:r>
        <w:rPr>
          <w:rFonts w:ascii="Aptos" w:hAnsi="Aptos" w:eastAsia="Aptos"/>
          <w:b w:val="0"/>
          <w:i w:val="0"/>
          <w:color w:val="0A1628"/>
          <w:sz w:val="20"/>
        </w:rPr>
        <w:t xml:space="preserve"> until all downstream modules are migrated.</w:t>
      </w:r>
    </w:p>
    <w:p>
      <w:pPr>
        <w:pStyle w:val="Heading3"/>
        <w:keepNext/>
      </w:pPr>
      <w:r>
        <w:rPr>
          <w:rFonts w:ascii="Aptos" w:hAnsi="Aptos" w:eastAsia="Aptos"/>
          <w:b w:val="0"/>
          <w:i w:val="0"/>
          <w:color w:val="0A1628"/>
          <w:sz w:val="20"/>
        </w:rPr>
        <w:t>4.4 Amount-entry types</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ITEM_PRICE_PLUS_DECLARED_DELIVERY</w:t>
              <w:br/>
              <w:t>TOTAL_AMOUNT_INCLUDING_DELIVERY</w:t>
              <w:br/>
              <w:t>DELIVERY_CHARGE_ONLY</w:t>
              <w:br/>
              <w:t>EXACT_COLLECTION_AMOUNT</w:t>
              <w:br/>
              <w:t>ITEM_PRICE_ONLY_DELIVERY_PAID_BY_MERCHANT</w:t>
            </w:r>
          </w:p>
        </w:tc>
      </w:tr>
    </w:tbl>
    <w:p>
      <w:pPr>
        <w:spacing w:after="0"/>
      </w:pPr>
    </w:p>
    <w:p>
      <w:pPr>
        <w:pStyle w:val="Heading3"/>
        <w:keepNext/>
      </w:pPr>
      <w:r>
        <w:rPr>
          <w:rFonts w:ascii="Aptos" w:hAnsi="Aptos" w:eastAsia="Aptos"/>
          <w:b w:val="0"/>
          <w:i w:val="0"/>
          <w:color w:val="0A1628"/>
          <w:sz w:val="20"/>
        </w:rPr>
        <w:t>4.5 Backend calculation rules</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chargeable_weight = ceil(max(actual_weight, 0))</w:t>
              <w:br/>
              <w:t>extra_kg = max(0, chargeable_weight - included_kg)</w:t>
              <w:br/>
              <w:t>weight_surcharge = extra_kg * extra_per_kg</w:t>
              <w:br/>
              <w:t>gross_system_delivery_charge = base_tariff + weight_surcharge + cbm_surcharge + other_surcharge</w:t>
              <w:br/>
              <w:t>net_system_delivery_charge = max(0, gross_system_delivery_charge - commitment_refund)</w:t>
              <w:br/>
              <w:t>delivery_difference = effective_declared_delivery_charge - net_system_delivery_charge</w:t>
              <w:br/>
              <w:t>merchant_final_settlement_amount = item_price + delivery_difference + other_merchant_credits - merchant_payable_charges</w:t>
            </w:r>
          </w:p>
        </w:tc>
      </w:tr>
    </w:tbl>
    <w:p>
      <w:pPr>
        <w:spacing w:after="0"/>
      </w:pPr>
    </w:p>
    <w:p>
      <w:r>
        <w:rPr>
          <w:rFonts w:ascii="Aptos" w:hAnsi="Aptos" w:eastAsia="Aptos"/>
          <w:b w:val="0"/>
          <w:i w:val="0"/>
          <w:color w:val="0A1628"/>
          <w:sz w:val="20"/>
        </w:rPr>
        <w:t>Customer collection must follow the selected amount-entry type. A merchant-declared delivery shortage must never be added to the receiver's collection. It is recovered from merchant settlement.</w:t>
      </w:r>
    </w:p>
    <w:p>
      <w:pPr>
        <w:pStyle w:val="Heading3"/>
        <w:keepNext/>
      </w:pPr>
      <w:r>
        <w:rPr>
          <w:rFonts w:ascii="Aptos" w:hAnsi="Aptos" w:eastAsia="Aptos"/>
          <w:b w:val="0"/>
          <w:i w:val="0"/>
          <w:color w:val="0A1628"/>
          <w:sz w:val="20"/>
        </w:rPr>
        <w:t>4.6 Required RPCs</w:t>
      </w:r>
    </w:p>
    <w:p>
      <w:pPr>
        <w:pStyle w:val="Heading4"/>
        <w:keepNext/>
      </w:pPr>
      <w:r>
        <w:rPr>
          <w:rFonts w:ascii="Consolas" w:hAnsi="Consolas" w:eastAsia="Consolas"/>
          <w:b w:val="0"/>
          <w:i w:val="0"/>
          <w:color w:val="0A1628"/>
          <w:sz w:val="17"/>
          <w:shd w:fill="EEF2F6"/>
        </w:rPr>
        <w:t>be_data_entry_financial_v2_schema()</w:t>
      </w:r>
    </w:p>
    <w:p>
      <w:r>
        <w:rPr>
          <w:rFonts w:ascii="Aptos" w:hAnsi="Aptos" w:eastAsia="Aptos"/>
          <w:b w:val="0"/>
          <w:i w:val="0"/>
          <w:color w:val="0A1628"/>
          <w:sz w:val="20"/>
        </w:rPr>
        <w:t>Returns the authoritative field list, section, label, data type, editability, required rule, dropdown source, and ordinal position. The UI and spreadsheet import must use this metadata.</w:t>
      </w:r>
    </w:p>
    <w:p>
      <w:pPr>
        <w:pStyle w:val="Heading4"/>
        <w:keepNext/>
      </w:pPr>
      <w:r>
        <w:rPr>
          <w:rFonts w:ascii="Consolas" w:hAnsi="Consolas" w:eastAsia="Consolas"/>
          <w:b w:val="0"/>
          <w:i w:val="0"/>
          <w:color w:val="0A1628"/>
          <w:sz w:val="17"/>
          <w:shd w:fill="EEF2F6"/>
        </w:rPr>
        <w:t>be_data_entry_financial_v2_snapshot(p_pickup_id text)</w:t>
      </w:r>
    </w:p>
    <w:p>
      <w:r>
        <w:rPr>
          <w:rFonts w:ascii="Aptos" w:hAnsi="Aptos" w:eastAsia="Aptos"/>
          <w:b w:val="0"/>
          <w:i w:val="0"/>
          <w:color w:val="0A1628"/>
          <w:sz w:val="20"/>
        </w:rPr>
        <w:t>Returns pickup identity, parcel rows, proof evidence, tariff options, amount-entry options, and permissions.</w:t>
      </w:r>
    </w:p>
    <w:p>
      <w:pPr>
        <w:pStyle w:val="Heading4"/>
        <w:keepNext/>
      </w:pPr>
      <w:r>
        <w:rPr>
          <w:rFonts w:ascii="Consolas" w:hAnsi="Consolas" w:eastAsia="Consolas"/>
          <w:b w:val="0"/>
          <w:i w:val="0"/>
          <w:color w:val="0A1628"/>
          <w:sz w:val="17"/>
          <w:shd w:fill="EEF2F6"/>
        </w:rPr>
        <w:t>be_data_entry_financial_v2_calculate(p_payload jsonb)</w:t>
      </w:r>
    </w:p>
    <w:p>
      <w:r>
        <w:rPr>
          <w:rFonts w:ascii="Aptos" w:hAnsi="Aptos" w:eastAsia="Aptos"/>
          <w:b w:val="0"/>
          <w:i w:val="0"/>
          <w:color w:val="0A1628"/>
          <w:sz w:val="20"/>
        </w:rPr>
        <w:t>Accepts raw operational inputs only and returns all server calculations and validation messages.</w:t>
      </w:r>
    </w:p>
    <w:p>
      <w:pPr>
        <w:pStyle w:val="Heading4"/>
        <w:keepNext/>
      </w:pPr>
      <w:r>
        <w:rPr>
          <w:rFonts w:ascii="Consolas" w:hAnsi="Consolas" w:eastAsia="Consolas"/>
          <w:b w:val="0"/>
          <w:i w:val="0"/>
          <w:color w:val="0A1628"/>
          <w:sz w:val="17"/>
          <w:shd w:fill="EEF2F6"/>
        </w:rPr>
        <w:t>be_data_entry_financial_v2_save(p_payload jsonb, p_request_id text)</w:t>
      </w:r>
    </w:p>
    <w:p>
      <w:r>
        <w:rPr>
          <w:rFonts w:ascii="Aptos" w:hAnsi="Aptos" w:eastAsia="Aptos"/>
          <w:b w:val="0"/>
          <w:i w:val="0"/>
          <w:color w:val="0A1628"/>
          <w:sz w:val="20"/>
        </w:rPr>
        <w:t>Must:</w:t>
      </w:r>
    </w:p>
    <w:p>
      <w:pPr>
        <w:pStyle w:val="ListNumber"/>
        <w:ind w:left="0"/>
      </w:pPr>
      <w:r>
        <w:rPr>
          <w:rFonts w:ascii="Aptos" w:hAnsi="Aptos" w:eastAsia="Aptos"/>
          <w:b w:val="0"/>
          <w:i w:val="0"/>
          <w:color w:val="0A1628"/>
          <w:sz w:val="20"/>
        </w:rPr>
        <w:t>Lock or resolve the pickup context.</w:t>
      </w:r>
    </w:p>
    <w:p>
      <w:pPr>
        <w:pStyle w:val="ListNumber"/>
        <w:ind w:left="0"/>
      </w:pPr>
      <w:r>
        <w:rPr>
          <w:rFonts w:ascii="Aptos" w:hAnsi="Aptos" w:eastAsia="Aptos"/>
          <w:b w:val="0"/>
          <w:i w:val="0"/>
          <w:color w:val="0A1628"/>
          <w:sz w:val="20"/>
        </w:rPr>
        <w:t>Generate or preserve canonical Way ID server-side.</w:t>
      </w:r>
    </w:p>
    <w:p>
      <w:pPr>
        <w:pStyle w:val="ListNumber"/>
        <w:ind w:left="0"/>
      </w:pPr>
      <w:r>
        <w:rPr>
          <w:rFonts w:ascii="Aptos" w:hAnsi="Aptos" w:eastAsia="Aptos"/>
          <w:b w:val="0"/>
          <w:i w:val="0"/>
          <w:color w:val="0A1628"/>
          <w:sz w:val="20"/>
        </w:rPr>
        <w:t>Resolve merchant and customer tier.</w:t>
      </w:r>
    </w:p>
    <w:p>
      <w:pPr>
        <w:pStyle w:val="ListNumber"/>
        <w:ind w:left="0"/>
      </w:pPr>
      <w:r>
        <w:rPr>
          <w:rFonts w:ascii="Aptos" w:hAnsi="Aptos" w:eastAsia="Aptos"/>
          <w:b w:val="0"/>
          <w:i w:val="0"/>
          <w:color w:val="0A1628"/>
          <w:sz w:val="20"/>
        </w:rPr>
        <w:t>Load the active tariff.</w:t>
      </w:r>
    </w:p>
    <w:p>
      <w:pPr>
        <w:pStyle w:val="ListNumber"/>
        <w:ind w:left="0"/>
      </w:pPr>
      <w:r>
        <w:rPr>
          <w:rFonts w:ascii="Aptos" w:hAnsi="Aptos" w:eastAsia="Aptos"/>
          <w:b w:val="0"/>
          <w:i w:val="0"/>
          <w:color w:val="0A1628"/>
          <w:sz w:val="20"/>
        </w:rPr>
        <w:t>Calculate financial values.</w:t>
      </w:r>
    </w:p>
    <w:p>
      <w:pPr>
        <w:pStyle w:val="ListNumber"/>
        <w:ind w:left="0"/>
      </w:pPr>
      <w:r>
        <w:rPr>
          <w:rFonts w:ascii="Aptos" w:hAnsi="Aptos" w:eastAsia="Aptos"/>
          <w:b w:val="0"/>
          <w:i w:val="0"/>
          <w:color w:val="0A1628"/>
          <w:sz w:val="20"/>
        </w:rPr>
        <w:t>Store a tariff/calculation snapshot.</w:t>
      </w:r>
    </w:p>
    <w:p>
      <w:pPr>
        <w:pStyle w:val="ListNumber"/>
        <w:ind w:left="0"/>
      </w:pPr>
      <w:r>
        <w:rPr>
          <w:rFonts w:ascii="Aptos" w:hAnsi="Aptos" w:eastAsia="Aptos"/>
          <w:b w:val="0"/>
          <w:i w:val="0"/>
          <w:color w:val="0A1628"/>
          <w:sz w:val="20"/>
        </w:rPr>
        <w:t>Save proof/audit references.</w:t>
      </w:r>
    </w:p>
    <w:p>
      <w:pPr>
        <w:pStyle w:val="ListNumber"/>
        <w:ind w:left="0"/>
      </w:pPr>
      <w:r>
        <w:rPr>
          <w:rFonts w:ascii="Aptos" w:hAnsi="Aptos" w:eastAsia="Aptos"/>
          <w:b w:val="0"/>
          <w:i w:val="0"/>
          <w:color w:val="0A1628"/>
          <w:sz w:val="20"/>
        </w:rPr>
        <w:t>Return the stored row.</w:t>
      </w:r>
    </w:p>
    <w:p>
      <w:pPr>
        <w:pStyle w:val="Heading4"/>
        <w:keepNext/>
      </w:pPr>
      <w:r>
        <w:rPr>
          <w:rFonts w:ascii="Consolas" w:hAnsi="Consolas" w:eastAsia="Consolas"/>
          <w:b w:val="0"/>
          <w:i w:val="0"/>
          <w:color w:val="0A1628"/>
          <w:sz w:val="17"/>
          <w:shd w:fill="EEF2F6"/>
        </w:rPr>
        <w:t>be_data_entry_financial_v2_import(p_batch jsonb)</w:t>
      </w:r>
    </w:p>
    <w:p>
      <w:r>
        <w:rPr>
          <w:rFonts w:ascii="Aptos" w:hAnsi="Aptos" w:eastAsia="Aptos"/>
          <w:b w:val="0"/>
          <w:i w:val="0"/>
          <w:color w:val="0A1628"/>
          <w:sz w:val="20"/>
        </w:rPr>
        <w:t>Must ignore all imported calculated values and recalculate them. Imported calculated columns may be compared for warnings only.</w:t>
      </w:r>
    </w:p>
    <w:p>
      <w:pPr>
        <w:pStyle w:val="Heading4"/>
        <w:keepNext/>
      </w:pPr>
      <w:r>
        <w:rPr>
          <w:rFonts w:ascii="Consolas" w:hAnsi="Consolas" w:eastAsia="Consolas"/>
          <w:b w:val="0"/>
          <w:i w:val="0"/>
          <w:color w:val="0A1628"/>
          <w:sz w:val="17"/>
          <w:shd w:fill="EEF2F6"/>
        </w:rPr>
        <w:t>be_data_entry_financial_v2_create_waybill(p_pickup_id text, p_way_ids text[], p_request_id text)</w:t>
      </w:r>
    </w:p>
    <w:p>
      <w:r>
        <w:rPr>
          <w:rFonts w:ascii="Aptos" w:hAnsi="Aptos" w:eastAsia="Aptos"/>
          <w:b w:val="0"/>
          <w:i w:val="0"/>
          <w:color w:val="0A1628"/>
          <w:sz w:val="20"/>
        </w:rPr>
        <w:t>Must print the backend-stored customer collection amount and must not expose internal merchant settlement differences.</w:t>
      </w:r>
    </w:p>
    <w:p>
      <w:pPr>
        <w:pStyle w:val="Heading3"/>
        <w:keepNext/>
      </w:pPr>
      <w:r>
        <w:rPr>
          <w:rFonts w:ascii="Aptos" w:hAnsi="Aptos" w:eastAsia="Aptos"/>
          <w:b w:val="0"/>
          <w:i w:val="0"/>
          <w:color w:val="0A1628"/>
          <w:sz w:val="20"/>
        </w:rPr>
        <w:t>4.7 Frontend changes</w:t>
      </w:r>
    </w:p>
    <w:p>
      <w:pPr>
        <w:pStyle w:val="ListBullet"/>
        <w:ind w:left="0"/>
      </w:pPr>
      <w:r>
        <w:rPr>
          <w:rFonts w:ascii="Aptos" w:hAnsi="Aptos" w:eastAsia="Aptos"/>
          <w:b w:val="0"/>
          <w:i w:val="0"/>
          <w:color w:val="0A1628"/>
          <w:sz w:val="20"/>
        </w:rPr>
        <w:t>Replace editable Way ID with a read-only server value.</w:t>
      </w:r>
    </w:p>
    <w:p>
      <w:pPr>
        <w:pStyle w:val="ListBullet"/>
        <w:ind w:left="0"/>
      </w:pPr>
      <w:r>
        <w:rPr>
          <w:rFonts w:ascii="Aptos" w:hAnsi="Aptos" w:eastAsia="Aptos"/>
          <w:b w:val="0"/>
          <w:i w:val="0"/>
          <w:color w:val="0A1628"/>
          <w:sz w:val="20"/>
        </w:rPr>
        <w:t>Replace legacy 15-column labels with the Financial V2 sectioned form and full-width sheet view.</w:t>
      </w:r>
    </w:p>
    <w:p>
      <w:pPr>
        <w:pStyle w:val="ListBullet"/>
        <w:ind w:left="0"/>
      </w:pPr>
      <w:r>
        <w:rPr>
          <w:rFonts w:ascii="Aptos" w:hAnsi="Aptos" w:eastAsia="Aptos"/>
          <w:b w:val="0"/>
          <w:i w:val="0"/>
          <w:color w:val="0A1628"/>
          <w:sz w:val="20"/>
        </w:rPr>
        <w:t>Make merchant-declared delivery editable where the selected amount type requires it.</w:t>
      </w:r>
    </w:p>
    <w:p>
      <w:pPr>
        <w:pStyle w:val="ListBullet"/>
        <w:ind w:left="0"/>
      </w:pPr>
      <w:r>
        <w:rPr>
          <w:rFonts w:ascii="Aptos" w:hAnsi="Aptos" w:eastAsia="Aptos"/>
          <w:b w:val="0"/>
          <w:i w:val="0"/>
          <w:color w:val="0A1628"/>
          <w:sz w:val="20"/>
        </w:rPr>
        <w:t>Display company tariff and settlement fields as read-only.</w:t>
      </w:r>
    </w:p>
    <w:p>
      <w:pPr>
        <w:pStyle w:val="ListBullet"/>
        <w:ind w:left="0"/>
      </w:pPr>
      <w:r>
        <w:rPr>
          <w:rFonts w:ascii="Aptos" w:hAnsi="Aptos" w:eastAsia="Aptos"/>
          <w:b w:val="0"/>
          <w:i w:val="0"/>
          <w:color w:val="0A1628"/>
          <w:sz w:val="20"/>
        </w:rPr>
        <w:t>Remove local hardcoded tariff authority.</w:t>
      </w:r>
    </w:p>
    <w:p>
      <w:pPr>
        <w:pStyle w:val="ListBullet"/>
        <w:ind w:left="0"/>
      </w:pPr>
      <w:r>
        <w:rPr>
          <w:rFonts w:ascii="Aptos" w:hAnsi="Aptos" w:eastAsia="Aptos"/>
          <w:b w:val="0"/>
          <w:i w:val="0"/>
          <w:color w:val="0A1628"/>
          <w:sz w:val="20"/>
        </w:rPr>
        <w:t>Remove direct table upsert fallbacks for financial records.</w:t>
      </w:r>
    </w:p>
    <w:p>
      <w:pPr>
        <w:pStyle w:val="ListBullet"/>
        <w:ind w:left="0"/>
      </w:pPr>
      <w:r>
        <w:rPr>
          <w:rFonts w:ascii="Aptos" w:hAnsi="Aptos" w:eastAsia="Aptos"/>
          <w:b w:val="0"/>
          <w:i w:val="0"/>
          <w:color w:val="0A1628"/>
          <w:sz w:val="20"/>
        </w:rPr>
        <w:t xml:space="preserve">Show server validation inline and block waybill creation for </w:t>
      </w:r>
      <w:r>
        <w:rPr>
          <w:rFonts w:ascii="Consolas" w:hAnsi="Consolas" w:eastAsia="Consolas"/>
          <w:b w:val="0"/>
          <w:i w:val="0"/>
          <w:color w:val="0A1628"/>
          <w:sz w:val="17"/>
          <w:shd w:fill="EEF2F6"/>
        </w:rPr>
        <w:t>ERROR</w:t>
      </w:r>
      <w:r>
        <w:rPr>
          <w:rFonts w:ascii="Aptos" w:hAnsi="Aptos" w:eastAsia="Aptos"/>
          <w:b w:val="0"/>
          <w:i w:val="0"/>
          <w:color w:val="0A1628"/>
          <w:sz w:val="20"/>
        </w:rPr>
        <w:t xml:space="preserve"> or unresolved </w:t>
      </w:r>
      <w:r>
        <w:rPr>
          <w:rFonts w:ascii="Consolas" w:hAnsi="Consolas" w:eastAsia="Consolas"/>
          <w:b w:val="0"/>
          <w:i w:val="0"/>
          <w:color w:val="0A1628"/>
          <w:sz w:val="17"/>
          <w:shd w:fill="EEF2F6"/>
        </w:rPr>
        <w:t>BREAKDOWN_REQUIRED</w:t>
      </w:r>
      <w:r>
        <w:rPr>
          <w:rFonts w:ascii="Aptos" w:hAnsi="Aptos" w:eastAsia="Aptos"/>
          <w:b w:val="0"/>
          <w:i w:val="0"/>
          <w:color w:val="0A1628"/>
          <w:sz w:val="20"/>
        </w:rPr>
        <w:t xml:space="preserve"> records.</w:t>
      </w:r>
    </w:p>
    <w:p>
      <w:pPr>
        <w:pStyle w:val="ListBullet"/>
        <w:ind w:left="0"/>
      </w:pPr>
      <w:r>
        <w:rPr>
          <w:rFonts w:ascii="Aptos" w:hAnsi="Aptos" w:eastAsia="Aptos"/>
          <w:b w:val="0"/>
          <w:i w:val="0"/>
          <w:color w:val="0A1628"/>
          <w:sz w:val="20"/>
        </w:rPr>
        <w:t>Preserve photo review and unavailable-image acknowledgement with audit metadata.</w:t>
      </w:r>
    </w:p>
    <w:p>
      <w:pPr>
        <w:pStyle w:val="Heading3"/>
        <w:keepNext/>
      </w:pPr>
      <w:r>
        <w:rPr>
          <w:rFonts w:ascii="Aptos" w:hAnsi="Aptos" w:eastAsia="Aptos"/>
          <w:b w:val="0"/>
          <w:i w:val="0"/>
          <w:color w:val="0A1628"/>
          <w:sz w:val="20"/>
        </w:rPr>
        <w:t>4.8 Schema-version discrepancy</w:t>
      </w:r>
    </w:p>
    <w:p>
      <w:r>
        <w:rPr>
          <w:rFonts w:ascii="Aptos" w:hAnsi="Aptos" w:eastAsia="Aptos"/>
          <w:b w:val="0"/>
          <w:i w:val="0"/>
          <w:color w:val="0A1628"/>
          <w:sz w:val="20"/>
        </w:rPr>
        <w:t>The issue note references a 50-column workbook, while the currently available updated workbook contains 47 headers. Before migration, set one authoritative version identifier, for example:</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FINANCIAL_V2_SCHEMA_2026_07_31</w:t>
            </w:r>
          </w:p>
        </w:tc>
      </w:tr>
    </w:tbl>
    <w:p>
      <w:pPr>
        <w:spacing w:after="0"/>
      </w:pPr>
    </w:p>
    <w:p>
      <w:r>
        <w:rPr>
          <w:rFonts w:ascii="Aptos" w:hAnsi="Aptos" w:eastAsia="Aptos"/>
          <w:b w:val="0"/>
          <w:i w:val="0"/>
          <w:color w:val="0A1628"/>
          <w:sz w:val="20"/>
        </w:rPr>
        <w:t>The backend schema RPC and downloadable workbook must return the same version and field count. Deployment must fail validation when they differ.</w:t>
      </w:r>
    </w:p>
    <w:p>
      <w:pPr>
        <w:pStyle w:val="Heading3"/>
        <w:keepNext/>
      </w:pPr>
      <w:r>
        <w:rPr>
          <w:rFonts w:ascii="Aptos" w:hAnsi="Aptos" w:eastAsia="Aptos"/>
          <w:b w:val="0"/>
          <w:i w:val="0"/>
          <w:color w:val="0A1628"/>
          <w:sz w:val="20"/>
        </w:rPr>
        <w:t>4.9 Acceptance criteria</w:t>
      </w:r>
    </w:p>
    <w:p>
      <w:pPr>
        <w:pStyle w:val="ListBullet"/>
        <w:ind w:left="0"/>
      </w:pPr>
      <w:r>
        <w:rPr>
          <w:rFonts w:ascii="Aptos" w:hAnsi="Aptos" w:eastAsia="Aptos"/>
          <w:b w:val="0"/>
          <w:i w:val="0"/>
          <w:color w:val="0A1628"/>
          <w:sz w:val="20"/>
        </w:rPr>
        <w:t>Backend and workbook schema versions match.</w:t>
      </w:r>
    </w:p>
    <w:p>
      <w:pPr>
        <w:pStyle w:val="ListBullet"/>
        <w:ind w:left="0"/>
      </w:pPr>
      <w:r>
        <w:rPr>
          <w:rFonts w:ascii="Aptos" w:hAnsi="Aptos" w:eastAsia="Aptos"/>
          <w:b w:val="0"/>
          <w:i w:val="0"/>
          <w:color w:val="0A1628"/>
          <w:sz w:val="20"/>
        </w:rPr>
        <w:t>The browser cannot override calculated fields.</w:t>
      </w:r>
    </w:p>
    <w:p>
      <w:pPr>
        <w:pStyle w:val="ListBullet"/>
        <w:ind w:left="0"/>
      </w:pPr>
      <w:r>
        <w:rPr>
          <w:rFonts w:ascii="Aptos" w:hAnsi="Aptos" w:eastAsia="Aptos"/>
          <w:b w:val="0"/>
          <w:i w:val="0"/>
          <w:color w:val="0A1628"/>
          <w:sz w:val="20"/>
        </w:rPr>
        <w:t>Saving the same request twice does not duplicate a parcel.</w:t>
      </w:r>
    </w:p>
    <w:p>
      <w:pPr>
        <w:pStyle w:val="ListBullet"/>
        <w:ind w:left="0"/>
      </w:pPr>
      <w:r>
        <w:rPr>
          <w:rFonts w:ascii="Aptos" w:hAnsi="Aptos" w:eastAsia="Aptos"/>
          <w:b w:val="0"/>
          <w:i w:val="0"/>
          <w:color w:val="0A1628"/>
          <w:sz w:val="20"/>
        </w:rPr>
        <w:t>Way ID and Pickup ID merchant lineage is valid before save.</w:t>
      </w:r>
    </w:p>
    <w:p>
      <w:pPr>
        <w:pStyle w:val="ListBullet"/>
        <w:ind w:left="0"/>
      </w:pPr>
      <w:r>
        <w:rPr>
          <w:rFonts w:ascii="Aptos" w:hAnsi="Aptos" w:eastAsia="Aptos"/>
          <w:b w:val="0"/>
          <w:i w:val="0"/>
          <w:color w:val="0A1628"/>
          <w:sz w:val="20"/>
        </w:rPr>
        <w:t>Imported calculated values are ignored and recalculated.</w:t>
      </w:r>
    </w:p>
    <w:p>
      <w:pPr>
        <w:pStyle w:val="ListBullet"/>
        <w:ind w:left="0"/>
      </w:pPr>
      <w:r>
        <w:rPr>
          <w:rFonts w:ascii="Aptos" w:hAnsi="Aptos" w:eastAsia="Aptos"/>
          <w:b w:val="0"/>
          <w:i w:val="0"/>
          <w:color w:val="0A1628"/>
          <w:sz w:val="20"/>
        </w:rPr>
        <w:t>Exact collection without a breakdown is deliverable only according to policy but not settlement-eligible.</w:t>
      </w:r>
    </w:p>
    <w:p>
      <w:pPr>
        <w:pStyle w:val="ListBullet"/>
        <w:ind w:left="0"/>
      </w:pPr>
      <w:r>
        <w:rPr>
          <w:rFonts w:ascii="Aptos" w:hAnsi="Aptos" w:eastAsia="Aptos"/>
          <w:b w:val="0"/>
          <w:i w:val="0"/>
          <w:color w:val="0A1628"/>
          <w:sz w:val="20"/>
        </w:rPr>
        <w:t>Historical tariff values remain stable after tariff-master changes.</w:t>
      </w:r>
    </w:p>
    <w:p>
      <w:pPr>
        <w:pStyle w:val="Heading2"/>
        <w:keepNext/>
      </w:pPr>
      <w:r>
        <w:rPr>
          <w:rFonts w:ascii="Aptos" w:hAnsi="Aptos" w:eastAsia="Aptos"/>
          <w:b w:val="0"/>
          <w:i w:val="0"/>
          <w:color w:val="0A1628"/>
          <w:sz w:val="20"/>
        </w:rPr>
        <w:t>5. Merchant Settlement Rules</w:t>
      </w:r>
    </w:p>
    <w:p>
      <w:pPr>
        <w:pStyle w:val="Heading3"/>
        <w:keepNext/>
      </w:pPr>
      <w:r>
        <w:rPr>
          <w:rFonts w:ascii="Aptos" w:hAnsi="Aptos" w:eastAsia="Aptos"/>
          <w:b w:val="0"/>
          <w:i w:val="0"/>
          <w:color w:val="0A1628"/>
          <w:sz w:val="20"/>
        </w:rPr>
        <w:t>5.1 Delivery difference</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delivery_difference</w:t>
              <w:br/>
              <w:t>= effective_declared_delivery_charge</w:t>
              <w:br/>
              <w:t>- net_system_delivery_charge</w:t>
            </w:r>
          </w:p>
        </w:tc>
      </w:tr>
    </w:tbl>
    <w:p>
      <w:pPr>
        <w:spacing w:after="0"/>
      </w:pPr>
    </w:p>
    <w:tbl>
      <w:tblPr>
        <w:tblW w:type="pct" w:w="5000"/>
        <w:jc w:val="center"/>
        <w:tblLayout w:type="autofit"/>
        <w:tblLook w:firstColumn="1" w:firstRow="1" w:lastColumn="0" w:lastRow="0" w:noHBand="0" w:noVBand="1" w:val="04A0"/>
        <w:tblBorders>
          <w:top w:val="single" w:sz="4" w:color="B8C4D1"/>
          <w:start w:val="single" w:sz="4" w:color="B8C4D1"/>
          <w:bottom w:val="single" w:sz="4" w:color="B8C4D1"/>
          <w:end w:val="single" w:sz="4" w:color="B8C4D1"/>
          <w:insideH w:val="single" w:sz="4" w:color="B8C4D1"/>
          <w:insideV w:val="single" w:sz="4" w:color="B8C4D1"/>
        </w:tblBorders>
      </w:tblPr>
      <w:tblGrid>
        <w:gridCol w:w="3456"/>
        <w:gridCol w:w="3456"/>
        <w:gridCol w:w="3456"/>
      </w:tblGrid>
      <w:tr>
        <w:trPr>
          <w:tblHeader w:val="true"/>
          <w:cantSplit/>
        </w:trPr>
        <w:tc>
          <w:tcPr>
            <w:tcW w:type="dxa" w:w="3456"/>
            <w:vAlign w:val="center"/>
            <w:tcMar>
              <w:top w:w="75" w:type="dxa"/>
              <w:start w:w="80" w:type="dxa"/>
              <w:bottom w:w="75" w:type="dxa"/>
              <w:end w:w="80" w:type="dxa"/>
            </w:tcMar>
            <w:shd w:fill="17365D"/>
          </w:tcPr>
          <w:p>
            <w:pPr>
              <w:spacing w:after="0" w:line="240" w:lineRule="auto"/>
            </w:pPr>
            <w:r>
              <w:rPr>
                <w:b/>
                <w:color w:val="FFFFFF"/>
                <w:sz w:val="17"/>
              </w:rPr>
            </w:r>
            <w:r>
              <w:rPr>
                <w:rFonts w:ascii="Aptos" w:hAnsi="Aptos" w:eastAsia="Aptos"/>
                <w:b/>
                <w:i w:val="0"/>
                <w:color w:val="FFFFFF"/>
                <w:sz w:val="17"/>
              </w:rPr>
              <w:t>Result</w:t>
            </w:r>
          </w:p>
        </w:tc>
        <w:tc>
          <w:tcPr>
            <w:tcW w:type="dxa" w:w="3456"/>
            <w:vAlign w:val="center"/>
            <w:tcMar>
              <w:top w:w="75" w:type="dxa"/>
              <w:start w:w="80" w:type="dxa"/>
              <w:bottom w:w="75" w:type="dxa"/>
              <w:end w:w="80" w:type="dxa"/>
            </w:tcMar>
            <w:shd w:fill="17365D"/>
          </w:tcPr>
          <w:p>
            <w:pPr>
              <w:spacing w:after="0" w:line="240" w:lineRule="auto"/>
            </w:pPr>
            <w:r>
              <w:rPr>
                <w:b/>
                <w:color w:val="FFFFFF"/>
                <w:sz w:val="17"/>
              </w:rPr>
            </w:r>
            <w:r>
              <w:rPr>
                <w:rFonts w:ascii="Aptos" w:hAnsi="Aptos" w:eastAsia="Aptos"/>
                <w:b/>
                <w:i w:val="0"/>
                <w:color w:val="FFFFFF"/>
                <w:sz w:val="17"/>
              </w:rPr>
              <w:t>Direction</w:t>
            </w:r>
          </w:p>
        </w:tc>
        <w:tc>
          <w:tcPr>
            <w:tcW w:type="dxa" w:w="3456"/>
            <w:vAlign w:val="center"/>
            <w:tcMar>
              <w:top w:w="75" w:type="dxa"/>
              <w:start w:w="80" w:type="dxa"/>
              <w:bottom w:w="75" w:type="dxa"/>
              <w:end w:w="80" w:type="dxa"/>
            </w:tcMar>
            <w:shd w:fill="17365D"/>
          </w:tcPr>
          <w:p>
            <w:pPr>
              <w:spacing w:after="0" w:line="240" w:lineRule="auto"/>
            </w:pPr>
            <w:r>
              <w:rPr>
                <w:b/>
                <w:color w:val="FFFFFF"/>
                <w:sz w:val="17"/>
              </w:rPr>
            </w:r>
            <w:r>
              <w:rPr>
                <w:rFonts w:ascii="Aptos" w:hAnsi="Aptos" w:eastAsia="Aptos"/>
                <w:b/>
                <w:i w:val="0"/>
                <w:color w:val="FFFFFF"/>
                <w:sz w:val="17"/>
              </w:rPr>
              <w:t>Treatment</w:t>
            </w:r>
          </w:p>
        </w:tc>
      </w:tr>
      <w:tr>
        <w:trPr>
          <w:cantSplit/>
        </w:trPr>
        <w:tc>
          <w:tcPr>
            <w:tcW w:type="dxa" w:w="3456"/>
            <w:vAlign w:val="center"/>
            <w:tcMar>
              <w:top w:w="75" w:type="dxa"/>
              <w:start w:w="80" w:type="dxa"/>
              <w:bottom w:w="75" w:type="dxa"/>
              <w:end w:w="80" w:type="dxa"/>
            </w:tcMar>
          </w:tcPr>
          <w:p>
            <w:pPr>
              <w:spacing w:after="0" w:line="240" w:lineRule="auto"/>
            </w:pPr>
            <w:r>
              <w:rPr>
                <w:color w:val="0A1628"/>
                <w:sz w:val="17"/>
              </w:rPr>
            </w:r>
            <w:r>
              <w:rPr>
                <w:rFonts w:ascii="Aptos" w:hAnsi="Aptos" w:eastAsia="Aptos"/>
                <w:b w:val="0"/>
                <w:i w:val="0"/>
                <w:color w:val="0A1628"/>
                <w:sz w:val="17"/>
              </w:rPr>
              <w:t>Positive</w:t>
            </w:r>
          </w:p>
        </w:tc>
        <w:tc>
          <w:tcPr>
            <w:tcW w:type="dxa" w:w="3456"/>
            <w:vAlign w:val="center"/>
            <w:tcMar>
              <w:top w:w="75" w:type="dxa"/>
              <w:start w:w="80" w:type="dxa"/>
              <w:bottom w:w="75" w:type="dxa"/>
              <w:end w:w="80" w:type="dxa"/>
            </w:tcMar>
          </w:tcPr>
          <w:p>
            <w:pPr>
              <w:spacing w:after="0" w:line="240" w:lineRule="auto"/>
            </w:pPr>
            <w:r>
              <w:rPr>
                <w:color w:val="0A1628"/>
                <w:sz w:val="17"/>
              </w:rPr>
            </w:r>
            <w:r>
              <w:rPr>
                <w:rFonts w:ascii="Consolas" w:hAnsi="Consolas" w:eastAsia="Consolas"/>
                <w:b w:val="0"/>
                <w:i w:val="0"/>
                <w:color w:val="0A1628"/>
                <w:sz w:val="17"/>
                <w:shd w:fill="EEF2F6"/>
              </w:rPr>
              <w:t>CREDIT_TO_MERCHANT</w:t>
            </w:r>
          </w:p>
        </w:tc>
        <w:tc>
          <w:tcPr>
            <w:tcW w:type="dxa" w:w="3456"/>
            <w:vAlign w:val="center"/>
            <w:tcMar>
              <w:top w:w="75" w:type="dxa"/>
              <w:start w:w="80" w:type="dxa"/>
              <w:bottom w:w="75" w:type="dxa"/>
              <w:end w:w="80" w:type="dxa"/>
            </w:tcMar>
          </w:tcPr>
          <w:p>
            <w:pPr>
              <w:spacing w:after="0" w:line="240" w:lineRule="auto"/>
            </w:pPr>
            <w:r>
              <w:rPr>
                <w:color w:val="0A1628"/>
                <w:sz w:val="17"/>
              </w:rPr>
            </w:r>
            <w:r>
              <w:rPr>
                <w:rFonts w:ascii="Aptos" w:hAnsi="Aptos" w:eastAsia="Aptos"/>
                <w:b w:val="0"/>
                <w:i w:val="0"/>
                <w:color w:val="0A1628"/>
                <w:sz w:val="17"/>
              </w:rPr>
              <w:t>Excess delivery collection is payable to merchant</w:t>
            </w:r>
          </w:p>
        </w:tc>
      </w:tr>
      <w:tr>
        <w:trPr>
          <w:cantSplit/>
        </w:trPr>
        <w:tc>
          <w:tcPr>
            <w:tcW w:type="dxa" w:w="3456"/>
            <w:vAlign w:val="center"/>
            <w:tcMar>
              <w:top w:w="75" w:type="dxa"/>
              <w:start w:w="80" w:type="dxa"/>
              <w:bottom w:w="75" w:type="dxa"/>
              <w:end w:w="80" w:type="dxa"/>
            </w:tcMar>
            <w:shd w:fill="F7F9FC"/>
          </w:tcPr>
          <w:p>
            <w:pPr>
              <w:spacing w:after="0" w:line="240" w:lineRule="auto"/>
            </w:pPr>
            <w:r>
              <w:rPr>
                <w:color w:val="0A1628"/>
                <w:sz w:val="17"/>
              </w:rPr>
            </w:r>
            <w:r>
              <w:rPr>
                <w:rFonts w:ascii="Aptos" w:hAnsi="Aptos" w:eastAsia="Aptos"/>
                <w:b w:val="0"/>
                <w:i w:val="0"/>
                <w:color w:val="0A1628"/>
                <w:sz w:val="17"/>
              </w:rPr>
              <w:t>Negative</w:t>
            </w:r>
          </w:p>
        </w:tc>
        <w:tc>
          <w:tcPr>
            <w:tcW w:type="dxa" w:w="3456"/>
            <w:vAlign w:val="center"/>
            <w:tcMar>
              <w:top w:w="75" w:type="dxa"/>
              <w:start w:w="80" w:type="dxa"/>
              <w:bottom w:w="75" w:type="dxa"/>
              <w:end w:w="80" w:type="dxa"/>
            </w:tcMar>
            <w:shd w:fill="F7F9FC"/>
          </w:tcPr>
          <w:p>
            <w:pPr>
              <w:spacing w:after="0" w:line="240" w:lineRule="auto"/>
            </w:pPr>
            <w:r>
              <w:rPr>
                <w:color w:val="0A1628"/>
                <w:sz w:val="17"/>
              </w:rPr>
            </w:r>
            <w:r>
              <w:rPr>
                <w:rFonts w:ascii="Consolas" w:hAnsi="Consolas" w:eastAsia="Consolas"/>
                <w:b w:val="0"/>
                <w:i w:val="0"/>
                <w:color w:val="0A1628"/>
                <w:sz w:val="17"/>
                <w:shd w:fill="EEF2F6"/>
              </w:rPr>
              <w:t>DEDUCT_FROM_MERCHANT</w:t>
            </w:r>
          </w:p>
        </w:tc>
        <w:tc>
          <w:tcPr>
            <w:tcW w:type="dxa" w:w="3456"/>
            <w:vAlign w:val="center"/>
            <w:tcMar>
              <w:top w:w="75" w:type="dxa"/>
              <w:start w:w="80" w:type="dxa"/>
              <w:bottom w:w="75" w:type="dxa"/>
              <w:end w:w="80" w:type="dxa"/>
            </w:tcMar>
            <w:shd w:fill="F7F9FC"/>
          </w:tcPr>
          <w:p>
            <w:pPr>
              <w:spacing w:after="0" w:line="240" w:lineRule="auto"/>
            </w:pPr>
            <w:r>
              <w:rPr>
                <w:color w:val="0A1628"/>
                <w:sz w:val="17"/>
              </w:rPr>
            </w:r>
            <w:r>
              <w:rPr>
                <w:rFonts w:ascii="Aptos" w:hAnsi="Aptos" w:eastAsia="Aptos"/>
                <w:b w:val="0"/>
                <w:i w:val="0"/>
                <w:color w:val="0A1628"/>
                <w:sz w:val="17"/>
              </w:rPr>
              <w:t>Delivery shortfall is deducted from merchant settlement</w:t>
            </w:r>
          </w:p>
        </w:tc>
      </w:tr>
      <w:tr>
        <w:trPr>
          <w:cantSplit/>
        </w:trPr>
        <w:tc>
          <w:tcPr>
            <w:tcW w:type="dxa" w:w="3456"/>
            <w:vAlign w:val="center"/>
            <w:tcMar>
              <w:top w:w="75" w:type="dxa"/>
              <w:start w:w="80" w:type="dxa"/>
              <w:bottom w:w="75" w:type="dxa"/>
              <w:end w:w="80" w:type="dxa"/>
            </w:tcMar>
          </w:tcPr>
          <w:p>
            <w:pPr>
              <w:spacing w:after="0" w:line="240" w:lineRule="auto"/>
            </w:pPr>
            <w:r>
              <w:rPr>
                <w:color w:val="0A1628"/>
                <w:sz w:val="17"/>
              </w:rPr>
            </w:r>
            <w:r>
              <w:rPr>
                <w:rFonts w:ascii="Aptos" w:hAnsi="Aptos" w:eastAsia="Aptos"/>
                <w:b w:val="0"/>
                <w:i w:val="0"/>
                <w:color w:val="0A1628"/>
                <w:sz w:val="17"/>
              </w:rPr>
              <w:t>Zero</w:t>
            </w:r>
          </w:p>
        </w:tc>
        <w:tc>
          <w:tcPr>
            <w:tcW w:type="dxa" w:w="3456"/>
            <w:vAlign w:val="center"/>
            <w:tcMar>
              <w:top w:w="75" w:type="dxa"/>
              <w:start w:w="80" w:type="dxa"/>
              <w:bottom w:w="75" w:type="dxa"/>
              <w:end w:w="80" w:type="dxa"/>
            </w:tcMar>
          </w:tcPr>
          <w:p>
            <w:pPr>
              <w:spacing w:after="0" w:line="240" w:lineRule="auto"/>
            </w:pPr>
            <w:r>
              <w:rPr>
                <w:color w:val="0A1628"/>
                <w:sz w:val="17"/>
              </w:rPr>
            </w:r>
            <w:r>
              <w:rPr>
                <w:rFonts w:ascii="Consolas" w:hAnsi="Consolas" w:eastAsia="Consolas"/>
                <w:b w:val="0"/>
                <w:i w:val="0"/>
                <w:color w:val="0A1628"/>
                <w:sz w:val="17"/>
                <w:shd w:fill="EEF2F6"/>
              </w:rPr>
              <w:t>NO_ADJUSTMENT</w:t>
            </w:r>
          </w:p>
        </w:tc>
        <w:tc>
          <w:tcPr>
            <w:tcW w:type="dxa" w:w="3456"/>
            <w:vAlign w:val="center"/>
            <w:tcMar>
              <w:top w:w="75" w:type="dxa"/>
              <w:start w:w="80" w:type="dxa"/>
              <w:bottom w:w="75" w:type="dxa"/>
              <w:end w:w="80" w:type="dxa"/>
            </w:tcMar>
          </w:tcPr>
          <w:p>
            <w:pPr>
              <w:spacing w:after="0" w:line="240" w:lineRule="auto"/>
            </w:pPr>
            <w:r>
              <w:rPr>
                <w:color w:val="0A1628"/>
                <w:sz w:val="17"/>
              </w:rPr>
            </w:r>
            <w:r>
              <w:rPr>
                <w:rFonts w:ascii="Aptos" w:hAnsi="Aptos" w:eastAsia="Aptos"/>
                <w:b w:val="0"/>
                <w:i w:val="0"/>
                <w:color w:val="0A1628"/>
                <w:sz w:val="17"/>
              </w:rPr>
              <w:t>No delivery settlement adjustment</w:t>
            </w:r>
          </w:p>
        </w:tc>
      </w:tr>
      <w:tr>
        <w:trPr>
          <w:cantSplit/>
        </w:trPr>
        <w:tc>
          <w:tcPr>
            <w:tcW w:type="dxa" w:w="3456"/>
            <w:vAlign w:val="center"/>
            <w:tcMar>
              <w:top w:w="75" w:type="dxa"/>
              <w:start w:w="80" w:type="dxa"/>
              <w:bottom w:w="75" w:type="dxa"/>
              <w:end w:w="80" w:type="dxa"/>
            </w:tcMar>
            <w:shd w:fill="F7F9FC"/>
          </w:tcPr>
          <w:p>
            <w:pPr>
              <w:spacing w:after="0" w:line="240" w:lineRule="auto"/>
            </w:pPr>
            <w:r>
              <w:rPr>
                <w:color w:val="0A1628"/>
                <w:sz w:val="17"/>
              </w:rPr>
            </w:r>
            <w:r>
              <w:rPr>
                <w:rFonts w:ascii="Aptos" w:hAnsi="Aptos" w:eastAsia="Aptos"/>
                <w:b w:val="0"/>
                <w:i w:val="0"/>
                <w:color w:val="0A1628"/>
                <w:sz w:val="17"/>
              </w:rPr>
              <w:t>Unknown breakdown</w:t>
            </w:r>
          </w:p>
        </w:tc>
        <w:tc>
          <w:tcPr>
            <w:tcW w:type="dxa" w:w="3456"/>
            <w:vAlign w:val="center"/>
            <w:tcMar>
              <w:top w:w="75" w:type="dxa"/>
              <w:start w:w="80" w:type="dxa"/>
              <w:bottom w:w="75" w:type="dxa"/>
              <w:end w:w="80" w:type="dxa"/>
            </w:tcMar>
            <w:shd w:fill="F7F9FC"/>
          </w:tcPr>
          <w:p>
            <w:pPr>
              <w:spacing w:after="0" w:line="240" w:lineRule="auto"/>
            </w:pPr>
            <w:r>
              <w:rPr>
                <w:color w:val="0A1628"/>
                <w:sz w:val="17"/>
              </w:rPr>
            </w:r>
            <w:r>
              <w:rPr>
                <w:rFonts w:ascii="Consolas" w:hAnsi="Consolas" w:eastAsia="Consolas"/>
                <w:b w:val="0"/>
                <w:i w:val="0"/>
                <w:color w:val="0A1628"/>
                <w:sz w:val="17"/>
                <w:shd w:fill="EEF2F6"/>
              </w:rPr>
              <w:t>BREAKDOWN_REQUIRED</w:t>
            </w:r>
          </w:p>
        </w:tc>
        <w:tc>
          <w:tcPr>
            <w:tcW w:type="dxa" w:w="3456"/>
            <w:vAlign w:val="center"/>
            <w:tcMar>
              <w:top w:w="75" w:type="dxa"/>
              <w:start w:w="80" w:type="dxa"/>
              <w:bottom w:w="75" w:type="dxa"/>
              <w:end w:w="80" w:type="dxa"/>
            </w:tcMar>
            <w:shd w:fill="F7F9FC"/>
          </w:tcPr>
          <w:p>
            <w:pPr>
              <w:spacing w:after="0" w:line="240" w:lineRule="auto"/>
            </w:pPr>
            <w:r>
              <w:rPr>
                <w:color w:val="0A1628"/>
                <w:sz w:val="17"/>
              </w:rPr>
            </w:r>
            <w:r>
              <w:rPr>
                <w:rFonts w:ascii="Aptos" w:hAnsi="Aptos" w:eastAsia="Aptos"/>
                <w:b w:val="0"/>
                <w:i w:val="0"/>
                <w:color w:val="0A1628"/>
                <w:sz w:val="17"/>
              </w:rPr>
              <w:t>Settlement is blocked</w:t>
            </w:r>
          </w:p>
        </w:tc>
      </w:tr>
    </w:tbl>
    <w:p>
      <w:pPr>
        <w:spacing w:after="0"/>
      </w:pPr>
    </w:p>
    <w:p>
      <w:pPr>
        <w:pStyle w:val="Heading3"/>
        <w:keepNext/>
      </w:pPr>
      <w:r>
        <w:rPr>
          <w:rFonts w:ascii="Aptos" w:hAnsi="Aptos" w:eastAsia="Aptos"/>
          <w:b w:val="0"/>
          <w:i w:val="0"/>
          <w:color w:val="0A1628"/>
          <w:sz w:val="20"/>
        </w:rPr>
        <w:t>5.2 Merchant final settlement</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merchant_final_settlement_amount</w:t>
              <w:br/>
              <w:t>= item_price</w:t>
              <w:br/>
              <w:t>+ delivery_difference</w:t>
              <w:br/>
              <w:t>+ other_merchant_credits</w:t>
              <w:br/>
              <w:t>- merchant_payable_charges</w:t>
            </w:r>
          </w:p>
        </w:tc>
      </w:tr>
    </w:tbl>
    <w:p>
      <w:pPr>
        <w:spacing w:after="0"/>
      </w:pPr>
    </w:p>
    <w:p>
      <w:r>
        <w:rPr>
          <w:rFonts w:ascii="Aptos" w:hAnsi="Aptos" w:eastAsia="Aptos"/>
          <w:b w:val="0"/>
          <w:i w:val="0"/>
          <w:color w:val="0A1628"/>
          <w:sz w:val="20"/>
        </w:rPr>
        <w:t>A negative merchant settlement must remain negative and become a merchant receivable or carry-forward balance. It must not be silently changed to zero.</w:t>
      </w:r>
    </w:p>
    <w:p>
      <w:pPr>
        <w:pStyle w:val="Heading3"/>
        <w:keepNext/>
      </w:pPr>
      <w:r>
        <w:rPr>
          <w:rFonts w:ascii="Aptos" w:hAnsi="Aptos" w:eastAsia="Aptos"/>
          <w:b w:val="0"/>
          <w:i w:val="0"/>
          <w:color w:val="0A1628"/>
          <w:sz w:val="20"/>
        </w:rPr>
        <w:t>5.3 Examples</w:t>
      </w:r>
    </w:p>
    <w:tbl>
      <w:tblPr>
        <w:tblW w:type="pct" w:w="5000"/>
        <w:jc w:val="center"/>
        <w:tblLayout w:type="autofit"/>
        <w:tblLook w:firstColumn="1" w:firstRow="1" w:lastColumn="0" w:lastRow="0" w:noHBand="0" w:noVBand="1" w:val="04A0"/>
        <w:tblBorders>
          <w:top w:val="single" w:sz="4" w:color="B8C4D1"/>
          <w:start w:val="single" w:sz="4" w:color="B8C4D1"/>
          <w:bottom w:val="single" w:sz="4" w:color="B8C4D1"/>
          <w:end w:val="single" w:sz="4" w:color="B8C4D1"/>
          <w:insideH w:val="single" w:sz="4" w:color="B8C4D1"/>
          <w:insideV w:val="single" w:sz="4" w:color="B8C4D1"/>
        </w:tblBorders>
      </w:tblPr>
      <w:tblGrid>
        <w:gridCol w:w="1728"/>
        <w:gridCol w:w="1728"/>
        <w:gridCol w:w="1728"/>
        <w:gridCol w:w="1728"/>
        <w:gridCol w:w="1728"/>
        <w:gridCol w:w="1728"/>
      </w:tblGrid>
      <w:tr>
        <w:trPr>
          <w:tblHeader w:val="true"/>
          <w:cantSplit/>
        </w:trPr>
        <w:tc>
          <w:tcPr>
            <w:tcW w:type="dxa" w:w="1728"/>
            <w:vAlign w:val="center"/>
            <w:tcMar>
              <w:top w:w="75" w:type="dxa"/>
              <w:start w:w="80" w:type="dxa"/>
              <w:bottom w:w="75" w:type="dxa"/>
              <w:end w:w="80" w:type="dxa"/>
            </w:tcMar>
            <w:shd w:fill="17365D"/>
          </w:tcPr>
          <w:p>
            <w:pPr>
              <w:spacing w:after="0" w:line="240" w:lineRule="auto"/>
            </w:pPr>
            <w:r>
              <w:rPr>
                <w:b/>
                <w:color w:val="FFFFFF"/>
                <w:sz w:val="16"/>
              </w:rPr>
            </w:r>
            <w:r>
              <w:rPr>
                <w:rFonts w:ascii="Aptos" w:hAnsi="Aptos" w:eastAsia="Aptos"/>
                <w:b/>
                <w:i w:val="0"/>
                <w:color w:val="FFFFFF"/>
                <w:sz w:val="16"/>
              </w:rPr>
              <w:t>Scenario</w:t>
            </w:r>
          </w:p>
        </w:tc>
        <w:tc>
          <w:tcPr>
            <w:tcW w:type="dxa" w:w="1728"/>
            <w:vAlign w:val="center"/>
            <w:tcMar>
              <w:top w:w="75" w:type="dxa"/>
              <w:start w:w="80" w:type="dxa"/>
              <w:bottom w:w="75" w:type="dxa"/>
              <w:end w:w="80" w:type="dxa"/>
            </w:tcMar>
            <w:shd w:fill="17365D"/>
          </w:tcPr>
          <w:p>
            <w:pPr>
              <w:spacing w:after="0" w:line="240" w:lineRule="auto"/>
            </w:pPr>
            <w:r>
              <w:rPr>
                <w:b/>
                <w:color w:val="FFFFFF"/>
                <w:sz w:val="16"/>
              </w:rPr>
            </w:r>
            <w:r>
              <w:rPr>
                <w:rFonts w:ascii="Aptos" w:hAnsi="Aptos" w:eastAsia="Aptos"/>
                <w:b/>
                <w:i w:val="0"/>
                <w:color w:val="FFFFFF"/>
                <w:sz w:val="16"/>
              </w:rPr>
              <w:t>Item</w:t>
            </w:r>
          </w:p>
        </w:tc>
        <w:tc>
          <w:tcPr>
            <w:tcW w:type="dxa" w:w="1728"/>
            <w:vAlign w:val="center"/>
            <w:tcMar>
              <w:top w:w="75" w:type="dxa"/>
              <w:start w:w="80" w:type="dxa"/>
              <w:bottom w:w="75" w:type="dxa"/>
              <w:end w:w="80" w:type="dxa"/>
            </w:tcMar>
            <w:shd w:fill="17365D"/>
          </w:tcPr>
          <w:p>
            <w:pPr>
              <w:spacing w:after="0" w:line="240" w:lineRule="auto"/>
            </w:pPr>
            <w:r>
              <w:rPr>
                <w:b/>
                <w:color w:val="FFFFFF"/>
                <w:sz w:val="16"/>
              </w:rPr>
            </w:r>
            <w:r>
              <w:rPr>
                <w:rFonts w:ascii="Aptos" w:hAnsi="Aptos" w:eastAsia="Aptos"/>
                <w:b/>
                <w:i w:val="0"/>
                <w:color w:val="FFFFFF"/>
                <w:sz w:val="16"/>
              </w:rPr>
              <w:t>Declared delivery</w:t>
            </w:r>
          </w:p>
        </w:tc>
        <w:tc>
          <w:tcPr>
            <w:tcW w:type="dxa" w:w="1728"/>
            <w:vAlign w:val="center"/>
            <w:tcMar>
              <w:top w:w="75" w:type="dxa"/>
              <w:start w:w="80" w:type="dxa"/>
              <w:bottom w:w="75" w:type="dxa"/>
              <w:end w:w="80" w:type="dxa"/>
            </w:tcMar>
            <w:shd w:fill="17365D"/>
          </w:tcPr>
          <w:p>
            <w:pPr>
              <w:spacing w:after="0" w:line="240" w:lineRule="auto"/>
            </w:pPr>
            <w:r>
              <w:rPr>
                <w:b/>
                <w:color w:val="FFFFFF"/>
                <w:sz w:val="16"/>
              </w:rPr>
            </w:r>
            <w:r>
              <w:rPr>
                <w:rFonts w:ascii="Aptos" w:hAnsi="Aptos" w:eastAsia="Aptos"/>
                <w:b/>
                <w:i w:val="0"/>
                <w:color w:val="FFFFFF"/>
                <w:sz w:val="16"/>
              </w:rPr>
              <w:t>Britium charge</w:t>
            </w:r>
          </w:p>
        </w:tc>
        <w:tc>
          <w:tcPr>
            <w:tcW w:type="dxa" w:w="1728"/>
            <w:vAlign w:val="center"/>
            <w:tcMar>
              <w:top w:w="75" w:type="dxa"/>
              <w:start w:w="80" w:type="dxa"/>
              <w:bottom w:w="75" w:type="dxa"/>
              <w:end w:w="80" w:type="dxa"/>
            </w:tcMar>
            <w:shd w:fill="17365D"/>
          </w:tcPr>
          <w:p>
            <w:pPr>
              <w:spacing w:after="0" w:line="240" w:lineRule="auto"/>
            </w:pPr>
            <w:r>
              <w:rPr>
                <w:b/>
                <w:color w:val="FFFFFF"/>
                <w:sz w:val="16"/>
              </w:rPr>
            </w:r>
            <w:r>
              <w:rPr>
                <w:rFonts w:ascii="Aptos" w:hAnsi="Aptos" w:eastAsia="Aptos"/>
                <w:b/>
                <w:i w:val="0"/>
                <w:color w:val="FFFFFF"/>
                <w:sz w:val="16"/>
              </w:rPr>
              <w:t>Customer collects</w:t>
            </w:r>
          </w:p>
        </w:tc>
        <w:tc>
          <w:tcPr>
            <w:tcW w:type="dxa" w:w="1728"/>
            <w:vAlign w:val="center"/>
            <w:tcMar>
              <w:top w:w="75" w:type="dxa"/>
              <w:start w:w="80" w:type="dxa"/>
              <w:bottom w:w="75" w:type="dxa"/>
              <w:end w:w="80" w:type="dxa"/>
            </w:tcMar>
            <w:shd w:fill="17365D"/>
          </w:tcPr>
          <w:p>
            <w:pPr>
              <w:spacing w:after="0" w:line="240" w:lineRule="auto"/>
            </w:pPr>
            <w:r>
              <w:rPr>
                <w:b/>
                <w:color w:val="FFFFFF"/>
                <w:sz w:val="16"/>
              </w:rPr>
            </w:r>
            <w:r>
              <w:rPr>
                <w:rFonts w:ascii="Aptos" w:hAnsi="Aptos" w:eastAsia="Aptos"/>
                <w:b/>
                <w:i w:val="0"/>
                <w:color w:val="FFFFFF"/>
                <w:sz w:val="16"/>
              </w:rPr>
              <w:t>Merchant settlement</w:t>
            </w:r>
          </w:p>
        </w:tc>
      </w:tr>
      <w:tr>
        <w:trPr>
          <w:cantSplit/>
        </w:trPr>
        <w:tc>
          <w:tcPr>
            <w:tcW w:type="dxa" w:w="1728"/>
            <w:vAlign w:val="center"/>
            <w:tcMar>
              <w:top w:w="75" w:type="dxa"/>
              <w:start w:w="80" w:type="dxa"/>
              <w:bottom w:w="75" w:type="dxa"/>
              <w:end w:w="80" w:type="dxa"/>
            </w:tcMar>
          </w:tcPr>
          <w:p>
            <w:pPr>
              <w:spacing w:after="0" w:line="240" w:lineRule="auto"/>
            </w:pPr>
            <w:r>
              <w:rPr>
                <w:color w:val="0A1628"/>
                <w:sz w:val="16"/>
              </w:rPr>
            </w:r>
            <w:r>
              <w:rPr>
                <w:rFonts w:ascii="Aptos" w:hAnsi="Aptos" w:eastAsia="Aptos"/>
                <w:b w:val="0"/>
                <w:i w:val="0"/>
                <w:color w:val="0A1628"/>
                <w:sz w:val="16"/>
              </w:rPr>
              <w:t>Merchant charged more</w:t>
            </w:r>
          </w:p>
        </w:tc>
        <w:tc>
          <w:tcPr>
            <w:tcW w:type="dxa" w:w="1728"/>
            <w:vAlign w:val="center"/>
            <w:tcMar>
              <w:top w:w="75" w:type="dxa"/>
              <w:start w:w="80" w:type="dxa"/>
              <w:bottom w:w="75" w:type="dxa"/>
              <w:end w:w="80" w:type="dxa"/>
            </w:tcMar>
          </w:tcPr>
          <w:p>
            <w:pPr>
              <w:spacing w:after="0" w:line="240" w:lineRule="auto"/>
              <w:jc w:val="right"/>
            </w:pPr>
            <w:r>
              <w:rPr>
                <w:color w:val="0A1628"/>
                <w:sz w:val="16"/>
              </w:rPr>
            </w:r>
            <w:r>
              <w:rPr>
                <w:rFonts w:ascii="Aptos" w:hAnsi="Aptos" w:eastAsia="Aptos"/>
                <w:b w:val="0"/>
                <w:i w:val="0"/>
                <w:color w:val="0A1628"/>
                <w:sz w:val="16"/>
              </w:rPr>
              <w:t>25,000</w:t>
            </w:r>
          </w:p>
        </w:tc>
        <w:tc>
          <w:tcPr>
            <w:tcW w:type="dxa" w:w="1728"/>
            <w:vAlign w:val="center"/>
            <w:tcMar>
              <w:top w:w="75" w:type="dxa"/>
              <w:start w:w="80" w:type="dxa"/>
              <w:bottom w:w="75" w:type="dxa"/>
              <w:end w:w="80" w:type="dxa"/>
            </w:tcMar>
          </w:tcPr>
          <w:p>
            <w:pPr>
              <w:spacing w:after="0" w:line="240" w:lineRule="auto"/>
              <w:jc w:val="right"/>
            </w:pPr>
            <w:r>
              <w:rPr>
                <w:color w:val="0A1628"/>
                <w:sz w:val="16"/>
              </w:rPr>
            </w:r>
            <w:r>
              <w:rPr>
                <w:rFonts w:ascii="Aptos" w:hAnsi="Aptos" w:eastAsia="Aptos"/>
                <w:b w:val="0"/>
                <w:i w:val="0"/>
                <w:color w:val="0A1628"/>
                <w:sz w:val="16"/>
              </w:rPr>
              <w:t>6,000</w:t>
            </w:r>
          </w:p>
        </w:tc>
        <w:tc>
          <w:tcPr>
            <w:tcW w:type="dxa" w:w="1728"/>
            <w:vAlign w:val="center"/>
            <w:tcMar>
              <w:top w:w="75" w:type="dxa"/>
              <w:start w:w="80" w:type="dxa"/>
              <w:bottom w:w="75" w:type="dxa"/>
              <w:end w:w="80" w:type="dxa"/>
            </w:tcMar>
          </w:tcPr>
          <w:p>
            <w:pPr>
              <w:spacing w:after="0" w:line="240" w:lineRule="auto"/>
              <w:jc w:val="right"/>
            </w:pPr>
            <w:r>
              <w:rPr>
                <w:color w:val="0A1628"/>
                <w:sz w:val="16"/>
              </w:rPr>
            </w:r>
            <w:r>
              <w:rPr>
                <w:rFonts w:ascii="Aptos" w:hAnsi="Aptos" w:eastAsia="Aptos"/>
                <w:b w:val="0"/>
                <w:i w:val="0"/>
                <w:color w:val="0A1628"/>
                <w:sz w:val="16"/>
              </w:rPr>
              <w:t>4,500</w:t>
            </w:r>
          </w:p>
        </w:tc>
        <w:tc>
          <w:tcPr>
            <w:tcW w:type="dxa" w:w="1728"/>
            <w:vAlign w:val="center"/>
            <w:tcMar>
              <w:top w:w="75" w:type="dxa"/>
              <w:start w:w="80" w:type="dxa"/>
              <w:bottom w:w="75" w:type="dxa"/>
              <w:end w:w="80" w:type="dxa"/>
            </w:tcMar>
          </w:tcPr>
          <w:p>
            <w:pPr>
              <w:spacing w:after="0" w:line="240" w:lineRule="auto"/>
              <w:jc w:val="right"/>
            </w:pPr>
            <w:r>
              <w:rPr>
                <w:color w:val="0A1628"/>
                <w:sz w:val="16"/>
              </w:rPr>
            </w:r>
            <w:r>
              <w:rPr>
                <w:rFonts w:ascii="Aptos" w:hAnsi="Aptos" w:eastAsia="Aptos"/>
                <w:b w:val="0"/>
                <w:i w:val="0"/>
                <w:color w:val="0A1628"/>
                <w:sz w:val="16"/>
              </w:rPr>
              <w:t>31,000</w:t>
            </w:r>
          </w:p>
        </w:tc>
        <w:tc>
          <w:tcPr>
            <w:tcW w:type="dxa" w:w="1728"/>
            <w:vAlign w:val="center"/>
            <w:tcMar>
              <w:top w:w="75" w:type="dxa"/>
              <w:start w:w="80" w:type="dxa"/>
              <w:bottom w:w="75" w:type="dxa"/>
              <w:end w:w="80" w:type="dxa"/>
            </w:tcMar>
          </w:tcPr>
          <w:p>
            <w:pPr>
              <w:spacing w:after="0" w:line="240" w:lineRule="auto"/>
              <w:jc w:val="right"/>
            </w:pPr>
            <w:r>
              <w:rPr>
                <w:color w:val="0A1628"/>
                <w:sz w:val="16"/>
              </w:rPr>
            </w:r>
            <w:r>
              <w:rPr>
                <w:rFonts w:ascii="Aptos" w:hAnsi="Aptos" w:eastAsia="Aptos"/>
                <w:b w:val="0"/>
                <w:i w:val="0"/>
                <w:color w:val="0A1628"/>
                <w:sz w:val="16"/>
              </w:rPr>
              <w:t>26,500</w:t>
            </w:r>
          </w:p>
        </w:tc>
      </w:tr>
      <w:tr>
        <w:trPr>
          <w:cantSplit/>
        </w:trPr>
        <w:tc>
          <w:tcPr>
            <w:tcW w:type="dxa" w:w="1728"/>
            <w:vAlign w:val="center"/>
            <w:tcMar>
              <w:top w:w="75" w:type="dxa"/>
              <w:start w:w="80" w:type="dxa"/>
              <w:bottom w:w="75" w:type="dxa"/>
              <w:end w:w="80" w:type="dxa"/>
            </w:tcMar>
            <w:shd w:fill="F7F9FC"/>
          </w:tcPr>
          <w:p>
            <w:pPr>
              <w:spacing w:after="0" w:line="240" w:lineRule="auto"/>
            </w:pPr>
            <w:r>
              <w:rPr>
                <w:color w:val="0A1628"/>
                <w:sz w:val="16"/>
              </w:rPr>
            </w:r>
            <w:r>
              <w:rPr>
                <w:rFonts w:ascii="Aptos" w:hAnsi="Aptos" w:eastAsia="Aptos"/>
                <w:b w:val="0"/>
                <w:i w:val="0"/>
                <w:color w:val="0A1628"/>
                <w:sz w:val="16"/>
              </w:rPr>
              <w:t>Merchant charged less</w:t>
            </w:r>
          </w:p>
        </w:tc>
        <w:tc>
          <w:tcPr>
            <w:tcW w:type="dxa" w:w="1728"/>
            <w:vAlign w:val="center"/>
            <w:tcMar>
              <w:top w:w="75" w:type="dxa"/>
              <w:start w:w="80" w:type="dxa"/>
              <w:bottom w:w="75" w:type="dxa"/>
              <w:end w:w="80" w:type="dxa"/>
            </w:tcMar>
            <w:shd w:fill="F7F9FC"/>
          </w:tcPr>
          <w:p>
            <w:pPr>
              <w:spacing w:after="0" w:line="240" w:lineRule="auto"/>
              <w:jc w:val="right"/>
            </w:pPr>
            <w:r>
              <w:rPr>
                <w:color w:val="0A1628"/>
                <w:sz w:val="16"/>
              </w:rPr>
            </w:r>
            <w:r>
              <w:rPr>
                <w:rFonts w:ascii="Aptos" w:hAnsi="Aptos" w:eastAsia="Aptos"/>
                <w:b w:val="0"/>
                <w:i w:val="0"/>
                <w:color w:val="0A1628"/>
                <w:sz w:val="16"/>
              </w:rPr>
              <w:t>25,000</w:t>
            </w:r>
          </w:p>
        </w:tc>
        <w:tc>
          <w:tcPr>
            <w:tcW w:type="dxa" w:w="1728"/>
            <w:vAlign w:val="center"/>
            <w:tcMar>
              <w:top w:w="75" w:type="dxa"/>
              <w:start w:w="80" w:type="dxa"/>
              <w:bottom w:w="75" w:type="dxa"/>
              <w:end w:w="80" w:type="dxa"/>
            </w:tcMar>
            <w:shd w:fill="F7F9FC"/>
          </w:tcPr>
          <w:p>
            <w:pPr>
              <w:spacing w:after="0" w:line="240" w:lineRule="auto"/>
              <w:jc w:val="right"/>
            </w:pPr>
            <w:r>
              <w:rPr>
                <w:color w:val="0A1628"/>
                <w:sz w:val="16"/>
              </w:rPr>
            </w:r>
            <w:r>
              <w:rPr>
                <w:rFonts w:ascii="Aptos" w:hAnsi="Aptos" w:eastAsia="Aptos"/>
                <w:b w:val="0"/>
                <w:i w:val="0"/>
                <w:color w:val="0A1628"/>
                <w:sz w:val="16"/>
              </w:rPr>
              <w:t>3,000</w:t>
            </w:r>
          </w:p>
        </w:tc>
        <w:tc>
          <w:tcPr>
            <w:tcW w:type="dxa" w:w="1728"/>
            <w:vAlign w:val="center"/>
            <w:tcMar>
              <w:top w:w="75" w:type="dxa"/>
              <w:start w:w="80" w:type="dxa"/>
              <w:bottom w:w="75" w:type="dxa"/>
              <w:end w:w="80" w:type="dxa"/>
            </w:tcMar>
            <w:shd w:fill="F7F9FC"/>
          </w:tcPr>
          <w:p>
            <w:pPr>
              <w:spacing w:after="0" w:line="240" w:lineRule="auto"/>
              <w:jc w:val="right"/>
            </w:pPr>
            <w:r>
              <w:rPr>
                <w:color w:val="0A1628"/>
                <w:sz w:val="16"/>
              </w:rPr>
            </w:r>
            <w:r>
              <w:rPr>
                <w:rFonts w:ascii="Aptos" w:hAnsi="Aptos" w:eastAsia="Aptos"/>
                <w:b w:val="0"/>
                <w:i w:val="0"/>
                <w:color w:val="0A1628"/>
                <w:sz w:val="16"/>
              </w:rPr>
              <w:t>4,500</w:t>
            </w:r>
          </w:p>
        </w:tc>
        <w:tc>
          <w:tcPr>
            <w:tcW w:type="dxa" w:w="1728"/>
            <w:vAlign w:val="center"/>
            <w:tcMar>
              <w:top w:w="75" w:type="dxa"/>
              <w:start w:w="80" w:type="dxa"/>
              <w:bottom w:w="75" w:type="dxa"/>
              <w:end w:w="80" w:type="dxa"/>
            </w:tcMar>
            <w:shd w:fill="F7F9FC"/>
          </w:tcPr>
          <w:p>
            <w:pPr>
              <w:spacing w:after="0" w:line="240" w:lineRule="auto"/>
              <w:jc w:val="right"/>
            </w:pPr>
            <w:r>
              <w:rPr>
                <w:color w:val="0A1628"/>
                <w:sz w:val="16"/>
              </w:rPr>
            </w:r>
            <w:r>
              <w:rPr>
                <w:rFonts w:ascii="Aptos" w:hAnsi="Aptos" w:eastAsia="Aptos"/>
                <w:b w:val="0"/>
                <w:i w:val="0"/>
                <w:color w:val="0A1628"/>
                <w:sz w:val="16"/>
              </w:rPr>
              <w:t>28,000</w:t>
            </w:r>
          </w:p>
        </w:tc>
        <w:tc>
          <w:tcPr>
            <w:tcW w:type="dxa" w:w="1728"/>
            <w:vAlign w:val="center"/>
            <w:tcMar>
              <w:top w:w="75" w:type="dxa"/>
              <w:start w:w="80" w:type="dxa"/>
              <w:bottom w:w="75" w:type="dxa"/>
              <w:end w:w="80" w:type="dxa"/>
            </w:tcMar>
            <w:shd w:fill="F7F9FC"/>
          </w:tcPr>
          <w:p>
            <w:pPr>
              <w:spacing w:after="0" w:line="240" w:lineRule="auto"/>
              <w:jc w:val="right"/>
            </w:pPr>
            <w:r>
              <w:rPr>
                <w:color w:val="0A1628"/>
                <w:sz w:val="16"/>
              </w:rPr>
            </w:r>
            <w:r>
              <w:rPr>
                <w:rFonts w:ascii="Aptos" w:hAnsi="Aptos" w:eastAsia="Aptos"/>
                <w:b w:val="0"/>
                <w:i w:val="0"/>
                <w:color w:val="0A1628"/>
                <w:sz w:val="16"/>
              </w:rPr>
              <w:t>23,500</w:t>
            </w:r>
          </w:p>
        </w:tc>
      </w:tr>
      <w:tr>
        <w:trPr>
          <w:cantSplit/>
        </w:trPr>
        <w:tc>
          <w:tcPr>
            <w:tcW w:type="dxa" w:w="1728"/>
            <w:vAlign w:val="center"/>
            <w:tcMar>
              <w:top w:w="75" w:type="dxa"/>
              <w:start w:w="80" w:type="dxa"/>
              <w:bottom w:w="75" w:type="dxa"/>
              <w:end w:w="80" w:type="dxa"/>
            </w:tcMar>
          </w:tcPr>
          <w:p>
            <w:pPr>
              <w:spacing w:after="0" w:line="240" w:lineRule="auto"/>
            </w:pPr>
            <w:r>
              <w:rPr>
                <w:color w:val="0A1628"/>
                <w:sz w:val="16"/>
              </w:rPr>
            </w:r>
            <w:r>
              <w:rPr>
                <w:rFonts w:ascii="Aptos" w:hAnsi="Aptos" w:eastAsia="Aptos"/>
                <w:b w:val="0"/>
                <w:i w:val="0"/>
                <w:color w:val="0A1628"/>
                <w:sz w:val="16"/>
              </w:rPr>
              <w:t>Equal delivery</w:t>
            </w:r>
          </w:p>
        </w:tc>
        <w:tc>
          <w:tcPr>
            <w:tcW w:type="dxa" w:w="1728"/>
            <w:vAlign w:val="center"/>
            <w:tcMar>
              <w:top w:w="75" w:type="dxa"/>
              <w:start w:w="80" w:type="dxa"/>
              <w:bottom w:w="75" w:type="dxa"/>
              <w:end w:w="80" w:type="dxa"/>
            </w:tcMar>
          </w:tcPr>
          <w:p>
            <w:pPr>
              <w:spacing w:after="0" w:line="240" w:lineRule="auto"/>
              <w:jc w:val="right"/>
            </w:pPr>
            <w:r>
              <w:rPr>
                <w:color w:val="0A1628"/>
                <w:sz w:val="16"/>
              </w:rPr>
            </w:r>
            <w:r>
              <w:rPr>
                <w:rFonts w:ascii="Aptos" w:hAnsi="Aptos" w:eastAsia="Aptos"/>
                <w:b w:val="0"/>
                <w:i w:val="0"/>
                <w:color w:val="0A1628"/>
                <w:sz w:val="16"/>
              </w:rPr>
              <w:t>25,000</w:t>
            </w:r>
          </w:p>
        </w:tc>
        <w:tc>
          <w:tcPr>
            <w:tcW w:type="dxa" w:w="1728"/>
            <w:vAlign w:val="center"/>
            <w:tcMar>
              <w:top w:w="75" w:type="dxa"/>
              <w:start w:w="80" w:type="dxa"/>
              <w:bottom w:w="75" w:type="dxa"/>
              <w:end w:w="80" w:type="dxa"/>
            </w:tcMar>
          </w:tcPr>
          <w:p>
            <w:pPr>
              <w:spacing w:after="0" w:line="240" w:lineRule="auto"/>
              <w:jc w:val="right"/>
            </w:pPr>
            <w:r>
              <w:rPr>
                <w:color w:val="0A1628"/>
                <w:sz w:val="16"/>
              </w:rPr>
            </w:r>
            <w:r>
              <w:rPr>
                <w:rFonts w:ascii="Aptos" w:hAnsi="Aptos" w:eastAsia="Aptos"/>
                <w:b w:val="0"/>
                <w:i w:val="0"/>
                <w:color w:val="0A1628"/>
                <w:sz w:val="16"/>
              </w:rPr>
              <w:t>4,500</w:t>
            </w:r>
          </w:p>
        </w:tc>
        <w:tc>
          <w:tcPr>
            <w:tcW w:type="dxa" w:w="1728"/>
            <w:vAlign w:val="center"/>
            <w:tcMar>
              <w:top w:w="75" w:type="dxa"/>
              <w:start w:w="80" w:type="dxa"/>
              <w:bottom w:w="75" w:type="dxa"/>
              <w:end w:w="80" w:type="dxa"/>
            </w:tcMar>
          </w:tcPr>
          <w:p>
            <w:pPr>
              <w:spacing w:after="0" w:line="240" w:lineRule="auto"/>
              <w:jc w:val="right"/>
            </w:pPr>
            <w:r>
              <w:rPr>
                <w:color w:val="0A1628"/>
                <w:sz w:val="16"/>
              </w:rPr>
            </w:r>
            <w:r>
              <w:rPr>
                <w:rFonts w:ascii="Aptos" w:hAnsi="Aptos" w:eastAsia="Aptos"/>
                <w:b w:val="0"/>
                <w:i w:val="0"/>
                <w:color w:val="0A1628"/>
                <w:sz w:val="16"/>
              </w:rPr>
              <w:t>4,500</w:t>
            </w:r>
          </w:p>
        </w:tc>
        <w:tc>
          <w:tcPr>
            <w:tcW w:type="dxa" w:w="1728"/>
            <w:vAlign w:val="center"/>
            <w:tcMar>
              <w:top w:w="75" w:type="dxa"/>
              <w:start w:w="80" w:type="dxa"/>
              <w:bottom w:w="75" w:type="dxa"/>
              <w:end w:w="80" w:type="dxa"/>
            </w:tcMar>
          </w:tcPr>
          <w:p>
            <w:pPr>
              <w:spacing w:after="0" w:line="240" w:lineRule="auto"/>
              <w:jc w:val="right"/>
            </w:pPr>
            <w:r>
              <w:rPr>
                <w:color w:val="0A1628"/>
                <w:sz w:val="16"/>
              </w:rPr>
            </w:r>
            <w:r>
              <w:rPr>
                <w:rFonts w:ascii="Aptos" w:hAnsi="Aptos" w:eastAsia="Aptos"/>
                <w:b w:val="0"/>
                <w:i w:val="0"/>
                <w:color w:val="0A1628"/>
                <w:sz w:val="16"/>
              </w:rPr>
              <w:t>29,500</w:t>
            </w:r>
          </w:p>
        </w:tc>
        <w:tc>
          <w:tcPr>
            <w:tcW w:type="dxa" w:w="1728"/>
            <w:vAlign w:val="center"/>
            <w:tcMar>
              <w:top w:w="75" w:type="dxa"/>
              <w:start w:w="80" w:type="dxa"/>
              <w:bottom w:w="75" w:type="dxa"/>
              <w:end w:w="80" w:type="dxa"/>
            </w:tcMar>
          </w:tcPr>
          <w:p>
            <w:pPr>
              <w:spacing w:after="0" w:line="240" w:lineRule="auto"/>
              <w:jc w:val="right"/>
            </w:pPr>
            <w:r>
              <w:rPr>
                <w:color w:val="0A1628"/>
                <w:sz w:val="16"/>
              </w:rPr>
            </w:r>
            <w:r>
              <w:rPr>
                <w:rFonts w:ascii="Aptos" w:hAnsi="Aptos" w:eastAsia="Aptos"/>
                <w:b w:val="0"/>
                <w:i w:val="0"/>
                <w:color w:val="0A1628"/>
                <w:sz w:val="16"/>
              </w:rPr>
              <w:t>25,000</w:t>
            </w:r>
          </w:p>
        </w:tc>
      </w:tr>
      <w:tr>
        <w:trPr>
          <w:cantSplit/>
        </w:trPr>
        <w:tc>
          <w:tcPr>
            <w:tcW w:type="dxa" w:w="1728"/>
            <w:vAlign w:val="center"/>
            <w:tcMar>
              <w:top w:w="75" w:type="dxa"/>
              <w:start w:w="80" w:type="dxa"/>
              <w:bottom w:w="75" w:type="dxa"/>
              <w:end w:w="80" w:type="dxa"/>
            </w:tcMar>
            <w:shd w:fill="F7F9FC"/>
          </w:tcPr>
          <w:p>
            <w:pPr>
              <w:spacing w:after="0" w:line="240" w:lineRule="auto"/>
            </w:pPr>
            <w:r>
              <w:rPr>
                <w:color w:val="0A1628"/>
                <w:sz w:val="16"/>
              </w:rPr>
            </w:r>
            <w:r>
              <w:rPr>
                <w:rFonts w:ascii="Aptos" w:hAnsi="Aptos" w:eastAsia="Aptos"/>
                <w:b w:val="0"/>
                <w:i w:val="0"/>
                <w:color w:val="0A1628"/>
                <w:sz w:val="16"/>
              </w:rPr>
              <w:t>Merchant pays delivery</w:t>
            </w:r>
          </w:p>
        </w:tc>
        <w:tc>
          <w:tcPr>
            <w:tcW w:type="dxa" w:w="1728"/>
            <w:vAlign w:val="center"/>
            <w:tcMar>
              <w:top w:w="75" w:type="dxa"/>
              <w:start w:w="80" w:type="dxa"/>
              <w:bottom w:w="75" w:type="dxa"/>
              <w:end w:w="80" w:type="dxa"/>
            </w:tcMar>
            <w:shd w:fill="F7F9FC"/>
          </w:tcPr>
          <w:p>
            <w:pPr>
              <w:spacing w:after="0" w:line="240" w:lineRule="auto"/>
              <w:jc w:val="right"/>
            </w:pPr>
            <w:r>
              <w:rPr>
                <w:color w:val="0A1628"/>
                <w:sz w:val="16"/>
              </w:rPr>
            </w:r>
            <w:r>
              <w:rPr>
                <w:rFonts w:ascii="Aptos" w:hAnsi="Aptos" w:eastAsia="Aptos"/>
                <w:b w:val="0"/>
                <w:i w:val="0"/>
                <w:color w:val="0A1628"/>
                <w:sz w:val="16"/>
              </w:rPr>
              <w:t>25,000</w:t>
            </w:r>
          </w:p>
        </w:tc>
        <w:tc>
          <w:tcPr>
            <w:tcW w:type="dxa" w:w="1728"/>
            <w:vAlign w:val="center"/>
            <w:tcMar>
              <w:top w:w="75" w:type="dxa"/>
              <w:start w:w="80" w:type="dxa"/>
              <w:bottom w:w="75" w:type="dxa"/>
              <w:end w:w="80" w:type="dxa"/>
            </w:tcMar>
            <w:shd w:fill="F7F9FC"/>
          </w:tcPr>
          <w:p>
            <w:pPr>
              <w:spacing w:after="0" w:line="240" w:lineRule="auto"/>
              <w:jc w:val="right"/>
            </w:pPr>
            <w:r>
              <w:rPr>
                <w:color w:val="0A1628"/>
                <w:sz w:val="16"/>
              </w:rPr>
            </w:r>
            <w:r>
              <w:rPr>
                <w:rFonts w:ascii="Aptos" w:hAnsi="Aptos" w:eastAsia="Aptos"/>
                <w:b w:val="0"/>
                <w:i w:val="0"/>
                <w:color w:val="0A1628"/>
                <w:sz w:val="16"/>
              </w:rPr>
              <w:t>0</w:t>
            </w:r>
          </w:p>
        </w:tc>
        <w:tc>
          <w:tcPr>
            <w:tcW w:type="dxa" w:w="1728"/>
            <w:vAlign w:val="center"/>
            <w:tcMar>
              <w:top w:w="75" w:type="dxa"/>
              <w:start w:w="80" w:type="dxa"/>
              <w:bottom w:w="75" w:type="dxa"/>
              <w:end w:w="80" w:type="dxa"/>
            </w:tcMar>
            <w:shd w:fill="F7F9FC"/>
          </w:tcPr>
          <w:p>
            <w:pPr>
              <w:spacing w:after="0" w:line="240" w:lineRule="auto"/>
              <w:jc w:val="right"/>
            </w:pPr>
            <w:r>
              <w:rPr>
                <w:color w:val="0A1628"/>
                <w:sz w:val="16"/>
              </w:rPr>
            </w:r>
            <w:r>
              <w:rPr>
                <w:rFonts w:ascii="Aptos" w:hAnsi="Aptos" w:eastAsia="Aptos"/>
                <w:b w:val="0"/>
                <w:i w:val="0"/>
                <w:color w:val="0A1628"/>
                <w:sz w:val="16"/>
              </w:rPr>
              <w:t>4,500</w:t>
            </w:r>
          </w:p>
        </w:tc>
        <w:tc>
          <w:tcPr>
            <w:tcW w:type="dxa" w:w="1728"/>
            <w:vAlign w:val="center"/>
            <w:tcMar>
              <w:top w:w="75" w:type="dxa"/>
              <w:start w:w="80" w:type="dxa"/>
              <w:bottom w:w="75" w:type="dxa"/>
              <w:end w:w="80" w:type="dxa"/>
            </w:tcMar>
            <w:shd w:fill="F7F9FC"/>
          </w:tcPr>
          <w:p>
            <w:pPr>
              <w:spacing w:after="0" w:line="240" w:lineRule="auto"/>
              <w:jc w:val="right"/>
            </w:pPr>
            <w:r>
              <w:rPr>
                <w:color w:val="0A1628"/>
                <w:sz w:val="16"/>
              </w:rPr>
            </w:r>
            <w:r>
              <w:rPr>
                <w:rFonts w:ascii="Aptos" w:hAnsi="Aptos" w:eastAsia="Aptos"/>
                <w:b w:val="0"/>
                <w:i w:val="0"/>
                <w:color w:val="0A1628"/>
                <w:sz w:val="16"/>
              </w:rPr>
              <w:t>25,000</w:t>
            </w:r>
          </w:p>
        </w:tc>
        <w:tc>
          <w:tcPr>
            <w:tcW w:type="dxa" w:w="1728"/>
            <w:vAlign w:val="center"/>
            <w:tcMar>
              <w:top w:w="75" w:type="dxa"/>
              <w:start w:w="80" w:type="dxa"/>
              <w:bottom w:w="75" w:type="dxa"/>
              <w:end w:w="80" w:type="dxa"/>
            </w:tcMar>
            <w:shd w:fill="F7F9FC"/>
          </w:tcPr>
          <w:p>
            <w:pPr>
              <w:spacing w:after="0" w:line="240" w:lineRule="auto"/>
              <w:jc w:val="right"/>
            </w:pPr>
            <w:r>
              <w:rPr>
                <w:color w:val="0A1628"/>
                <w:sz w:val="16"/>
              </w:rPr>
            </w:r>
            <w:r>
              <w:rPr>
                <w:rFonts w:ascii="Aptos" w:hAnsi="Aptos" w:eastAsia="Aptos"/>
                <w:b w:val="0"/>
                <w:i w:val="0"/>
                <w:color w:val="0A1628"/>
                <w:sz w:val="16"/>
              </w:rPr>
              <w:t>20,500</w:t>
            </w:r>
          </w:p>
        </w:tc>
      </w:tr>
    </w:tbl>
    <w:p>
      <w:pPr>
        <w:spacing w:after="0"/>
      </w:pPr>
    </w:p>
    <w:p>
      <w:pPr>
        <w:pStyle w:val="Heading3"/>
        <w:keepNext/>
      </w:pPr>
      <w:r>
        <w:rPr>
          <w:rFonts w:ascii="Aptos" w:hAnsi="Aptos" w:eastAsia="Aptos"/>
          <w:b w:val="0"/>
          <w:i w:val="0"/>
          <w:color w:val="0A1628"/>
          <w:sz w:val="20"/>
        </w:rPr>
        <w:t>5.4 Reconciliation</w:t>
      </w:r>
    </w:p>
    <w:p>
      <w:r>
        <w:rPr>
          <w:rFonts w:ascii="Aptos" w:hAnsi="Aptos" w:eastAsia="Aptos"/>
          <w:b w:val="0"/>
          <w:i w:val="0"/>
          <w:color w:val="0A1628"/>
          <w:sz w:val="20"/>
        </w:rPr>
        <w:t>For the normal merchant-owned item and delivery-difference model:</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customer_total_collection</w:t>
              <w:br/>
              <w:t>= merchant_final_settlement_amount</w:t>
              <w:br/>
              <w:t>+ Britium_net_system_delivery_charge</w:t>
              <w:br/>
              <w:t>+ company_owned_additional_customer_charges</w:t>
              <w:br/>
              <w:t>- merchant_credits_not_collected_from_customer</w:t>
              <w:br/>
              <w:t>+ merchant_charges_not_collected_from_customer</w:t>
            </w:r>
          </w:p>
        </w:tc>
      </w:tr>
    </w:tbl>
    <w:p>
      <w:pPr>
        <w:spacing w:after="0"/>
      </w:pPr>
    </w:p>
    <w:p>
      <w:r>
        <w:rPr>
          <w:rFonts w:ascii="Aptos" w:hAnsi="Aptos" w:eastAsia="Aptos"/>
          <w:b w:val="0"/>
          <w:i w:val="0"/>
          <w:color w:val="0A1628"/>
          <w:sz w:val="20"/>
        </w:rPr>
        <w:t>The backend must produce an explicit reconciliation result and block settlement for any unexplained difference.</w:t>
      </w:r>
    </w:p>
    <w:p>
      <w:pPr>
        <w:pStyle w:val="Heading2"/>
        <w:keepNext/>
      </w:pPr>
      <w:r>
        <w:rPr>
          <w:rFonts w:ascii="Aptos" w:hAnsi="Aptos" w:eastAsia="Aptos"/>
          <w:b w:val="0"/>
          <w:i w:val="0"/>
          <w:color w:val="0A1628"/>
          <w:sz w:val="20"/>
        </w:rPr>
        <w:t>6. Financial Settlement Screen</w:t>
      </w:r>
    </w:p>
    <w:p>
      <w:pPr>
        <w:pStyle w:val="Heading3"/>
        <w:keepNext/>
      </w:pPr>
      <w:r>
        <w:rPr>
          <w:rFonts w:ascii="Aptos" w:hAnsi="Aptos" w:eastAsia="Aptos"/>
          <w:b w:val="0"/>
          <w:i w:val="0"/>
          <w:color w:val="0A1628"/>
          <w:sz w:val="20"/>
        </w:rPr>
        <w:t>6.1 User groups</w:t>
      </w:r>
    </w:p>
    <w:p>
      <w:r>
        <w:rPr>
          <w:rFonts w:ascii="Aptos" w:hAnsi="Aptos" w:eastAsia="Aptos"/>
          <w:b w:val="0"/>
          <w:i w:val="0"/>
          <w:color w:val="0A1628"/>
          <w:sz w:val="20"/>
        </w:rPr>
        <w:t>The screen supports:</w:t>
      </w:r>
    </w:p>
    <w:p>
      <w:pPr>
        <w:pStyle w:val="ListBullet"/>
        <w:ind w:left="0"/>
      </w:pPr>
      <w:r>
        <w:rPr>
          <w:rFonts w:ascii="Aptos" w:hAnsi="Aptos" w:eastAsia="Aptos"/>
          <w:b w:val="0"/>
          <w:i w:val="0"/>
          <w:color w:val="0A1628"/>
          <w:sz w:val="20"/>
        </w:rPr>
        <w:t>Internal Finance Team.</w:t>
      </w:r>
    </w:p>
    <w:p>
      <w:pPr>
        <w:pStyle w:val="ListBullet"/>
        <w:ind w:left="0"/>
      </w:pPr>
      <w:r>
        <w:rPr>
          <w:rFonts w:ascii="Aptos" w:hAnsi="Aptos" w:eastAsia="Aptos"/>
          <w:b w:val="0"/>
          <w:i w:val="0"/>
          <w:color w:val="0A1628"/>
          <w:sz w:val="20"/>
        </w:rPr>
        <w:t>Merchant/Online Seller portal users.</w:t>
      </w:r>
    </w:p>
    <w:p>
      <w:r>
        <w:rPr>
          <w:rFonts w:ascii="Aptos" w:hAnsi="Aptos" w:eastAsia="Aptos"/>
          <w:b w:val="0"/>
          <w:i w:val="0"/>
          <w:color w:val="0A1628"/>
          <w:sz w:val="20"/>
        </w:rPr>
        <w:t>Both use the same stored parcel financial snapshots. Merchants can access only their own records and cannot see partner costs, internal notes, branch cash positions, company margin, risk flags, or other merchants.</w:t>
      </w:r>
    </w:p>
    <w:p>
      <w:pPr>
        <w:pStyle w:val="Heading3"/>
        <w:keepNext/>
      </w:pPr>
      <w:r>
        <w:rPr>
          <w:rFonts w:ascii="Aptos" w:hAnsi="Aptos" w:eastAsia="Aptos"/>
          <w:b w:val="0"/>
          <w:i w:val="0"/>
          <w:color w:val="0A1628"/>
          <w:sz w:val="20"/>
        </w:rPr>
        <w:t>6.2 Finance navigation</w:t>
      </w:r>
    </w:p>
    <w:p>
      <w:pPr>
        <w:pStyle w:val="ListBullet"/>
        <w:ind w:left="0"/>
      </w:pPr>
      <w:r>
        <w:rPr>
          <w:rFonts w:ascii="Aptos" w:hAnsi="Aptos" w:eastAsia="Aptos"/>
          <w:b w:val="0"/>
          <w:i w:val="0"/>
          <w:color w:val="0A1628"/>
          <w:sz w:val="20"/>
        </w:rPr>
        <w:t>Overview.</w:t>
      </w:r>
    </w:p>
    <w:p>
      <w:pPr>
        <w:pStyle w:val="ListBullet"/>
        <w:ind w:left="0"/>
      </w:pPr>
      <w:r>
        <w:rPr>
          <w:rFonts w:ascii="Aptos" w:hAnsi="Aptos" w:eastAsia="Aptos"/>
          <w:b w:val="0"/>
          <w:i w:val="0"/>
          <w:color w:val="0A1628"/>
          <w:sz w:val="20"/>
        </w:rPr>
        <w:t>Pending Settlement.</w:t>
      </w:r>
    </w:p>
    <w:p>
      <w:pPr>
        <w:pStyle w:val="ListBullet"/>
        <w:ind w:left="0"/>
      </w:pPr>
      <w:r>
        <w:rPr>
          <w:rFonts w:ascii="Aptos" w:hAnsi="Aptos" w:eastAsia="Aptos"/>
          <w:b w:val="0"/>
          <w:i w:val="0"/>
          <w:color w:val="0A1628"/>
          <w:sz w:val="20"/>
        </w:rPr>
        <w:t>Settlement Batches.</w:t>
      </w:r>
    </w:p>
    <w:p>
      <w:pPr>
        <w:pStyle w:val="ListBullet"/>
        <w:ind w:left="0"/>
      </w:pPr>
      <w:r>
        <w:rPr>
          <w:rFonts w:ascii="Aptos" w:hAnsi="Aptos" w:eastAsia="Aptos"/>
          <w:b w:val="0"/>
          <w:i w:val="0"/>
          <w:color w:val="0A1628"/>
          <w:sz w:val="20"/>
        </w:rPr>
        <w:t>Payments.</w:t>
      </w:r>
    </w:p>
    <w:p>
      <w:pPr>
        <w:pStyle w:val="ListBullet"/>
        <w:ind w:left="0"/>
      </w:pPr>
      <w:r>
        <w:rPr>
          <w:rFonts w:ascii="Aptos" w:hAnsi="Aptos" w:eastAsia="Aptos"/>
          <w:b w:val="0"/>
          <w:i w:val="0"/>
          <w:color w:val="0A1628"/>
          <w:sz w:val="20"/>
        </w:rPr>
        <w:t>Exceptions.</w:t>
      </w:r>
    </w:p>
    <w:p>
      <w:pPr>
        <w:pStyle w:val="ListBullet"/>
        <w:ind w:left="0"/>
      </w:pPr>
      <w:r>
        <w:rPr>
          <w:rFonts w:ascii="Aptos" w:hAnsi="Aptos" w:eastAsia="Aptos"/>
          <w:b w:val="0"/>
          <w:i w:val="0"/>
          <w:color w:val="0A1628"/>
          <w:sz w:val="20"/>
        </w:rPr>
        <w:t>Disputes.</w:t>
      </w:r>
    </w:p>
    <w:p>
      <w:pPr>
        <w:pStyle w:val="ListBullet"/>
        <w:ind w:left="0"/>
      </w:pPr>
      <w:r>
        <w:rPr>
          <w:rFonts w:ascii="Aptos" w:hAnsi="Aptos" w:eastAsia="Aptos"/>
          <w:b w:val="0"/>
          <w:i w:val="0"/>
          <w:color w:val="0A1628"/>
          <w:sz w:val="20"/>
        </w:rPr>
        <w:t>Partner Settlements.</w:t>
      </w:r>
    </w:p>
    <w:p>
      <w:pPr>
        <w:pStyle w:val="ListBullet"/>
        <w:ind w:left="0"/>
      </w:pPr>
      <w:r>
        <w:rPr>
          <w:rFonts w:ascii="Aptos" w:hAnsi="Aptos" w:eastAsia="Aptos"/>
          <w:b w:val="0"/>
          <w:i w:val="0"/>
          <w:color w:val="0A1628"/>
          <w:sz w:val="20"/>
        </w:rPr>
        <w:t>Branch Reconciliation.</w:t>
      </w:r>
    </w:p>
    <w:p>
      <w:pPr>
        <w:pStyle w:val="ListBullet"/>
        <w:ind w:left="0"/>
      </w:pPr>
      <w:r>
        <w:rPr>
          <w:rFonts w:ascii="Aptos" w:hAnsi="Aptos" w:eastAsia="Aptos"/>
          <w:b w:val="0"/>
          <w:i w:val="0"/>
          <w:color w:val="0A1628"/>
          <w:sz w:val="20"/>
        </w:rPr>
        <w:t>COD Custody.</w:t>
      </w:r>
    </w:p>
    <w:p>
      <w:pPr>
        <w:pStyle w:val="ListBullet"/>
        <w:ind w:left="0"/>
      </w:pPr>
      <w:r>
        <w:rPr>
          <w:rFonts w:ascii="Aptos" w:hAnsi="Aptos" w:eastAsia="Aptos"/>
          <w:b w:val="0"/>
          <w:i w:val="0"/>
          <w:color w:val="0A1628"/>
          <w:sz w:val="20"/>
        </w:rPr>
        <w:t>Audit Log.</w:t>
      </w:r>
    </w:p>
    <w:p>
      <w:r>
        <w:rPr>
          <w:rFonts w:ascii="Aptos" w:hAnsi="Aptos" w:eastAsia="Aptos"/>
          <w:b w:val="0"/>
          <w:i w:val="0"/>
          <w:color w:val="0A1628"/>
          <w:sz w:val="20"/>
        </w:rPr>
        <w:t>Merchant navigation:</w:t>
      </w:r>
    </w:p>
    <w:p>
      <w:pPr>
        <w:pStyle w:val="ListBullet"/>
        <w:ind w:left="0"/>
      </w:pPr>
      <w:r>
        <w:rPr>
          <w:rFonts w:ascii="Aptos" w:hAnsi="Aptos" w:eastAsia="Aptos"/>
          <w:b w:val="0"/>
          <w:i w:val="0"/>
          <w:color w:val="0A1628"/>
          <w:sz w:val="20"/>
        </w:rPr>
        <w:t>Settlement Summary.</w:t>
      </w:r>
    </w:p>
    <w:p>
      <w:pPr>
        <w:pStyle w:val="ListBullet"/>
        <w:ind w:left="0"/>
      </w:pPr>
      <w:r>
        <w:rPr>
          <w:rFonts w:ascii="Aptos" w:hAnsi="Aptos" w:eastAsia="Aptos"/>
          <w:b w:val="0"/>
          <w:i w:val="0"/>
          <w:color w:val="0A1628"/>
          <w:sz w:val="20"/>
        </w:rPr>
        <w:t>Statements.</w:t>
      </w:r>
    </w:p>
    <w:p>
      <w:pPr>
        <w:pStyle w:val="ListBullet"/>
        <w:ind w:left="0"/>
      </w:pPr>
      <w:r>
        <w:rPr>
          <w:rFonts w:ascii="Aptos" w:hAnsi="Aptos" w:eastAsia="Aptos"/>
          <w:b w:val="0"/>
          <w:i w:val="0"/>
          <w:color w:val="0A1628"/>
          <w:sz w:val="20"/>
        </w:rPr>
        <w:t>Payments.</w:t>
      </w:r>
    </w:p>
    <w:p>
      <w:pPr>
        <w:pStyle w:val="ListBullet"/>
        <w:ind w:left="0"/>
      </w:pPr>
      <w:r>
        <w:rPr>
          <w:rFonts w:ascii="Aptos" w:hAnsi="Aptos" w:eastAsia="Aptos"/>
          <w:b w:val="0"/>
          <w:i w:val="0"/>
          <w:color w:val="0A1628"/>
          <w:sz w:val="20"/>
        </w:rPr>
        <w:t>Parcel Details.</w:t>
      </w:r>
    </w:p>
    <w:p>
      <w:pPr>
        <w:pStyle w:val="ListBullet"/>
        <w:ind w:left="0"/>
      </w:pPr>
      <w:r>
        <w:rPr>
          <w:rFonts w:ascii="Aptos" w:hAnsi="Aptos" w:eastAsia="Aptos"/>
          <w:b w:val="0"/>
          <w:i w:val="0"/>
          <w:color w:val="0A1628"/>
          <w:sz w:val="20"/>
        </w:rPr>
        <w:t>Disputes.</w:t>
      </w:r>
    </w:p>
    <w:p>
      <w:pPr>
        <w:pStyle w:val="Heading3"/>
        <w:keepNext/>
      </w:pPr>
      <w:r>
        <w:rPr>
          <w:rFonts w:ascii="Aptos" w:hAnsi="Aptos" w:eastAsia="Aptos"/>
          <w:b w:val="0"/>
          <w:i w:val="0"/>
          <w:color w:val="0A1628"/>
          <w:sz w:val="20"/>
        </w:rPr>
        <w:t>6.3 Finance KPI cards</w:t>
      </w:r>
    </w:p>
    <w:tbl>
      <w:tblPr>
        <w:tblW w:type="pct" w:w="5000"/>
        <w:jc w:val="center"/>
        <w:tblLayout w:type="autofit"/>
        <w:tblLook w:firstColumn="1" w:firstRow="1" w:lastColumn="0" w:lastRow="0" w:noHBand="0" w:noVBand="1" w:val="04A0"/>
        <w:tblBorders>
          <w:top w:val="single" w:sz="4" w:color="B8C4D1"/>
          <w:start w:val="single" w:sz="4" w:color="B8C4D1"/>
          <w:bottom w:val="single" w:sz="4" w:color="B8C4D1"/>
          <w:end w:val="single" w:sz="4" w:color="B8C4D1"/>
          <w:insideH w:val="single" w:sz="4" w:color="B8C4D1"/>
          <w:insideV w:val="single" w:sz="4" w:color="B8C4D1"/>
        </w:tblBorders>
      </w:tblPr>
      <w:tblGrid>
        <w:gridCol w:w="5184"/>
        <w:gridCol w:w="5184"/>
      </w:tblGrid>
      <w:tr>
        <w:trPr>
          <w:tblHeader w:val="true"/>
          <w:cantSplit/>
        </w:trPr>
        <w:tc>
          <w:tcPr>
            <w:tcW w:type="dxa" w:w="5184"/>
            <w:vAlign w:val="center"/>
            <w:tcMar>
              <w:top w:w="75" w:type="dxa"/>
              <w:start w:w="80" w:type="dxa"/>
              <w:bottom w:w="75" w:type="dxa"/>
              <w:end w:w="80" w:type="dxa"/>
            </w:tcMar>
            <w:shd w:fill="17365D"/>
          </w:tcPr>
          <w:p>
            <w:pPr>
              <w:spacing w:after="0" w:line="240" w:lineRule="auto"/>
            </w:pPr>
            <w:r>
              <w:rPr>
                <w:b/>
                <w:color w:val="FFFFFF"/>
                <w:sz w:val="17"/>
              </w:rPr>
            </w:r>
            <w:r>
              <w:rPr>
                <w:rFonts w:ascii="Aptos" w:hAnsi="Aptos" w:eastAsia="Aptos"/>
                <w:b/>
                <w:i w:val="0"/>
                <w:color w:val="FFFFFF"/>
                <w:sz w:val="17"/>
              </w:rPr>
              <w:t>KPI</w:t>
            </w:r>
          </w:p>
        </w:tc>
        <w:tc>
          <w:tcPr>
            <w:tcW w:type="dxa" w:w="5184"/>
            <w:vAlign w:val="center"/>
            <w:tcMar>
              <w:top w:w="75" w:type="dxa"/>
              <w:start w:w="80" w:type="dxa"/>
              <w:bottom w:w="75" w:type="dxa"/>
              <w:end w:w="80" w:type="dxa"/>
            </w:tcMar>
            <w:shd w:fill="17365D"/>
          </w:tcPr>
          <w:p>
            <w:pPr>
              <w:spacing w:after="0" w:line="240" w:lineRule="auto"/>
            </w:pPr>
            <w:r>
              <w:rPr>
                <w:b/>
                <w:color w:val="FFFFFF"/>
                <w:sz w:val="17"/>
              </w:rPr>
            </w:r>
            <w:r>
              <w:rPr>
                <w:rFonts w:ascii="Aptos" w:hAnsi="Aptos" w:eastAsia="Aptos"/>
                <w:b/>
                <w:i w:val="0"/>
                <w:color w:val="FFFFFF"/>
                <w:sz w:val="17"/>
              </w:rPr>
              <w:t>Calculation</w:t>
            </w:r>
          </w:p>
        </w:tc>
      </w:tr>
      <w:tr>
        <w:trPr>
          <w:cantSplit/>
        </w:trPr>
        <w:tc>
          <w:tcPr>
            <w:tcW w:type="dxa" w:w="5184"/>
            <w:vAlign w:val="center"/>
            <w:tcMar>
              <w:top w:w="75" w:type="dxa"/>
              <w:start w:w="80" w:type="dxa"/>
              <w:bottom w:w="75" w:type="dxa"/>
              <w:end w:w="80" w:type="dxa"/>
            </w:tcMar>
          </w:tcPr>
          <w:p>
            <w:pPr>
              <w:spacing w:after="0" w:line="240" w:lineRule="auto"/>
            </w:pPr>
            <w:r>
              <w:rPr>
                <w:color w:val="0A1628"/>
                <w:sz w:val="17"/>
              </w:rPr>
            </w:r>
            <w:r>
              <w:rPr>
                <w:rFonts w:ascii="Aptos" w:hAnsi="Aptos" w:eastAsia="Aptos"/>
                <w:b w:val="0"/>
                <w:i w:val="0"/>
                <w:color w:val="0A1628"/>
                <w:sz w:val="17"/>
              </w:rPr>
              <w:t>Customer Collection</w:t>
            </w:r>
          </w:p>
        </w:tc>
        <w:tc>
          <w:tcPr>
            <w:tcW w:type="dxa" w:w="5184"/>
            <w:vAlign w:val="center"/>
            <w:tcMar>
              <w:top w:w="75" w:type="dxa"/>
              <w:start w:w="80" w:type="dxa"/>
              <w:bottom w:w="75" w:type="dxa"/>
              <w:end w:w="80" w:type="dxa"/>
            </w:tcMar>
          </w:tcPr>
          <w:p>
            <w:pPr>
              <w:spacing w:after="0" w:line="240" w:lineRule="auto"/>
            </w:pPr>
            <w:r>
              <w:rPr>
                <w:color w:val="0A1628"/>
                <w:sz w:val="17"/>
              </w:rPr>
            </w:r>
            <w:r>
              <w:rPr>
                <w:rFonts w:ascii="Aptos" w:hAnsi="Aptos" w:eastAsia="Aptos"/>
                <w:b w:val="0"/>
                <w:i w:val="0"/>
                <w:color w:val="0A1628"/>
                <w:sz w:val="17"/>
              </w:rPr>
              <w:t xml:space="preserve">Sum of </w:t>
            </w:r>
            <w:r>
              <w:rPr>
                <w:rFonts w:ascii="Consolas" w:hAnsi="Consolas" w:eastAsia="Consolas"/>
                <w:b w:val="0"/>
                <w:i w:val="0"/>
                <w:color w:val="0A1628"/>
                <w:sz w:val="17"/>
                <w:shd w:fill="EEF2F6"/>
              </w:rPr>
              <w:t>cod_amount</w:t>
            </w:r>
          </w:p>
        </w:tc>
      </w:tr>
      <w:tr>
        <w:trPr>
          <w:cantSplit/>
        </w:trPr>
        <w:tc>
          <w:tcPr>
            <w:tcW w:type="dxa" w:w="5184"/>
            <w:vAlign w:val="center"/>
            <w:tcMar>
              <w:top w:w="75" w:type="dxa"/>
              <w:start w:w="80" w:type="dxa"/>
              <w:bottom w:w="75" w:type="dxa"/>
              <w:end w:w="80" w:type="dxa"/>
            </w:tcMar>
            <w:shd w:fill="F7F9FC"/>
          </w:tcPr>
          <w:p>
            <w:pPr>
              <w:spacing w:after="0" w:line="240" w:lineRule="auto"/>
            </w:pPr>
            <w:r>
              <w:rPr>
                <w:color w:val="0A1628"/>
                <w:sz w:val="17"/>
              </w:rPr>
            </w:r>
            <w:r>
              <w:rPr>
                <w:rFonts w:ascii="Aptos" w:hAnsi="Aptos" w:eastAsia="Aptos"/>
                <w:b w:val="0"/>
                <w:i w:val="0"/>
                <w:color w:val="0A1628"/>
                <w:sz w:val="17"/>
              </w:rPr>
              <w:t>Company Delivery Revenue</w:t>
            </w:r>
          </w:p>
        </w:tc>
        <w:tc>
          <w:tcPr>
            <w:tcW w:type="dxa" w:w="5184"/>
            <w:vAlign w:val="center"/>
            <w:tcMar>
              <w:top w:w="75" w:type="dxa"/>
              <w:start w:w="80" w:type="dxa"/>
              <w:bottom w:w="75" w:type="dxa"/>
              <w:end w:w="80" w:type="dxa"/>
            </w:tcMar>
            <w:shd w:fill="F7F9FC"/>
          </w:tcPr>
          <w:p>
            <w:pPr>
              <w:spacing w:after="0" w:line="240" w:lineRule="auto"/>
            </w:pPr>
            <w:r>
              <w:rPr>
                <w:color w:val="0A1628"/>
                <w:sz w:val="17"/>
              </w:rPr>
            </w:r>
            <w:r>
              <w:rPr>
                <w:rFonts w:ascii="Aptos" w:hAnsi="Aptos" w:eastAsia="Aptos"/>
                <w:b w:val="0"/>
                <w:i w:val="0"/>
                <w:color w:val="0A1628"/>
                <w:sz w:val="17"/>
              </w:rPr>
              <w:t xml:space="preserve">Sum of </w:t>
            </w:r>
            <w:r>
              <w:rPr>
                <w:rFonts w:ascii="Consolas" w:hAnsi="Consolas" w:eastAsia="Consolas"/>
                <w:b w:val="0"/>
                <w:i w:val="0"/>
                <w:color w:val="0A1628"/>
                <w:sz w:val="17"/>
                <w:shd w:fill="EEF2F6"/>
              </w:rPr>
              <w:t>net_system_delivery_charge</w:t>
            </w:r>
          </w:p>
        </w:tc>
      </w:tr>
      <w:tr>
        <w:trPr>
          <w:cantSplit/>
        </w:trPr>
        <w:tc>
          <w:tcPr>
            <w:tcW w:type="dxa" w:w="5184"/>
            <w:vAlign w:val="center"/>
            <w:tcMar>
              <w:top w:w="75" w:type="dxa"/>
              <w:start w:w="80" w:type="dxa"/>
              <w:bottom w:w="75" w:type="dxa"/>
              <w:end w:w="80" w:type="dxa"/>
            </w:tcMar>
          </w:tcPr>
          <w:p>
            <w:pPr>
              <w:spacing w:after="0" w:line="240" w:lineRule="auto"/>
            </w:pPr>
            <w:r>
              <w:rPr>
                <w:color w:val="0A1628"/>
                <w:sz w:val="17"/>
              </w:rPr>
            </w:r>
            <w:r>
              <w:rPr>
                <w:rFonts w:ascii="Aptos" w:hAnsi="Aptos" w:eastAsia="Aptos"/>
                <w:b w:val="0"/>
                <w:i w:val="0"/>
                <w:color w:val="0A1628"/>
                <w:sz w:val="17"/>
              </w:rPr>
              <w:t>Merchant Payable</w:t>
            </w:r>
          </w:p>
        </w:tc>
        <w:tc>
          <w:tcPr>
            <w:tcW w:type="dxa" w:w="5184"/>
            <w:vAlign w:val="center"/>
            <w:tcMar>
              <w:top w:w="75" w:type="dxa"/>
              <w:start w:w="80" w:type="dxa"/>
              <w:bottom w:w="75" w:type="dxa"/>
              <w:end w:w="80" w:type="dxa"/>
            </w:tcMar>
          </w:tcPr>
          <w:p>
            <w:pPr>
              <w:spacing w:after="0" w:line="240" w:lineRule="auto"/>
            </w:pPr>
            <w:r>
              <w:rPr>
                <w:color w:val="0A1628"/>
                <w:sz w:val="17"/>
              </w:rPr>
            </w:r>
            <w:r>
              <w:rPr>
                <w:rFonts w:ascii="Aptos" w:hAnsi="Aptos" w:eastAsia="Aptos"/>
                <w:b w:val="0"/>
                <w:i w:val="0"/>
                <w:color w:val="0A1628"/>
                <w:sz w:val="17"/>
              </w:rPr>
              <w:t xml:space="preserve">Sum of eligible </w:t>
            </w:r>
            <w:r>
              <w:rPr>
                <w:rFonts w:ascii="Consolas" w:hAnsi="Consolas" w:eastAsia="Consolas"/>
                <w:b w:val="0"/>
                <w:i w:val="0"/>
                <w:color w:val="0A1628"/>
                <w:sz w:val="17"/>
                <w:shd w:fill="EEF2F6"/>
              </w:rPr>
              <w:t>merchant_final_settlement_amount</w:t>
            </w:r>
          </w:p>
        </w:tc>
      </w:tr>
      <w:tr>
        <w:trPr>
          <w:cantSplit/>
        </w:trPr>
        <w:tc>
          <w:tcPr>
            <w:tcW w:type="dxa" w:w="5184"/>
            <w:vAlign w:val="center"/>
            <w:tcMar>
              <w:top w:w="75" w:type="dxa"/>
              <w:start w:w="80" w:type="dxa"/>
              <w:bottom w:w="75" w:type="dxa"/>
              <w:end w:w="80" w:type="dxa"/>
            </w:tcMar>
            <w:shd w:fill="F7F9FC"/>
          </w:tcPr>
          <w:p>
            <w:pPr>
              <w:spacing w:after="0" w:line="240" w:lineRule="auto"/>
            </w:pPr>
            <w:r>
              <w:rPr>
                <w:color w:val="0A1628"/>
                <w:sz w:val="17"/>
              </w:rPr>
            </w:r>
            <w:r>
              <w:rPr>
                <w:rFonts w:ascii="Aptos" w:hAnsi="Aptos" w:eastAsia="Aptos"/>
                <w:b w:val="0"/>
                <w:i w:val="0"/>
                <w:color w:val="0A1628"/>
                <w:sz w:val="17"/>
              </w:rPr>
              <w:t>Delivery Excess Credit</w:t>
            </w:r>
          </w:p>
        </w:tc>
        <w:tc>
          <w:tcPr>
            <w:tcW w:type="dxa" w:w="5184"/>
            <w:vAlign w:val="center"/>
            <w:tcMar>
              <w:top w:w="75" w:type="dxa"/>
              <w:start w:w="80" w:type="dxa"/>
              <w:bottom w:w="75" w:type="dxa"/>
              <w:end w:w="80" w:type="dxa"/>
            </w:tcMar>
            <w:shd w:fill="F7F9FC"/>
          </w:tcPr>
          <w:p>
            <w:pPr>
              <w:spacing w:after="0" w:line="240" w:lineRule="auto"/>
            </w:pPr>
            <w:r>
              <w:rPr>
                <w:color w:val="0A1628"/>
                <w:sz w:val="17"/>
              </w:rPr>
            </w:r>
            <w:r>
              <w:rPr>
                <w:rFonts w:ascii="Aptos" w:hAnsi="Aptos" w:eastAsia="Aptos"/>
                <w:b w:val="0"/>
                <w:i w:val="0"/>
                <w:color w:val="0A1628"/>
                <w:sz w:val="17"/>
              </w:rPr>
              <w:t>Sum of positive delivery differences</w:t>
            </w:r>
          </w:p>
        </w:tc>
      </w:tr>
      <w:tr>
        <w:trPr>
          <w:cantSplit/>
        </w:trPr>
        <w:tc>
          <w:tcPr>
            <w:tcW w:type="dxa" w:w="5184"/>
            <w:vAlign w:val="center"/>
            <w:tcMar>
              <w:top w:w="75" w:type="dxa"/>
              <w:start w:w="80" w:type="dxa"/>
              <w:bottom w:w="75" w:type="dxa"/>
              <w:end w:w="80" w:type="dxa"/>
            </w:tcMar>
          </w:tcPr>
          <w:p>
            <w:pPr>
              <w:spacing w:after="0" w:line="240" w:lineRule="auto"/>
            </w:pPr>
            <w:r>
              <w:rPr>
                <w:color w:val="0A1628"/>
                <w:sz w:val="17"/>
              </w:rPr>
            </w:r>
            <w:r>
              <w:rPr>
                <w:rFonts w:ascii="Aptos" w:hAnsi="Aptos" w:eastAsia="Aptos"/>
                <w:b w:val="0"/>
                <w:i w:val="0"/>
                <w:color w:val="0A1628"/>
                <w:sz w:val="17"/>
              </w:rPr>
              <w:t>Delivery Shortfall</w:t>
            </w:r>
          </w:p>
        </w:tc>
        <w:tc>
          <w:tcPr>
            <w:tcW w:type="dxa" w:w="5184"/>
            <w:vAlign w:val="center"/>
            <w:tcMar>
              <w:top w:w="75" w:type="dxa"/>
              <w:start w:w="80" w:type="dxa"/>
              <w:bottom w:w="75" w:type="dxa"/>
              <w:end w:w="80" w:type="dxa"/>
            </w:tcMar>
          </w:tcPr>
          <w:p>
            <w:pPr>
              <w:spacing w:after="0" w:line="240" w:lineRule="auto"/>
            </w:pPr>
            <w:r>
              <w:rPr>
                <w:color w:val="0A1628"/>
                <w:sz w:val="17"/>
              </w:rPr>
            </w:r>
            <w:r>
              <w:rPr>
                <w:rFonts w:ascii="Aptos" w:hAnsi="Aptos" w:eastAsia="Aptos"/>
                <w:b w:val="0"/>
                <w:i w:val="0"/>
                <w:color w:val="0A1628"/>
                <w:sz w:val="17"/>
              </w:rPr>
              <w:t>Absolute sum of negative delivery differences</w:t>
            </w:r>
          </w:p>
        </w:tc>
      </w:tr>
      <w:tr>
        <w:trPr>
          <w:cantSplit/>
        </w:trPr>
        <w:tc>
          <w:tcPr>
            <w:tcW w:type="dxa" w:w="5184"/>
            <w:vAlign w:val="center"/>
            <w:tcMar>
              <w:top w:w="75" w:type="dxa"/>
              <w:start w:w="80" w:type="dxa"/>
              <w:bottom w:w="75" w:type="dxa"/>
              <w:end w:w="80" w:type="dxa"/>
            </w:tcMar>
            <w:shd w:fill="F7F9FC"/>
          </w:tcPr>
          <w:p>
            <w:pPr>
              <w:spacing w:after="0" w:line="240" w:lineRule="auto"/>
            </w:pPr>
            <w:r>
              <w:rPr>
                <w:color w:val="0A1628"/>
                <w:sz w:val="17"/>
              </w:rPr>
            </w:r>
            <w:r>
              <w:rPr>
                <w:rFonts w:ascii="Aptos" w:hAnsi="Aptos" w:eastAsia="Aptos"/>
                <w:b w:val="0"/>
                <w:i w:val="0"/>
                <w:color w:val="0A1628"/>
                <w:sz w:val="17"/>
              </w:rPr>
              <w:t>Requires Review</w:t>
            </w:r>
          </w:p>
        </w:tc>
        <w:tc>
          <w:tcPr>
            <w:tcW w:type="dxa" w:w="5184"/>
            <w:vAlign w:val="center"/>
            <w:tcMar>
              <w:top w:w="75" w:type="dxa"/>
              <w:start w:w="80" w:type="dxa"/>
              <w:bottom w:w="75" w:type="dxa"/>
              <w:end w:w="80" w:type="dxa"/>
            </w:tcMar>
            <w:shd w:fill="F7F9FC"/>
          </w:tcPr>
          <w:p>
            <w:pPr>
              <w:spacing w:after="0" w:line="240" w:lineRule="auto"/>
            </w:pPr>
            <w:r>
              <w:rPr>
                <w:color w:val="0A1628"/>
                <w:sz w:val="17"/>
              </w:rPr>
            </w:r>
            <w:r>
              <w:rPr>
                <w:rFonts w:ascii="Aptos" w:hAnsi="Aptos" w:eastAsia="Aptos"/>
                <w:b w:val="0"/>
                <w:i w:val="0"/>
                <w:color w:val="0A1628"/>
                <w:sz w:val="17"/>
              </w:rPr>
              <w:t>Count of review/error/breakdown-required parcels</w:t>
            </w:r>
          </w:p>
        </w:tc>
      </w:tr>
      <w:tr>
        <w:trPr>
          <w:cantSplit/>
        </w:trPr>
        <w:tc>
          <w:tcPr>
            <w:tcW w:type="dxa" w:w="5184"/>
            <w:vAlign w:val="center"/>
            <w:tcMar>
              <w:top w:w="75" w:type="dxa"/>
              <w:start w:w="80" w:type="dxa"/>
              <w:bottom w:w="75" w:type="dxa"/>
              <w:end w:w="80" w:type="dxa"/>
            </w:tcMar>
          </w:tcPr>
          <w:p>
            <w:pPr>
              <w:spacing w:after="0" w:line="240" w:lineRule="auto"/>
            </w:pPr>
            <w:r>
              <w:rPr>
                <w:color w:val="0A1628"/>
                <w:sz w:val="17"/>
              </w:rPr>
            </w:r>
            <w:r>
              <w:rPr>
                <w:rFonts w:ascii="Aptos" w:hAnsi="Aptos" w:eastAsia="Aptos"/>
                <w:b w:val="0"/>
                <w:i w:val="0"/>
                <w:color w:val="0A1628"/>
                <w:sz w:val="17"/>
              </w:rPr>
              <w:t>Approved but Unpaid</w:t>
            </w:r>
          </w:p>
        </w:tc>
        <w:tc>
          <w:tcPr>
            <w:tcW w:type="dxa" w:w="5184"/>
            <w:vAlign w:val="center"/>
            <w:tcMar>
              <w:top w:w="75" w:type="dxa"/>
              <w:start w:w="80" w:type="dxa"/>
              <w:bottom w:w="75" w:type="dxa"/>
              <w:end w:w="80" w:type="dxa"/>
            </w:tcMar>
          </w:tcPr>
          <w:p>
            <w:pPr>
              <w:spacing w:after="0" w:line="240" w:lineRule="auto"/>
            </w:pPr>
            <w:r>
              <w:rPr>
                <w:color w:val="0A1628"/>
                <w:sz w:val="17"/>
              </w:rPr>
            </w:r>
            <w:r>
              <w:rPr>
                <w:rFonts w:ascii="Aptos" w:hAnsi="Aptos" w:eastAsia="Aptos"/>
                <w:b w:val="0"/>
                <w:i w:val="0"/>
                <w:color w:val="0A1628"/>
                <w:sz w:val="17"/>
              </w:rPr>
              <w:t>Approved batch net payable with unpaid status</w:t>
            </w:r>
          </w:p>
        </w:tc>
      </w:tr>
      <w:tr>
        <w:trPr>
          <w:cantSplit/>
        </w:trPr>
        <w:tc>
          <w:tcPr>
            <w:tcW w:type="dxa" w:w="5184"/>
            <w:vAlign w:val="center"/>
            <w:tcMar>
              <w:top w:w="75" w:type="dxa"/>
              <w:start w:w="80" w:type="dxa"/>
              <w:bottom w:w="75" w:type="dxa"/>
              <w:end w:w="80" w:type="dxa"/>
            </w:tcMar>
            <w:shd w:fill="F7F9FC"/>
          </w:tcPr>
          <w:p>
            <w:pPr>
              <w:spacing w:after="0" w:line="240" w:lineRule="auto"/>
            </w:pPr>
            <w:r>
              <w:rPr>
                <w:color w:val="0A1628"/>
                <w:sz w:val="17"/>
              </w:rPr>
            </w:r>
            <w:r>
              <w:rPr>
                <w:rFonts w:ascii="Aptos" w:hAnsi="Aptos" w:eastAsia="Aptos"/>
                <w:b w:val="0"/>
                <w:i w:val="0"/>
                <w:color w:val="0A1628"/>
                <w:sz w:val="17"/>
              </w:rPr>
              <w:t>Paid Settlements</w:t>
            </w:r>
          </w:p>
        </w:tc>
        <w:tc>
          <w:tcPr>
            <w:tcW w:type="dxa" w:w="5184"/>
            <w:vAlign w:val="center"/>
            <w:tcMar>
              <w:top w:w="75" w:type="dxa"/>
              <w:start w:w="80" w:type="dxa"/>
              <w:bottom w:w="75" w:type="dxa"/>
              <w:end w:w="80" w:type="dxa"/>
            </w:tcMar>
            <w:shd w:fill="F7F9FC"/>
          </w:tcPr>
          <w:p>
            <w:pPr>
              <w:spacing w:after="0" w:line="240" w:lineRule="auto"/>
            </w:pPr>
            <w:r>
              <w:rPr>
                <w:color w:val="0A1628"/>
                <w:sz w:val="17"/>
              </w:rPr>
            </w:r>
            <w:r>
              <w:rPr>
                <w:rFonts w:ascii="Aptos" w:hAnsi="Aptos" w:eastAsia="Aptos"/>
                <w:b w:val="0"/>
                <w:i w:val="0"/>
                <w:color w:val="0A1628"/>
                <w:sz w:val="17"/>
              </w:rPr>
              <w:t>Paid batch totals</w:t>
            </w:r>
          </w:p>
        </w:tc>
      </w:tr>
      <w:tr>
        <w:trPr>
          <w:cantSplit/>
        </w:trPr>
        <w:tc>
          <w:tcPr>
            <w:tcW w:type="dxa" w:w="5184"/>
            <w:vAlign w:val="center"/>
            <w:tcMar>
              <w:top w:w="75" w:type="dxa"/>
              <w:start w:w="80" w:type="dxa"/>
              <w:bottom w:w="75" w:type="dxa"/>
              <w:end w:w="80" w:type="dxa"/>
            </w:tcMar>
          </w:tcPr>
          <w:p>
            <w:pPr>
              <w:spacing w:after="0" w:line="240" w:lineRule="auto"/>
            </w:pPr>
            <w:r>
              <w:rPr>
                <w:color w:val="0A1628"/>
                <w:sz w:val="17"/>
              </w:rPr>
            </w:r>
            <w:r>
              <w:rPr>
                <w:rFonts w:ascii="Aptos" w:hAnsi="Aptos" w:eastAsia="Aptos"/>
                <w:b w:val="0"/>
                <w:i w:val="0"/>
                <w:color w:val="0A1628"/>
                <w:sz w:val="17"/>
              </w:rPr>
              <w:t>Partner Payable</w:t>
            </w:r>
          </w:p>
        </w:tc>
        <w:tc>
          <w:tcPr>
            <w:tcW w:type="dxa" w:w="5184"/>
            <w:vAlign w:val="center"/>
            <w:tcMar>
              <w:top w:w="75" w:type="dxa"/>
              <w:start w:w="80" w:type="dxa"/>
              <w:bottom w:w="75" w:type="dxa"/>
              <w:end w:w="80" w:type="dxa"/>
            </w:tcMar>
          </w:tcPr>
          <w:p>
            <w:pPr>
              <w:spacing w:after="0" w:line="240" w:lineRule="auto"/>
            </w:pPr>
            <w:r>
              <w:rPr>
                <w:color w:val="0A1628"/>
                <w:sz w:val="17"/>
              </w:rPr>
            </w:r>
            <w:r>
              <w:rPr>
                <w:rFonts w:ascii="Aptos" w:hAnsi="Aptos" w:eastAsia="Aptos"/>
                <w:b w:val="0"/>
                <w:i w:val="0"/>
                <w:color w:val="0A1628"/>
                <w:sz w:val="17"/>
              </w:rPr>
              <w:t>Approved third-party settlement payable</w:t>
            </w:r>
          </w:p>
        </w:tc>
      </w:tr>
      <w:tr>
        <w:trPr>
          <w:cantSplit/>
        </w:trPr>
        <w:tc>
          <w:tcPr>
            <w:tcW w:type="dxa" w:w="5184"/>
            <w:vAlign w:val="center"/>
            <w:tcMar>
              <w:top w:w="75" w:type="dxa"/>
              <w:start w:w="80" w:type="dxa"/>
              <w:bottom w:w="75" w:type="dxa"/>
              <w:end w:w="80" w:type="dxa"/>
            </w:tcMar>
            <w:shd w:fill="F7F9FC"/>
          </w:tcPr>
          <w:p>
            <w:pPr>
              <w:spacing w:after="0" w:line="240" w:lineRule="auto"/>
            </w:pPr>
            <w:r>
              <w:rPr>
                <w:color w:val="0A1628"/>
                <w:sz w:val="17"/>
              </w:rPr>
            </w:r>
            <w:r>
              <w:rPr>
                <w:rFonts w:ascii="Aptos" w:hAnsi="Aptos" w:eastAsia="Aptos"/>
                <w:b w:val="0"/>
                <w:i w:val="0"/>
                <w:color w:val="0A1628"/>
                <w:sz w:val="17"/>
              </w:rPr>
              <w:t>Branch COD Outstanding</w:t>
            </w:r>
          </w:p>
        </w:tc>
        <w:tc>
          <w:tcPr>
            <w:tcW w:type="dxa" w:w="5184"/>
            <w:vAlign w:val="center"/>
            <w:tcMar>
              <w:top w:w="75" w:type="dxa"/>
              <w:start w:w="80" w:type="dxa"/>
              <w:bottom w:w="75" w:type="dxa"/>
              <w:end w:w="80" w:type="dxa"/>
            </w:tcMar>
            <w:shd w:fill="F7F9FC"/>
          </w:tcPr>
          <w:p>
            <w:pPr>
              <w:spacing w:after="0" w:line="240" w:lineRule="auto"/>
            </w:pPr>
            <w:r>
              <w:rPr>
                <w:color w:val="0A1628"/>
                <w:sz w:val="17"/>
              </w:rPr>
            </w:r>
            <w:r>
              <w:rPr>
                <w:rFonts w:ascii="Aptos" w:hAnsi="Aptos" w:eastAsia="Aptos"/>
                <w:b w:val="0"/>
                <w:i w:val="0"/>
                <w:color w:val="0A1628"/>
                <w:sz w:val="17"/>
              </w:rPr>
              <w:t>Confirmed branch custody less remitted/approved adjustments</w:t>
            </w:r>
          </w:p>
        </w:tc>
      </w:tr>
    </w:tbl>
    <w:p>
      <w:pPr>
        <w:spacing w:after="0"/>
      </w:pPr>
    </w:p>
    <w:p>
      <w:pPr>
        <w:pStyle w:val="Heading3"/>
        <w:keepNext/>
      </w:pPr>
      <w:r>
        <w:rPr>
          <w:rFonts w:ascii="Aptos" w:hAnsi="Aptos" w:eastAsia="Aptos"/>
          <w:b w:val="0"/>
          <w:i w:val="0"/>
          <w:color w:val="0A1628"/>
          <w:sz w:val="20"/>
        </w:rPr>
        <w:t>6.4 Pending-settlement parcel table</w:t>
      </w:r>
    </w:p>
    <w:p>
      <w:r>
        <w:rPr>
          <w:rFonts w:ascii="Aptos" w:hAnsi="Aptos" w:eastAsia="Aptos"/>
          <w:b w:val="0"/>
          <w:i w:val="0"/>
          <w:color w:val="0A1628"/>
          <w:sz w:val="20"/>
        </w:rPr>
        <w:t>Required columns:</w:t>
      </w:r>
    </w:p>
    <w:p>
      <w:pPr>
        <w:pStyle w:val="ListBullet"/>
        <w:ind w:left="0"/>
      </w:pPr>
      <w:r>
        <w:rPr>
          <w:rFonts w:ascii="Aptos" w:hAnsi="Aptos" w:eastAsia="Aptos"/>
          <w:b w:val="0"/>
          <w:i w:val="0"/>
          <w:color w:val="0A1628"/>
          <w:sz w:val="20"/>
        </w:rPr>
        <w:t>Select.</w:t>
      </w:r>
    </w:p>
    <w:p>
      <w:pPr>
        <w:pStyle w:val="ListBullet"/>
        <w:ind w:left="0"/>
      </w:pPr>
      <w:r>
        <w:rPr>
          <w:rFonts w:ascii="Aptos" w:hAnsi="Aptos" w:eastAsia="Aptos"/>
          <w:b w:val="0"/>
          <w:i w:val="0"/>
          <w:color w:val="0A1628"/>
          <w:sz w:val="20"/>
        </w:rPr>
        <w:t>Waybill/Way ID.</w:t>
      </w:r>
    </w:p>
    <w:p>
      <w:pPr>
        <w:pStyle w:val="ListBullet"/>
        <w:ind w:left="0"/>
      </w:pPr>
      <w:r>
        <w:rPr>
          <w:rFonts w:ascii="Aptos" w:hAnsi="Aptos" w:eastAsia="Aptos"/>
          <w:b w:val="0"/>
          <w:i w:val="0"/>
          <w:color w:val="0A1628"/>
          <w:sz w:val="20"/>
        </w:rPr>
        <w:t>Delivered date.</w:t>
      </w:r>
    </w:p>
    <w:p>
      <w:pPr>
        <w:pStyle w:val="ListBullet"/>
        <w:ind w:left="0"/>
      </w:pPr>
      <w:r>
        <w:rPr>
          <w:rFonts w:ascii="Aptos" w:hAnsi="Aptos" w:eastAsia="Aptos"/>
          <w:b w:val="0"/>
          <w:i w:val="0"/>
          <w:color w:val="0A1628"/>
          <w:sz w:val="20"/>
        </w:rPr>
        <w:t>Merchant and merchant code.</w:t>
      </w:r>
    </w:p>
    <w:p>
      <w:pPr>
        <w:pStyle w:val="ListBullet"/>
        <w:ind w:left="0"/>
      </w:pPr>
      <w:r>
        <w:rPr>
          <w:rFonts w:ascii="Aptos" w:hAnsi="Aptos" w:eastAsia="Aptos"/>
          <w:b w:val="0"/>
          <w:i w:val="0"/>
          <w:color w:val="0A1628"/>
          <w:sz w:val="20"/>
        </w:rPr>
        <w:t>Receiver and destination.</w:t>
      </w:r>
    </w:p>
    <w:p>
      <w:pPr>
        <w:pStyle w:val="ListBullet"/>
        <w:ind w:left="0"/>
      </w:pPr>
      <w:r>
        <w:rPr>
          <w:rFonts w:ascii="Aptos" w:hAnsi="Aptos" w:eastAsia="Aptos"/>
          <w:b w:val="0"/>
          <w:i w:val="0"/>
          <w:color w:val="0A1628"/>
          <w:sz w:val="20"/>
        </w:rPr>
        <w:t>Customer tier and amount-entry type.</w:t>
      </w:r>
    </w:p>
    <w:p>
      <w:pPr>
        <w:pStyle w:val="ListBullet"/>
        <w:ind w:left="0"/>
      </w:pPr>
      <w:r>
        <w:rPr>
          <w:rFonts w:ascii="Aptos" w:hAnsi="Aptos" w:eastAsia="Aptos"/>
          <w:b w:val="0"/>
          <w:i w:val="0"/>
          <w:color w:val="0A1628"/>
          <w:sz w:val="20"/>
        </w:rPr>
        <w:t>Item price.</w:t>
      </w:r>
    </w:p>
    <w:p>
      <w:pPr>
        <w:pStyle w:val="ListBullet"/>
        <w:ind w:left="0"/>
      </w:pPr>
      <w:r>
        <w:rPr>
          <w:rFonts w:ascii="Aptos" w:hAnsi="Aptos" w:eastAsia="Aptos"/>
          <w:b w:val="0"/>
          <w:i w:val="0"/>
          <w:color w:val="0A1628"/>
          <w:sz w:val="20"/>
        </w:rPr>
        <w:t>Merchant-declared delivery.</w:t>
      </w:r>
    </w:p>
    <w:p>
      <w:pPr>
        <w:pStyle w:val="ListBullet"/>
        <w:ind w:left="0"/>
      </w:pPr>
      <w:r>
        <w:rPr>
          <w:rFonts w:ascii="Aptos" w:hAnsi="Aptos" w:eastAsia="Aptos"/>
          <w:b w:val="0"/>
          <w:i w:val="0"/>
          <w:color w:val="0A1628"/>
          <w:sz w:val="20"/>
        </w:rPr>
        <w:t>Customer total collection.</w:t>
      </w:r>
    </w:p>
    <w:p>
      <w:pPr>
        <w:pStyle w:val="ListBullet"/>
        <w:ind w:left="0"/>
      </w:pPr>
      <w:r>
        <w:rPr>
          <w:rFonts w:ascii="Aptos" w:hAnsi="Aptos" w:eastAsia="Aptos"/>
          <w:b w:val="0"/>
          <w:i w:val="0"/>
          <w:color w:val="0A1628"/>
          <w:sz w:val="20"/>
        </w:rPr>
        <w:t>Britium net delivery charge.</w:t>
      </w:r>
    </w:p>
    <w:p>
      <w:pPr>
        <w:pStyle w:val="ListBullet"/>
        <w:ind w:left="0"/>
      </w:pPr>
      <w:r>
        <w:rPr>
          <w:rFonts w:ascii="Aptos" w:hAnsi="Aptos" w:eastAsia="Aptos"/>
          <w:b w:val="0"/>
          <w:i w:val="0"/>
          <w:color w:val="0A1628"/>
          <w:sz w:val="20"/>
        </w:rPr>
        <w:t>Delivery difference.</w:t>
      </w:r>
    </w:p>
    <w:p>
      <w:pPr>
        <w:pStyle w:val="ListBullet"/>
        <w:ind w:left="0"/>
      </w:pPr>
      <w:r>
        <w:rPr>
          <w:rFonts w:ascii="Aptos" w:hAnsi="Aptos" w:eastAsia="Aptos"/>
          <w:b w:val="0"/>
          <w:i w:val="0"/>
          <w:color w:val="0A1628"/>
          <w:sz w:val="20"/>
        </w:rPr>
        <w:t>Settlement direction.</w:t>
      </w:r>
    </w:p>
    <w:p>
      <w:pPr>
        <w:pStyle w:val="ListBullet"/>
        <w:ind w:left="0"/>
      </w:pPr>
      <w:r>
        <w:rPr>
          <w:rFonts w:ascii="Aptos" w:hAnsi="Aptos" w:eastAsia="Aptos"/>
          <w:b w:val="0"/>
          <w:i w:val="0"/>
          <w:color w:val="0A1628"/>
          <w:sz w:val="20"/>
        </w:rPr>
        <w:t>Other merchant credits/charges.</w:t>
      </w:r>
    </w:p>
    <w:p>
      <w:pPr>
        <w:pStyle w:val="ListBullet"/>
        <w:ind w:left="0"/>
      </w:pPr>
      <w:r>
        <w:rPr>
          <w:rFonts w:ascii="Aptos" w:hAnsi="Aptos" w:eastAsia="Aptos"/>
          <w:b w:val="0"/>
          <w:i w:val="0"/>
          <w:color w:val="0A1628"/>
          <w:sz w:val="20"/>
        </w:rPr>
        <w:t>Final merchant settlement.</w:t>
      </w:r>
    </w:p>
    <w:p>
      <w:pPr>
        <w:pStyle w:val="ListBullet"/>
        <w:ind w:left="0"/>
      </w:pPr>
      <w:r>
        <w:rPr>
          <w:rFonts w:ascii="Aptos" w:hAnsi="Aptos" w:eastAsia="Aptos"/>
          <w:b w:val="0"/>
          <w:i w:val="0"/>
          <w:color w:val="0A1628"/>
          <w:sz w:val="20"/>
        </w:rPr>
        <w:t>Fulfillment mode, branch, and provider.</w:t>
      </w:r>
    </w:p>
    <w:p>
      <w:pPr>
        <w:pStyle w:val="ListBullet"/>
        <w:ind w:left="0"/>
      </w:pPr>
      <w:r>
        <w:rPr>
          <w:rFonts w:ascii="Aptos" w:hAnsi="Aptos" w:eastAsia="Aptos"/>
          <w:b w:val="0"/>
          <w:i w:val="0"/>
          <w:color w:val="0A1628"/>
          <w:sz w:val="20"/>
        </w:rPr>
        <w:t>Validation and eligibility.</w:t>
      </w:r>
    </w:p>
    <w:p>
      <w:pPr>
        <w:pStyle w:val="ListBullet"/>
        <w:ind w:left="0"/>
      </w:pPr>
      <w:r>
        <w:rPr>
          <w:rFonts w:ascii="Aptos" w:hAnsi="Aptos" w:eastAsia="Aptos"/>
          <w:b w:val="0"/>
          <w:i w:val="0"/>
          <w:color w:val="0A1628"/>
          <w:sz w:val="20"/>
        </w:rPr>
        <w:t>Actions.</w:t>
      </w:r>
    </w:p>
    <w:p>
      <w:r>
        <w:rPr>
          <w:rFonts w:ascii="Aptos" w:hAnsi="Aptos" w:eastAsia="Aptos"/>
          <w:b w:val="0"/>
          <w:i w:val="0"/>
          <w:color w:val="0A1628"/>
          <w:sz w:val="20"/>
        </w:rPr>
        <w:t xml:space="preserve">A parcel is eligible only when delivered, validation is </w:t>
      </w:r>
      <w:r>
        <w:rPr>
          <w:rFonts w:ascii="Consolas" w:hAnsi="Consolas" w:eastAsia="Consolas"/>
          <w:b w:val="0"/>
          <w:i w:val="0"/>
          <w:color w:val="0A1628"/>
          <w:sz w:val="17"/>
          <w:shd w:fill="EEF2F6"/>
        </w:rPr>
        <w:t>OK</w:t>
      </w:r>
      <w:r>
        <w:rPr>
          <w:rFonts w:ascii="Aptos" w:hAnsi="Aptos" w:eastAsia="Aptos"/>
          <w:b w:val="0"/>
          <w:i w:val="0"/>
          <w:color w:val="0A1628"/>
          <w:sz w:val="20"/>
        </w:rPr>
        <w:t>, lineage is valid, no breakdown is required, no financial hold exists, and it is not already batched or settled.</w:t>
      </w:r>
    </w:p>
    <w:p>
      <w:pPr>
        <w:pStyle w:val="Heading3"/>
        <w:keepNext/>
      </w:pPr>
      <w:r>
        <w:rPr>
          <w:rFonts w:ascii="Aptos" w:hAnsi="Aptos" w:eastAsia="Aptos"/>
          <w:b w:val="0"/>
          <w:i w:val="0"/>
          <w:color w:val="0A1628"/>
          <w:sz w:val="20"/>
        </w:rPr>
        <w:t>6.5 Batch workflow</w:t>
      </w:r>
    </w:p>
    <w:p>
      <w:r>
        <w:rPr>
          <w:rFonts w:ascii="Aptos" w:hAnsi="Aptos" w:eastAsia="Aptos"/>
          <w:b w:val="0"/>
          <w:i w:val="0"/>
          <w:color w:val="0A1628"/>
          <w:sz w:val="20"/>
        </w:rPr>
        <w:t>Statuses:</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DRAFT</w:t>
              <w:br/>
              <w:t>UNDER_REVIEW</w:t>
              <w:br/>
              <w:t>PENDING_APPROVAL</w:t>
              <w:br/>
              <w:t>APPROVED</w:t>
              <w:br/>
              <w:t>PAYMENT_PROCESSING</w:t>
              <w:br/>
              <w:t>PARTIALLY_PAID</w:t>
              <w:br/>
              <w:t>PAID</w:t>
              <w:br/>
              <w:t>REJECTED</w:t>
              <w:br/>
              <w:t>CANCELLED</w:t>
              <w:br/>
              <w:t>REOPENED</w:t>
            </w:r>
          </w:p>
        </w:tc>
      </w:tr>
    </w:tbl>
    <w:p>
      <w:pPr>
        <w:spacing w:after="0"/>
      </w:pPr>
    </w:p>
    <w:p>
      <w:r>
        <w:rPr>
          <w:rFonts w:ascii="Aptos" w:hAnsi="Aptos" w:eastAsia="Aptos"/>
          <w:b w:val="0"/>
          <w:i w:val="0"/>
          <w:color w:val="0A1628"/>
          <w:sz w:val="20"/>
        </w:rPr>
        <w:t>Normal workflow:</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DRAFT -&gt; UNDER_REVIEW -&gt; PENDING_APPROVAL -&gt; APPROVED -&gt; PAYMENT_PROCESSING -&gt; PAID</w:t>
            </w:r>
          </w:p>
        </w:tc>
      </w:tr>
    </w:tbl>
    <w:p>
      <w:pPr>
        <w:spacing w:after="0"/>
      </w:pPr>
    </w:p>
    <w:p>
      <w:r>
        <w:rPr>
          <w:rFonts w:ascii="Aptos" w:hAnsi="Aptos" w:eastAsia="Aptos"/>
          <w:b w:val="0"/>
          <w:i w:val="0"/>
          <w:color w:val="0A1628"/>
          <w:sz w:val="20"/>
        </w:rPr>
        <w:t>The creator cannot approve their own batch when maker-checker is enabled. Paid batches are corrected through adjustment batches.</w:t>
      </w:r>
    </w:p>
    <w:p>
      <w:pPr>
        <w:pStyle w:val="Heading3"/>
        <w:keepNext/>
      </w:pPr>
      <w:r>
        <w:rPr>
          <w:rFonts w:ascii="Aptos" w:hAnsi="Aptos" w:eastAsia="Aptos"/>
          <w:b w:val="0"/>
          <w:i w:val="0"/>
          <w:color w:val="0A1628"/>
          <w:sz w:val="20"/>
        </w:rPr>
        <w:t>6.6 Batch calculation</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parcel_settlement_total</w:t>
              <w:br/>
              <w:t>= SUM(merchant_final_settlement_amount)</w:t>
              <w:br/>
              <w:br/>
              <w:t>batch_net_payable</w:t>
              <w:br/>
              <w:t>= parcel_settlement_total</w:t>
              <w:br/>
              <w:t>+ batch_level_credits</w:t>
              <w:br/>
              <w:t>- batch_level_deductions</w:t>
              <w:br/>
              <w:t>- advance_recovery</w:t>
              <w:br/>
              <w:t>- withholding_tax</w:t>
            </w:r>
          </w:p>
        </w:tc>
      </w:tr>
    </w:tbl>
    <w:p>
      <w:pPr>
        <w:spacing w:after="0"/>
      </w:pPr>
    </w:p>
    <w:p>
      <w:r>
        <w:rPr>
          <w:rFonts w:ascii="Aptos" w:hAnsi="Aptos" w:eastAsia="Aptos"/>
          <w:b w:val="0"/>
          <w:i w:val="0"/>
          <w:color w:val="0A1628"/>
          <w:sz w:val="20"/>
        </w:rPr>
        <w:t>A negative batch creates a merchant receivable/carry-forward balance.</w:t>
      </w:r>
    </w:p>
    <w:p>
      <w:pPr>
        <w:pStyle w:val="Heading3"/>
        <w:keepNext/>
      </w:pPr>
      <w:r>
        <w:rPr>
          <w:rFonts w:ascii="Aptos" w:hAnsi="Aptos" w:eastAsia="Aptos"/>
          <w:b w:val="0"/>
          <w:i w:val="0"/>
          <w:color w:val="0A1628"/>
          <w:sz w:val="20"/>
        </w:rPr>
        <w:t>6.7 Exact-collection resolution</w:t>
      </w:r>
    </w:p>
    <w:p>
      <w:r>
        <w:rPr>
          <w:rFonts w:ascii="Aptos" w:hAnsi="Aptos" w:eastAsia="Aptos"/>
          <w:b w:val="0"/>
          <w:i w:val="0"/>
          <w:color w:val="0A1628"/>
          <w:sz w:val="20"/>
        </w:rPr>
        <w:t>An authorized employee must enter confirmed item price, confirmed delivery charge, confirmed additional customer charge, reason, and evidence. The following must reconcile:</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confirmed_item_price</w:t>
              <w:br/>
              <w:t>+ confirmed_delivery_charge</w:t>
              <w:br/>
              <w:t>+ confirmed_additional_customer_charge</w:t>
              <w:br/>
              <w:t>= exact_collection_amount</w:t>
            </w:r>
          </w:p>
        </w:tc>
      </w:tr>
    </w:tbl>
    <w:p>
      <w:pPr>
        <w:spacing w:after="0"/>
      </w:pPr>
    </w:p>
    <w:p>
      <w:r>
        <w:rPr>
          <w:rFonts w:ascii="Aptos" w:hAnsi="Aptos" w:eastAsia="Aptos"/>
          <w:b w:val="0"/>
          <w:i w:val="0"/>
          <w:color w:val="0A1628"/>
          <w:sz w:val="20"/>
        </w:rPr>
        <w:t>After approval, the backend recalculates and releases settlement eligibility.</w:t>
      </w:r>
    </w:p>
    <w:p>
      <w:pPr>
        <w:pStyle w:val="Heading3"/>
        <w:keepNext/>
      </w:pPr>
      <w:r>
        <w:rPr>
          <w:rFonts w:ascii="Aptos" w:hAnsi="Aptos" w:eastAsia="Aptos"/>
          <w:b w:val="0"/>
          <w:i w:val="0"/>
          <w:color w:val="0A1628"/>
          <w:sz w:val="20"/>
        </w:rPr>
        <w:t>6.8 Payment controls</w:t>
      </w:r>
    </w:p>
    <w:p>
      <w:r>
        <w:rPr>
          <w:rFonts w:ascii="Aptos" w:hAnsi="Aptos" w:eastAsia="Aptos"/>
          <w:b w:val="0"/>
          <w:i w:val="0"/>
          <w:color w:val="0A1628"/>
          <w:sz w:val="20"/>
        </w:rPr>
        <w:t>Support scheduled, processing, partial, paid, failed, and reversed payments. Each payment transaction is immutable and separate. Outstanding amount is:</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outstanding_amount = batch_net_payable - total_confirmed_paid_amount</w:t>
            </w:r>
          </w:p>
        </w:tc>
      </w:tr>
    </w:tbl>
    <w:p>
      <w:pPr>
        <w:spacing w:after="0"/>
      </w:pPr>
    </w:p>
    <w:p>
      <w:pPr>
        <w:pStyle w:val="Heading3"/>
        <w:keepNext/>
      </w:pPr>
      <w:r>
        <w:rPr>
          <w:rFonts w:ascii="Aptos" w:hAnsi="Aptos" w:eastAsia="Aptos"/>
          <w:b w:val="0"/>
          <w:i w:val="0"/>
          <w:color w:val="0A1628"/>
          <w:sz w:val="20"/>
        </w:rPr>
        <w:t>6.9 Merchant statements</w:t>
      </w:r>
    </w:p>
    <w:p>
      <w:r>
        <w:rPr>
          <w:rFonts w:ascii="Aptos" w:hAnsi="Aptos" w:eastAsia="Aptos"/>
          <w:b w:val="0"/>
          <w:i w:val="0"/>
          <w:color w:val="0A1628"/>
          <w:sz w:val="20"/>
        </w:rPr>
        <w:t>Statements must show batch reference, period, parcel count, item value, delivery collected, Britium delivery charge, excess credit, shortfall deduction, other credits/deductions, tax, final settlement, amount paid, outstanding amount, and parcel-level breakdown.</w:t>
      </w:r>
    </w:p>
    <w:p>
      <w:pPr>
        <w:pStyle w:val="Heading3"/>
        <w:keepNext/>
      </w:pPr>
      <w:r>
        <w:rPr>
          <w:rFonts w:ascii="Aptos" w:hAnsi="Aptos" w:eastAsia="Aptos"/>
          <w:b w:val="0"/>
          <w:i w:val="0"/>
          <w:color w:val="0A1628"/>
          <w:sz w:val="20"/>
        </w:rPr>
        <w:t>6.10 Disputes and adjustments</w:t>
      </w:r>
    </w:p>
    <w:p>
      <w:r>
        <w:rPr>
          <w:rFonts w:ascii="Aptos" w:hAnsi="Aptos" w:eastAsia="Aptos"/>
          <w:b w:val="0"/>
          <w:i w:val="0"/>
          <w:color w:val="0A1628"/>
          <w:sz w:val="20"/>
        </w:rPr>
        <w:t>Supported dispute categories include missing parcel, incorrect item price, incorrect delivery amount, incorrect tariff/weight surcharge, missing excess credit, incorrect shortfall deduction, missing payment, and other settlement issues.</w:t>
      </w:r>
    </w:p>
    <w:p>
      <w:r>
        <w:rPr>
          <w:rFonts w:ascii="Aptos" w:hAnsi="Aptos" w:eastAsia="Aptos"/>
          <w:b w:val="0"/>
          <w:i w:val="0"/>
          <w:color w:val="0A1628"/>
          <w:sz w:val="20"/>
        </w:rPr>
        <w:t>Paid records must use adjustment types such as delivery-excess correction, delivery-shortfall correction, item-price correction, surcharge correction, other credit/deduction, and payment reversal.</w:t>
      </w:r>
    </w:p>
    <w:p>
      <w:pPr>
        <w:pStyle w:val="Heading3"/>
        <w:keepNext/>
      </w:pPr>
      <w:r>
        <w:rPr>
          <w:rFonts w:ascii="Aptos" w:hAnsi="Aptos" w:eastAsia="Aptos"/>
          <w:b w:val="0"/>
          <w:i w:val="0"/>
          <w:color w:val="0A1628"/>
          <w:sz w:val="20"/>
        </w:rPr>
        <w:t>6.11 Recommended APIs</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GET  /api/finance/settlements/dashboard</w:t>
              <w:br/>
              <w:t>GET  /api/finance/settlements/pending-parcels</w:t>
              <w:br/>
              <w:t>POST /api/finance/settlement-batches</w:t>
              <w:br/>
              <w:t>POST /api/finance/settlement-batches/{batchId}/submit</w:t>
              <w:br/>
              <w:t>POST /api/finance/settlement-batches/{batchId}/approve</w:t>
              <w:br/>
              <w:t>POST /api/finance/settlement-batches/{batchId}/reject</w:t>
              <w:br/>
              <w:t>POST /api/finance/settlement-batches/{batchId}/payments</w:t>
              <w:br/>
              <w:t>POST /api/finance/parcels/{parcelId}/resolve-breakdown</w:t>
              <w:br/>
              <w:t>GET  /api/merchant/settlements</w:t>
              <w:br/>
              <w:t>GET  /api/merchant/settlements/{batchId}/statement</w:t>
              <w:br/>
              <w:t>POST /api/merchant/settlement-disputes</w:t>
            </w:r>
          </w:p>
        </w:tc>
      </w:tr>
    </w:tbl>
    <w:p>
      <w:pPr>
        <w:spacing w:after="0"/>
      </w:pPr>
    </w:p>
    <w:p>
      <w:pPr>
        <w:pStyle w:val="Heading2"/>
        <w:keepNext/>
      </w:pPr>
      <w:r>
        <w:rPr>
          <w:rFonts w:ascii="Aptos" w:hAnsi="Aptos" w:eastAsia="Aptos"/>
          <w:b w:val="0"/>
          <w:i w:val="0"/>
          <w:color w:val="0A1628"/>
          <w:sz w:val="20"/>
        </w:rPr>
        <w:t>7. Merchant Referral Commission</w:t>
      </w:r>
    </w:p>
    <w:p>
      <w:pPr>
        <w:pStyle w:val="Heading3"/>
        <w:keepNext/>
      </w:pPr>
      <w:r>
        <w:rPr>
          <w:rFonts w:ascii="Aptos" w:hAnsi="Aptos" w:eastAsia="Aptos"/>
          <w:b w:val="0"/>
          <w:i w:val="0"/>
          <w:color w:val="0A1628"/>
          <w:sz w:val="20"/>
        </w:rPr>
        <w:t>Business rule</w:t>
      </w:r>
    </w:p>
    <w:p>
      <w:pPr>
        <w:pStyle w:val="ListBullet"/>
        <w:ind w:left="0"/>
      </w:pPr>
      <w:r>
        <w:rPr>
          <w:rFonts w:ascii="Aptos" w:hAnsi="Aptos" w:eastAsia="Aptos"/>
          <w:b w:val="0"/>
          <w:i w:val="0"/>
          <w:color w:val="0A1628"/>
          <w:sz w:val="20"/>
        </w:rPr>
        <w:t xml:space="preserve">Operation type: </w:t>
      </w:r>
      <w:r>
        <w:rPr>
          <w:rFonts w:ascii="Consolas" w:hAnsi="Consolas" w:eastAsia="Consolas"/>
          <w:b w:val="0"/>
          <w:i w:val="0"/>
          <w:color w:val="0A1628"/>
          <w:sz w:val="17"/>
          <w:shd w:fill="EEF2F6"/>
        </w:rPr>
        <w:t>MERCHANT_REFERRAL</w:t>
      </w:r>
    </w:p>
    <w:p>
      <w:pPr>
        <w:pStyle w:val="ListBullet"/>
        <w:ind w:left="0"/>
      </w:pPr>
      <w:r>
        <w:rPr>
          <w:rFonts w:ascii="Aptos" w:hAnsi="Aptos" w:eastAsia="Aptos"/>
          <w:b w:val="0"/>
          <w:i w:val="0"/>
          <w:color w:val="0A1628"/>
          <w:sz w:val="20"/>
        </w:rPr>
        <w:t xml:space="preserve">Commission role: </w:t>
      </w:r>
      <w:r>
        <w:rPr>
          <w:rFonts w:ascii="Consolas" w:hAnsi="Consolas" w:eastAsia="Consolas"/>
          <w:b w:val="0"/>
          <w:i w:val="0"/>
          <w:color w:val="0A1628"/>
          <w:sz w:val="17"/>
          <w:shd w:fill="EEF2F6"/>
        </w:rPr>
        <w:t>MERCHANT_REFERRER</w:t>
      </w:r>
    </w:p>
    <w:p>
      <w:pPr>
        <w:pStyle w:val="ListBullet"/>
        <w:ind w:left="0"/>
      </w:pPr>
      <w:r>
        <w:rPr>
          <w:rFonts w:ascii="Aptos" w:hAnsi="Aptos" w:eastAsia="Aptos"/>
          <w:b w:val="0"/>
          <w:i w:val="0"/>
          <w:color w:val="0A1628"/>
          <w:sz w:val="20"/>
        </w:rPr>
        <w:t xml:space="preserve">Unit type: </w:t>
      </w:r>
      <w:r>
        <w:rPr>
          <w:rFonts w:ascii="Consolas" w:hAnsi="Consolas" w:eastAsia="Consolas"/>
          <w:b w:val="0"/>
          <w:i w:val="0"/>
          <w:color w:val="0A1628"/>
          <w:sz w:val="17"/>
          <w:shd w:fill="EEF2F6"/>
        </w:rPr>
        <w:t>WAY</w:t>
      </w:r>
    </w:p>
    <w:p>
      <w:pPr>
        <w:pStyle w:val="ListBullet"/>
        <w:ind w:left="0"/>
      </w:pPr>
      <w:r>
        <w:rPr>
          <w:rFonts w:ascii="Aptos" w:hAnsi="Aptos" w:eastAsia="Aptos"/>
          <w:b w:val="0"/>
          <w:i w:val="0"/>
          <w:color w:val="0A1628"/>
          <w:sz w:val="20"/>
        </w:rPr>
        <w:t xml:space="preserve">Rate: </w:t>
      </w:r>
      <w:r>
        <w:rPr>
          <w:rFonts w:ascii="Consolas" w:hAnsi="Consolas" w:eastAsia="Consolas"/>
          <w:b w:val="0"/>
          <w:i w:val="0"/>
          <w:color w:val="0A1628"/>
          <w:sz w:val="17"/>
          <w:shd w:fill="EEF2F6"/>
        </w:rPr>
        <w:t>100 MMK</w:t>
      </w:r>
      <w:r>
        <w:rPr>
          <w:rFonts w:ascii="Aptos" w:hAnsi="Aptos" w:eastAsia="Aptos"/>
          <w:b w:val="0"/>
          <w:i w:val="0"/>
          <w:color w:val="0A1628"/>
          <w:sz w:val="20"/>
        </w:rPr>
        <w:t xml:space="preserve"> per eligible way</w:t>
      </w:r>
    </w:p>
    <w:p>
      <w:pPr>
        <w:pStyle w:val="ListBullet"/>
        <w:ind w:left="0"/>
      </w:pPr>
      <w:r>
        <w:rPr>
          <w:rFonts w:ascii="Aptos" w:hAnsi="Aptos" w:eastAsia="Aptos"/>
          <w:b w:val="0"/>
          <w:i w:val="0"/>
          <w:color w:val="0A1628"/>
          <w:sz w:val="20"/>
        </w:rPr>
        <w:t>Earning event: one successfully completed delivery way</w:t>
      </w:r>
    </w:p>
    <w:p>
      <w:pPr>
        <w:pStyle w:val="ListBullet"/>
        <w:ind w:left="0"/>
      </w:pPr>
      <w:r>
        <w:rPr>
          <w:rFonts w:ascii="Aptos" w:hAnsi="Aptos" w:eastAsia="Aptos"/>
          <w:b w:val="0"/>
          <w:i w:val="0"/>
          <w:color w:val="0A1628"/>
          <w:sz w:val="20"/>
        </w:rPr>
        <w:t>Failed, cancelled, pending, or incomplete delivery ways do not earn the commission.</w:t>
      </w:r>
    </w:p>
    <w:p>
      <w:pPr>
        <w:pStyle w:val="ListBullet"/>
        <w:ind w:left="0"/>
      </w:pPr>
      <w:r>
        <w:rPr>
          <w:rFonts w:ascii="Aptos" w:hAnsi="Aptos" w:eastAsia="Aptos"/>
          <w:b w:val="0"/>
          <w:i w:val="0"/>
          <w:color w:val="0A1628"/>
          <w:sz w:val="20"/>
        </w:rPr>
        <w:t>The employee must have an employment eligibility period covering the delivery completion date.</w:t>
      </w:r>
    </w:p>
    <w:p>
      <w:pPr>
        <w:pStyle w:val="ListBullet"/>
        <w:ind w:left="0"/>
      </w:pPr>
      <w:r>
        <w:rPr>
          <w:rFonts w:ascii="Aptos" w:hAnsi="Aptos" w:eastAsia="Aptos"/>
          <w:b w:val="0"/>
          <w:i w:val="0"/>
          <w:color w:val="0A1628"/>
          <w:sz w:val="20"/>
        </w:rPr>
        <w:t>The merchant-to-referrer assignment must cover the delivery completion date.</w:t>
      </w:r>
    </w:p>
    <w:p>
      <w:pPr>
        <w:pStyle w:val="ListBullet"/>
        <w:ind w:left="0"/>
      </w:pPr>
      <w:r>
        <w:rPr>
          <w:rFonts w:ascii="Aptos" w:hAnsi="Aptos" w:eastAsia="Aptos"/>
          <w:b w:val="0"/>
          <w:i w:val="0"/>
          <w:color w:val="0A1628"/>
          <w:sz w:val="20"/>
        </w:rPr>
        <w:t>The merchant naturally stops generating commission when it stops generating completed delivery ways.</w:t>
      </w:r>
    </w:p>
    <w:p>
      <w:pPr>
        <w:pStyle w:val="ListBullet"/>
        <w:ind w:left="0"/>
      </w:pPr>
      <w:r>
        <w:rPr>
          <w:rFonts w:ascii="Aptos" w:hAnsi="Aptos" w:eastAsia="Aptos"/>
          <w:b w:val="0"/>
          <w:i w:val="0"/>
          <w:color w:val="0A1628"/>
          <w:sz w:val="20"/>
        </w:rPr>
        <w:t>The commission is a company workforce expense and is not deducted from the merchant settlement.</w:t>
      </w:r>
    </w:p>
    <w:p>
      <w:pPr>
        <w:pStyle w:val="Heading3"/>
        <w:keepNext/>
      </w:pPr>
      <w:r>
        <w:rPr>
          <w:rFonts w:ascii="Aptos" w:hAnsi="Aptos" w:eastAsia="Aptos"/>
          <w:b w:val="0"/>
          <w:i w:val="0"/>
          <w:color w:val="0A1628"/>
          <w:sz w:val="20"/>
        </w:rPr>
        <w:t>Eligibility formula</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Eligible Referral Commission</w:t>
              <w:br/>
              <w:t>= Completed Delivery Ways</w:t>
              <w:br/>
              <w:t xml:space="preserve">  x 100 MMK</w:t>
            </w:r>
          </w:p>
        </w:tc>
      </w:tr>
    </w:tbl>
    <w:p>
      <w:pPr>
        <w:spacing w:after="0"/>
      </w:pPr>
    </w:p>
    <w:p>
      <w:r>
        <w:rPr>
          <w:rFonts w:ascii="Aptos" w:hAnsi="Aptos" w:eastAsia="Aptos"/>
          <w:b w:val="0"/>
          <w:i w:val="0"/>
          <w:color w:val="0A1628"/>
          <w:sz w:val="20"/>
        </w:rPr>
        <w:t>A way is eligible only when all conditions are true:</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Delivery status is DELIVERED, DROP_OFF, or COMPLETED</w:t>
              <w:br/>
              <w:t>AND delivery completion date is the commission work date</w:t>
              <w:br/>
              <w:t>AND merchant has an effective referral assignment</w:t>
              <w:br/>
              <w:t>AND referrer has an employment period covering that date</w:t>
              <w:br/>
              <w:t>AND no commission event already exists for the same way and referrer</w:t>
            </w:r>
          </w:p>
        </w:tc>
      </w:tr>
    </w:tbl>
    <w:p>
      <w:pPr>
        <w:spacing w:after="0"/>
      </w:pPr>
    </w:p>
    <w:p>
      <w:pPr>
        <w:pStyle w:val="Heading3"/>
        <w:keepNext/>
      </w:pPr>
      <w:r>
        <w:rPr>
          <w:rFonts w:ascii="Aptos" w:hAnsi="Aptos" w:eastAsia="Aptos"/>
          <w:b w:val="0"/>
          <w:i w:val="0"/>
          <w:color w:val="0A1628"/>
          <w:sz w:val="20"/>
        </w:rPr>
        <w:t>Required records</w:t>
      </w:r>
    </w:p>
    <w:p>
      <w:pPr>
        <w:pStyle w:val="Heading4"/>
        <w:keepNext/>
      </w:pPr>
      <w:r>
        <w:rPr>
          <w:rFonts w:ascii="Aptos" w:hAnsi="Aptos" w:eastAsia="Aptos"/>
          <w:b w:val="0"/>
          <w:i w:val="0"/>
          <w:color w:val="0A1628"/>
          <w:sz w:val="20"/>
        </w:rPr>
        <w:t>Employee eligibility period</w:t>
      </w:r>
    </w:p>
    <w:p>
      <w:r>
        <w:rPr>
          <w:rFonts w:ascii="Aptos" w:hAnsi="Aptos" w:eastAsia="Aptos"/>
          <w:b w:val="0"/>
          <w:i w:val="0"/>
          <w:color w:val="0A1628"/>
          <w:sz w:val="20"/>
        </w:rPr>
        <w:t>The HR/workforce integration must maintain:</w:t>
      </w:r>
    </w:p>
    <w:p>
      <w:pPr>
        <w:pStyle w:val="ListBullet"/>
        <w:ind w:left="0"/>
      </w:pPr>
      <w:r>
        <w:rPr>
          <w:rFonts w:ascii="Aptos" w:hAnsi="Aptos" w:eastAsia="Aptos"/>
          <w:b w:val="0"/>
          <w:i w:val="0"/>
          <w:color w:val="0A1628"/>
          <w:sz w:val="20"/>
        </w:rPr>
        <w:t>employee ID</w:t>
      </w:r>
    </w:p>
    <w:p>
      <w:pPr>
        <w:pStyle w:val="ListBullet"/>
        <w:ind w:left="0"/>
      </w:pPr>
      <w:r>
        <w:rPr>
          <w:rFonts w:ascii="Aptos" w:hAnsi="Aptos" w:eastAsia="Aptos"/>
          <w:b w:val="0"/>
          <w:i w:val="0"/>
          <w:color w:val="0A1628"/>
          <w:sz w:val="20"/>
        </w:rPr>
        <w:t>employee email</w:t>
      </w:r>
    </w:p>
    <w:p>
      <w:pPr>
        <w:pStyle w:val="ListBullet"/>
        <w:ind w:left="0"/>
      </w:pPr>
      <w:r>
        <w:rPr>
          <w:rFonts w:ascii="Aptos" w:hAnsi="Aptos" w:eastAsia="Aptos"/>
          <w:b w:val="0"/>
          <w:i w:val="0"/>
          <w:color w:val="0A1628"/>
          <w:sz w:val="20"/>
        </w:rPr>
        <w:t>employee name</w:t>
      </w:r>
    </w:p>
    <w:p>
      <w:pPr>
        <w:pStyle w:val="ListBullet"/>
        <w:ind w:left="0"/>
      </w:pPr>
      <w:r>
        <w:rPr>
          <w:rFonts w:ascii="Aptos" w:hAnsi="Aptos" w:eastAsia="Aptos"/>
          <w:b w:val="0"/>
          <w:i w:val="0"/>
          <w:color w:val="0A1628"/>
          <w:sz w:val="20"/>
        </w:rPr>
        <w:t>employed-from date</w:t>
      </w:r>
    </w:p>
    <w:p>
      <w:pPr>
        <w:pStyle w:val="ListBullet"/>
        <w:ind w:left="0"/>
      </w:pPr>
      <w:r>
        <w:rPr>
          <w:rFonts w:ascii="Aptos" w:hAnsi="Aptos" w:eastAsia="Aptos"/>
          <w:b w:val="0"/>
          <w:i w:val="0"/>
          <w:color w:val="0A1628"/>
          <w:sz w:val="20"/>
        </w:rPr>
        <w:t>employed-to date</w:t>
      </w:r>
    </w:p>
    <w:p>
      <w:pPr>
        <w:pStyle w:val="ListBullet"/>
        <w:ind w:left="0"/>
      </w:pPr>
      <w:r>
        <w:rPr>
          <w:rFonts w:ascii="Aptos" w:hAnsi="Aptos" w:eastAsia="Aptos"/>
          <w:b w:val="0"/>
          <w:i w:val="0"/>
          <w:color w:val="0A1628"/>
          <w:sz w:val="20"/>
        </w:rPr>
        <w:t>eligibility status</w:t>
      </w:r>
    </w:p>
    <w:p>
      <w:r>
        <w:rPr>
          <w:rFonts w:ascii="Aptos" w:hAnsi="Aptos" w:eastAsia="Aptos"/>
          <w:b w:val="0"/>
          <w:i w:val="0"/>
          <w:color w:val="0A1628"/>
          <w:sz w:val="20"/>
        </w:rPr>
        <w:t xml:space="preserve">For an active employee, </w:t>
      </w:r>
      <w:r>
        <w:rPr>
          <w:rFonts w:ascii="Consolas" w:hAnsi="Consolas" w:eastAsia="Consolas"/>
          <w:b w:val="0"/>
          <w:i w:val="0"/>
          <w:color w:val="0A1628"/>
          <w:sz w:val="17"/>
          <w:shd w:fill="EEF2F6"/>
        </w:rPr>
        <w:t>employed_to</w:t>
      </w:r>
      <w:r>
        <w:rPr>
          <w:rFonts w:ascii="Aptos" w:hAnsi="Aptos" w:eastAsia="Aptos"/>
          <w:b w:val="0"/>
          <w:i w:val="0"/>
          <w:color w:val="0A1628"/>
          <w:sz w:val="20"/>
        </w:rPr>
        <w:t xml:space="preserve"> remains null. On resignation or termination, set it to the final eligible work date. Rehired employees should receive a new employment-period row.</w:t>
      </w:r>
    </w:p>
    <w:p>
      <w:pPr>
        <w:pStyle w:val="Heading4"/>
        <w:keepNext/>
      </w:pPr>
      <w:r>
        <w:rPr>
          <w:rFonts w:ascii="Aptos" w:hAnsi="Aptos" w:eastAsia="Aptos"/>
          <w:b w:val="0"/>
          <w:i w:val="0"/>
          <w:color w:val="0A1628"/>
          <w:sz w:val="20"/>
        </w:rPr>
        <w:t>Merchant referral assignment</w:t>
      </w:r>
    </w:p>
    <w:p>
      <w:r>
        <w:rPr>
          <w:rFonts w:ascii="Aptos" w:hAnsi="Aptos" w:eastAsia="Aptos"/>
          <w:b w:val="0"/>
          <w:i w:val="0"/>
          <w:color w:val="0A1628"/>
          <w:sz w:val="20"/>
        </w:rPr>
        <w:t>Finance or an authorized administrator must register:</w:t>
      </w:r>
    </w:p>
    <w:p>
      <w:pPr>
        <w:pStyle w:val="ListBullet"/>
        <w:ind w:left="0"/>
      </w:pPr>
      <w:r>
        <w:rPr>
          <w:rFonts w:ascii="Aptos" w:hAnsi="Aptos" w:eastAsia="Aptos"/>
          <w:b w:val="0"/>
          <w:i w:val="0"/>
          <w:color w:val="0A1628"/>
          <w:sz w:val="20"/>
        </w:rPr>
        <w:t>merchant ID</w:t>
      </w:r>
    </w:p>
    <w:p>
      <w:pPr>
        <w:pStyle w:val="ListBullet"/>
        <w:ind w:left="0"/>
      </w:pPr>
      <w:r>
        <w:rPr>
          <w:rFonts w:ascii="Aptos" w:hAnsi="Aptos" w:eastAsia="Aptos"/>
          <w:b w:val="0"/>
          <w:i w:val="0"/>
          <w:color w:val="0A1628"/>
          <w:sz w:val="20"/>
        </w:rPr>
        <w:t>merchant code</w:t>
      </w:r>
    </w:p>
    <w:p>
      <w:pPr>
        <w:pStyle w:val="ListBullet"/>
        <w:ind w:left="0"/>
      </w:pPr>
      <w:r>
        <w:rPr>
          <w:rFonts w:ascii="Aptos" w:hAnsi="Aptos" w:eastAsia="Aptos"/>
          <w:b w:val="0"/>
          <w:i w:val="0"/>
          <w:color w:val="0A1628"/>
          <w:sz w:val="20"/>
        </w:rPr>
        <w:t>merchant name</w:t>
      </w:r>
    </w:p>
    <w:p>
      <w:pPr>
        <w:pStyle w:val="ListBullet"/>
        <w:ind w:left="0"/>
      </w:pPr>
      <w:r>
        <w:rPr>
          <w:rFonts w:ascii="Aptos" w:hAnsi="Aptos" w:eastAsia="Aptos"/>
          <w:b w:val="0"/>
          <w:i w:val="0"/>
          <w:color w:val="0A1628"/>
          <w:sz w:val="20"/>
        </w:rPr>
        <w:t>referrer employee ID</w:t>
      </w:r>
    </w:p>
    <w:p>
      <w:pPr>
        <w:pStyle w:val="ListBullet"/>
        <w:ind w:left="0"/>
      </w:pPr>
      <w:r>
        <w:rPr>
          <w:rFonts w:ascii="Aptos" w:hAnsi="Aptos" w:eastAsia="Aptos"/>
          <w:b w:val="0"/>
          <w:i w:val="0"/>
          <w:color w:val="0A1628"/>
          <w:sz w:val="20"/>
        </w:rPr>
        <w:t>referrer email</w:t>
      </w:r>
    </w:p>
    <w:p>
      <w:pPr>
        <w:pStyle w:val="ListBullet"/>
        <w:ind w:left="0"/>
      </w:pPr>
      <w:r>
        <w:rPr>
          <w:rFonts w:ascii="Aptos" w:hAnsi="Aptos" w:eastAsia="Aptos"/>
          <w:b w:val="0"/>
          <w:i w:val="0"/>
          <w:color w:val="0A1628"/>
          <w:sz w:val="20"/>
        </w:rPr>
        <w:t>referrer name</w:t>
      </w:r>
    </w:p>
    <w:p>
      <w:pPr>
        <w:pStyle w:val="ListBullet"/>
        <w:ind w:left="0"/>
      </w:pPr>
      <w:r>
        <w:rPr>
          <w:rFonts w:ascii="Aptos" w:hAnsi="Aptos" w:eastAsia="Aptos"/>
          <w:b w:val="0"/>
          <w:i w:val="0"/>
          <w:color w:val="0A1628"/>
          <w:sz w:val="20"/>
        </w:rPr>
        <w:t>effective-from date</w:t>
      </w:r>
    </w:p>
    <w:p>
      <w:pPr>
        <w:pStyle w:val="ListBullet"/>
        <w:ind w:left="0"/>
      </w:pPr>
      <w:r>
        <w:rPr>
          <w:rFonts w:ascii="Aptos" w:hAnsi="Aptos" w:eastAsia="Aptos"/>
          <w:b w:val="0"/>
          <w:i w:val="0"/>
          <w:color w:val="0A1628"/>
          <w:sz w:val="20"/>
        </w:rPr>
        <w:t>optional effective-to date</w:t>
      </w:r>
    </w:p>
    <w:p>
      <w:r>
        <w:rPr>
          <w:rFonts w:ascii="Aptos" w:hAnsi="Aptos" w:eastAsia="Aptos"/>
          <w:b w:val="0"/>
          <w:i w:val="0"/>
          <w:color w:val="0A1628"/>
          <w:sz w:val="20"/>
        </w:rPr>
        <w:t>Only one referral assignment may cover a merchant on any particular date.</w:t>
      </w:r>
    </w:p>
    <w:p>
      <w:pPr>
        <w:pStyle w:val="Heading3"/>
        <w:keepNext/>
      </w:pPr>
      <w:r>
        <w:rPr>
          <w:rFonts w:ascii="Aptos" w:hAnsi="Aptos" w:eastAsia="Aptos"/>
          <w:b w:val="0"/>
          <w:i w:val="0"/>
          <w:color w:val="0A1628"/>
          <w:sz w:val="20"/>
        </w:rPr>
        <w:t>Settlement handling</w:t>
      </w:r>
    </w:p>
    <w:p>
      <w:r>
        <w:rPr>
          <w:rFonts w:ascii="Aptos" w:hAnsi="Aptos" w:eastAsia="Aptos"/>
          <w:b w:val="0"/>
          <w:i w:val="0"/>
          <w:color w:val="0A1628"/>
          <w:sz w:val="20"/>
        </w:rPr>
        <w:t>The referral commission is included in the employee/workforce commission batch:</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Employee Commission Payable</w:t>
              <w:br/>
              <w:t>= Pickup Commission</w:t>
              <w:br/>
              <w:t>+ Delivery Commission</w:t>
              <w:br/>
              <w:t>+ Highway Drop-off Commission</w:t>
              <w:br/>
              <w:t>+ Merchant Referral Commission</w:t>
            </w:r>
          </w:p>
        </w:tc>
      </w:tr>
    </w:tbl>
    <w:p>
      <w:pPr>
        <w:spacing w:after="0"/>
      </w:pPr>
    </w:p>
    <w:p>
      <w:r>
        <w:rPr>
          <w:rFonts w:ascii="Aptos" w:hAnsi="Aptos" w:eastAsia="Aptos"/>
          <w:b w:val="0"/>
          <w:i w:val="0"/>
          <w:color w:val="0A1628"/>
          <w:sz w:val="20"/>
        </w:rPr>
        <w:t>It must not change:</w:t>
      </w:r>
    </w:p>
    <w:p>
      <w:pPr>
        <w:pStyle w:val="ListBullet"/>
        <w:ind w:left="0"/>
      </w:pPr>
      <w:r>
        <w:rPr>
          <w:rFonts w:ascii="Aptos" w:hAnsi="Aptos" w:eastAsia="Aptos"/>
          <w:b w:val="0"/>
          <w:i w:val="0"/>
          <w:color w:val="0A1628"/>
          <w:sz w:val="20"/>
        </w:rPr>
        <w:t>customer COD collection</w:t>
      </w:r>
    </w:p>
    <w:p>
      <w:pPr>
        <w:pStyle w:val="ListBullet"/>
        <w:ind w:left="0"/>
      </w:pPr>
      <w:r>
        <w:rPr>
          <w:rFonts w:ascii="Aptos" w:hAnsi="Aptos" w:eastAsia="Aptos"/>
          <w:b w:val="0"/>
          <w:i w:val="0"/>
          <w:color w:val="0A1628"/>
          <w:sz w:val="20"/>
        </w:rPr>
        <w:t>merchant-declared delivery charge</w:t>
      </w:r>
    </w:p>
    <w:p>
      <w:pPr>
        <w:pStyle w:val="ListBullet"/>
        <w:ind w:left="0"/>
      </w:pPr>
      <w:r>
        <w:rPr>
          <w:rFonts w:ascii="Aptos" w:hAnsi="Aptos" w:eastAsia="Aptos"/>
          <w:b w:val="0"/>
          <w:i w:val="0"/>
          <w:color w:val="0A1628"/>
          <w:sz w:val="20"/>
        </w:rPr>
        <w:t>company delivery tariff</w:t>
      </w:r>
    </w:p>
    <w:p>
      <w:pPr>
        <w:pStyle w:val="ListBullet"/>
        <w:ind w:left="0"/>
      </w:pPr>
      <w:r>
        <w:rPr>
          <w:rFonts w:ascii="Aptos" w:hAnsi="Aptos" w:eastAsia="Aptos"/>
          <w:b w:val="0"/>
          <w:i w:val="0"/>
          <w:color w:val="0A1628"/>
          <w:sz w:val="20"/>
        </w:rPr>
        <w:t>delivery difference</w:t>
      </w:r>
    </w:p>
    <w:p>
      <w:pPr>
        <w:pStyle w:val="ListBullet"/>
        <w:ind w:left="0"/>
      </w:pPr>
      <w:r>
        <w:rPr>
          <w:rFonts w:ascii="Aptos" w:hAnsi="Aptos" w:eastAsia="Aptos"/>
          <w:b w:val="0"/>
          <w:i w:val="0"/>
          <w:color w:val="0A1628"/>
          <w:sz w:val="20"/>
        </w:rPr>
        <w:t>merchant final settlement amount</w:t>
      </w:r>
    </w:p>
    <w:p>
      <w:pPr>
        <w:pStyle w:val="Heading3"/>
        <w:keepNext/>
      </w:pPr>
      <w:r>
        <w:rPr>
          <w:rFonts w:ascii="Aptos" w:hAnsi="Aptos" w:eastAsia="Aptos"/>
          <w:b w:val="0"/>
          <w:i w:val="0"/>
          <w:color w:val="0A1628"/>
          <w:sz w:val="20"/>
        </w:rPr>
        <w:t>Screen changes</w:t>
      </w:r>
    </w:p>
    <w:p>
      <w:r>
        <w:rPr>
          <w:rFonts w:ascii="Aptos" w:hAnsi="Aptos" w:eastAsia="Aptos"/>
          <w:b w:val="0"/>
          <w:i w:val="0"/>
          <w:color w:val="0A1628"/>
          <w:sz w:val="20"/>
        </w:rPr>
        <w:t>The Workforce Commission screen now includes:</w:t>
      </w:r>
    </w:p>
    <w:p>
      <w:pPr>
        <w:pStyle w:val="ListBullet"/>
        <w:ind w:left="0"/>
      </w:pPr>
      <w:r>
        <w:rPr>
          <w:rFonts w:ascii="Aptos" w:hAnsi="Aptos" w:eastAsia="Aptos"/>
          <w:b w:val="0"/>
          <w:i w:val="0"/>
          <w:color w:val="0A1628"/>
          <w:sz w:val="20"/>
        </w:rPr>
        <w:t>Referral Commission KPI</w:t>
      </w:r>
    </w:p>
    <w:p>
      <w:pPr>
        <w:pStyle w:val="ListBullet"/>
        <w:ind w:left="0"/>
      </w:pPr>
      <w:r>
        <w:rPr>
          <w:rFonts w:ascii="Aptos" w:hAnsi="Aptos" w:eastAsia="Aptos"/>
          <w:b w:val="0"/>
          <w:i w:val="0"/>
          <w:color w:val="0A1628"/>
          <w:sz w:val="20"/>
        </w:rPr>
        <w:t>Referral Ways KPI</w:t>
      </w:r>
    </w:p>
    <w:p>
      <w:pPr>
        <w:pStyle w:val="ListBullet"/>
        <w:ind w:left="0"/>
      </w:pPr>
      <w:r>
        <w:rPr>
          <w:rFonts w:ascii="Aptos" w:hAnsi="Aptos" w:eastAsia="Aptos"/>
          <w:b w:val="0"/>
          <w:i w:val="0"/>
          <w:color w:val="0A1628"/>
          <w:sz w:val="20"/>
        </w:rPr>
        <w:t>Eligible Referrers KPI</w:t>
      </w:r>
    </w:p>
    <w:p>
      <w:pPr>
        <w:pStyle w:val="ListBullet"/>
        <w:ind w:left="0"/>
      </w:pPr>
      <w:r>
        <w:rPr>
          <w:rFonts w:ascii="Aptos" w:hAnsi="Aptos" w:eastAsia="Aptos"/>
          <w:b w:val="0"/>
          <w:i w:val="0"/>
          <w:color w:val="0A1628"/>
          <w:sz w:val="20"/>
        </w:rPr>
        <w:t>Merchant Referral commission filter</w:t>
      </w:r>
    </w:p>
    <w:p>
      <w:pPr>
        <w:pStyle w:val="ListBullet"/>
        <w:ind w:left="0"/>
      </w:pPr>
      <w:r>
        <w:rPr>
          <w:rFonts w:ascii="Aptos" w:hAnsi="Aptos" w:eastAsia="Aptos"/>
          <w:b w:val="0"/>
          <w:i w:val="0"/>
          <w:color w:val="0A1628"/>
          <w:sz w:val="20"/>
        </w:rPr>
        <w:t>Merchant names in the earnings ledger</w:t>
      </w:r>
    </w:p>
    <w:p>
      <w:pPr>
        <w:pStyle w:val="ListBullet"/>
        <w:ind w:left="0"/>
      </w:pPr>
      <w:r>
        <w:rPr>
          <w:rFonts w:ascii="Aptos" w:hAnsi="Aptos" w:eastAsia="Aptos"/>
          <w:b w:val="0"/>
          <w:i w:val="0"/>
          <w:color w:val="0A1628"/>
          <w:sz w:val="20"/>
        </w:rPr>
        <w:t>CSV export</w:t>
      </w:r>
    </w:p>
    <w:p>
      <w:pPr>
        <w:pStyle w:val="ListBullet"/>
        <w:ind w:left="0"/>
      </w:pPr>
      <w:r>
        <w:rPr>
          <w:rFonts w:ascii="Aptos" w:hAnsi="Aptos" w:eastAsia="Aptos"/>
          <w:b w:val="0"/>
          <w:i w:val="0"/>
          <w:color w:val="0A1628"/>
          <w:sz w:val="20"/>
        </w:rPr>
        <w:t>Duplicate-row protection when API responses overlap</w:t>
      </w:r>
    </w:p>
    <w:p>
      <w:pPr>
        <w:pStyle w:val="Heading3"/>
        <w:keepNext/>
      </w:pPr>
      <w:r>
        <w:rPr>
          <w:rFonts w:ascii="Aptos" w:hAnsi="Aptos" w:eastAsia="Aptos"/>
          <w:b w:val="0"/>
          <w:i w:val="0"/>
          <w:color w:val="0A1628"/>
          <w:sz w:val="20"/>
        </w:rPr>
        <w:t>Recommended backend API additions</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GET  /api/finance/merchant-referrals</w:t>
              <w:br/>
              <w:t>POST /api/finance/merchant-referrals</w:t>
              <w:br/>
              <w:t>POST /api/finance/merchant-referrals/{assignmentId}/end</w:t>
              <w:br/>
              <w:t>GET  /api/finance/commissions/merchant-referral-details</w:t>
            </w:r>
          </w:p>
        </w:tc>
      </w:tr>
    </w:tbl>
    <w:p>
      <w:pPr>
        <w:spacing w:after="0"/>
      </w:pPr>
    </w:p>
    <w:p>
      <w:r>
        <w:rPr>
          <w:rFonts w:ascii="Aptos" w:hAnsi="Aptos" w:eastAsia="Aptos"/>
          <w:b w:val="0"/>
          <w:i w:val="0"/>
          <w:color w:val="0A1628"/>
          <w:sz w:val="20"/>
        </w:rPr>
        <w:t xml:space="preserve">The existing commission settlement snapshot can continue returning all operation types, including </w:t>
      </w:r>
      <w:r>
        <w:rPr>
          <w:rFonts w:ascii="Consolas" w:hAnsi="Consolas" w:eastAsia="Consolas"/>
          <w:b w:val="0"/>
          <w:i w:val="0"/>
          <w:color w:val="0A1628"/>
          <w:sz w:val="17"/>
          <w:shd w:fill="EEF2F6"/>
        </w:rPr>
        <w:t>MERCHANT_REFERRAL</w:t>
      </w:r>
      <w:r>
        <w:rPr>
          <w:rFonts w:ascii="Aptos" w:hAnsi="Aptos" w:eastAsia="Aptos"/>
          <w:b w:val="0"/>
          <w:i w:val="0"/>
          <w:color w:val="0A1628"/>
          <w:sz w:val="20"/>
        </w:rPr>
        <w:t>.</w:t>
      </w:r>
    </w:p>
    <w:p>
      <w:pPr>
        <w:pStyle w:val="Heading3"/>
        <w:keepNext/>
      </w:pPr>
      <w:r>
        <w:rPr>
          <w:rFonts w:ascii="Aptos" w:hAnsi="Aptos" w:eastAsia="Aptos"/>
          <w:b w:val="0"/>
          <w:i w:val="0"/>
          <w:color w:val="0A1628"/>
          <w:sz w:val="20"/>
        </w:rPr>
        <w:t>Acceptance tests</w:t>
      </w:r>
    </w:p>
    <w:p>
      <w:pPr>
        <w:pStyle w:val="Heading4"/>
        <w:keepNext/>
      </w:pPr>
      <w:r>
        <w:rPr>
          <w:rFonts w:ascii="Aptos" w:hAnsi="Aptos" w:eastAsia="Aptos"/>
          <w:b w:val="0"/>
          <w:i w:val="0"/>
          <w:color w:val="0A1628"/>
          <w:sz w:val="20"/>
        </w:rPr>
        <w:t>Active employee and active merchant assignment</w:t>
      </w:r>
    </w:p>
    <w:p>
      <w:pPr>
        <w:pStyle w:val="ListBullet"/>
        <w:ind w:left="0"/>
      </w:pPr>
      <w:r>
        <w:rPr>
          <w:rFonts w:ascii="Aptos" w:hAnsi="Aptos" w:eastAsia="Aptos"/>
          <w:b w:val="0"/>
          <w:i w:val="0"/>
          <w:color w:val="0A1628"/>
          <w:sz w:val="20"/>
        </w:rPr>
        <w:t>Merchant completed ways: 25</w:t>
      </w:r>
    </w:p>
    <w:p>
      <w:pPr>
        <w:pStyle w:val="ListBullet"/>
        <w:ind w:left="0"/>
      </w:pPr>
      <w:r>
        <w:rPr>
          <w:rFonts w:ascii="Aptos" w:hAnsi="Aptos" w:eastAsia="Aptos"/>
          <w:b w:val="0"/>
          <w:i w:val="0"/>
          <w:color w:val="0A1628"/>
          <w:sz w:val="20"/>
        </w:rPr>
        <w:t>Rate: 100 MMK</w:t>
      </w:r>
    </w:p>
    <w:p>
      <w:pPr>
        <w:pStyle w:val="ListBullet"/>
        <w:ind w:left="0"/>
      </w:pPr>
      <w:r>
        <w:rPr>
          <w:rFonts w:ascii="Aptos" w:hAnsi="Aptos" w:eastAsia="Aptos"/>
          <w:b w:val="0"/>
          <w:i w:val="0"/>
          <w:color w:val="0A1628"/>
          <w:sz w:val="20"/>
        </w:rPr>
        <w:t>Expected referral commission: 2,500 MMK</w:t>
      </w:r>
    </w:p>
    <w:p>
      <w:pPr>
        <w:pStyle w:val="Heading4"/>
        <w:keepNext/>
      </w:pPr>
      <w:r>
        <w:rPr>
          <w:rFonts w:ascii="Aptos" w:hAnsi="Aptos" w:eastAsia="Aptos"/>
          <w:b w:val="0"/>
          <w:i w:val="0"/>
          <w:color w:val="0A1628"/>
          <w:sz w:val="20"/>
        </w:rPr>
        <w:t>Employee left during the month</w:t>
      </w:r>
    </w:p>
    <w:p>
      <w:pPr>
        <w:pStyle w:val="ListBullet"/>
        <w:ind w:left="0"/>
      </w:pPr>
      <w:r>
        <w:rPr>
          <w:rFonts w:ascii="Aptos" w:hAnsi="Aptos" w:eastAsia="Aptos"/>
          <w:b w:val="0"/>
          <w:i w:val="0"/>
          <w:color w:val="0A1628"/>
          <w:sz w:val="20"/>
        </w:rPr>
        <w:t>Employment final eligible date: July 15</w:t>
      </w:r>
    </w:p>
    <w:p>
      <w:pPr>
        <w:pStyle w:val="ListBullet"/>
        <w:ind w:left="0"/>
      </w:pPr>
      <w:r>
        <w:rPr>
          <w:rFonts w:ascii="Aptos" w:hAnsi="Aptos" w:eastAsia="Aptos"/>
          <w:b w:val="0"/>
          <w:i w:val="0"/>
          <w:color w:val="0A1628"/>
          <w:sz w:val="20"/>
        </w:rPr>
        <w:t>Merchant ways completed July 1-15: 12</w:t>
      </w:r>
    </w:p>
    <w:p>
      <w:pPr>
        <w:pStyle w:val="ListBullet"/>
        <w:ind w:left="0"/>
      </w:pPr>
      <w:r>
        <w:rPr>
          <w:rFonts w:ascii="Aptos" w:hAnsi="Aptos" w:eastAsia="Aptos"/>
          <w:b w:val="0"/>
          <w:i w:val="0"/>
          <w:color w:val="0A1628"/>
          <w:sz w:val="20"/>
        </w:rPr>
        <w:t>Merchant ways completed July 16-31: 18</w:t>
      </w:r>
    </w:p>
    <w:p>
      <w:pPr>
        <w:pStyle w:val="ListBullet"/>
        <w:ind w:left="0"/>
      </w:pPr>
      <w:r>
        <w:rPr>
          <w:rFonts w:ascii="Aptos" w:hAnsi="Aptos" w:eastAsia="Aptos"/>
          <w:b w:val="0"/>
          <w:i w:val="0"/>
          <w:color w:val="0A1628"/>
          <w:sz w:val="20"/>
        </w:rPr>
        <w:t>Expected eligible ways: 12</w:t>
      </w:r>
    </w:p>
    <w:p>
      <w:pPr>
        <w:pStyle w:val="ListBullet"/>
        <w:ind w:left="0"/>
      </w:pPr>
      <w:r>
        <w:rPr>
          <w:rFonts w:ascii="Aptos" w:hAnsi="Aptos" w:eastAsia="Aptos"/>
          <w:b w:val="0"/>
          <w:i w:val="0"/>
          <w:color w:val="0A1628"/>
          <w:sz w:val="20"/>
        </w:rPr>
        <w:t>Expected commission: 1,200 MMK</w:t>
      </w:r>
    </w:p>
    <w:p>
      <w:pPr>
        <w:pStyle w:val="Heading4"/>
        <w:keepNext/>
      </w:pPr>
      <w:r>
        <w:rPr>
          <w:rFonts w:ascii="Aptos" w:hAnsi="Aptos" w:eastAsia="Aptos"/>
          <w:b w:val="0"/>
          <w:i w:val="0"/>
          <w:color w:val="0A1628"/>
          <w:sz w:val="20"/>
        </w:rPr>
        <w:t>Merchant stopped using the service</w:t>
      </w:r>
    </w:p>
    <w:p>
      <w:pPr>
        <w:pStyle w:val="ListBullet"/>
        <w:ind w:left="0"/>
      </w:pPr>
      <w:r>
        <w:rPr>
          <w:rFonts w:ascii="Aptos" w:hAnsi="Aptos" w:eastAsia="Aptos"/>
          <w:b w:val="0"/>
          <w:i w:val="0"/>
          <w:color w:val="0A1628"/>
          <w:sz w:val="20"/>
        </w:rPr>
        <w:t>Merchant has no completed delivery ways after July 10</w:t>
      </w:r>
    </w:p>
    <w:p>
      <w:pPr>
        <w:pStyle w:val="ListBullet"/>
        <w:ind w:left="0"/>
      </w:pPr>
      <w:r>
        <w:rPr>
          <w:rFonts w:ascii="Aptos" w:hAnsi="Aptos" w:eastAsia="Aptos"/>
          <w:b w:val="0"/>
          <w:i w:val="0"/>
          <w:color w:val="0A1628"/>
          <w:sz w:val="20"/>
        </w:rPr>
        <w:t>Expected commission after July 10: 0 MMK</w:t>
      </w:r>
    </w:p>
    <w:p>
      <w:pPr>
        <w:pStyle w:val="Heading4"/>
        <w:keepNext/>
      </w:pPr>
      <w:r>
        <w:rPr>
          <w:rFonts w:ascii="Aptos" w:hAnsi="Aptos" w:eastAsia="Aptos"/>
          <w:b w:val="0"/>
          <w:i w:val="0"/>
          <w:color w:val="0A1628"/>
          <w:sz w:val="20"/>
        </w:rPr>
        <w:t>No referral assignment</w:t>
      </w:r>
    </w:p>
    <w:p>
      <w:pPr>
        <w:pStyle w:val="ListBullet"/>
        <w:ind w:left="0"/>
      </w:pPr>
      <w:r>
        <w:rPr>
          <w:rFonts w:ascii="Aptos" w:hAnsi="Aptos" w:eastAsia="Aptos"/>
          <w:b w:val="0"/>
          <w:i w:val="0"/>
          <w:color w:val="0A1628"/>
          <w:sz w:val="20"/>
        </w:rPr>
        <w:t>Merchant completed 50 delivery ways</w:t>
      </w:r>
    </w:p>
    <w:p>
      <w:pPr>
        <w:pStyle w:val="ListBullet"/>
        <w:ind w:left="0"/>
      </w:pPr>
      <w:r>
        <w:rPr>
          <w:rFonts w:ascii="Aptos" w:hAnsi="Aptos" w:eastAsia="Aptos"/>
          <w:b w:val="0"/>
          <w:i w:val="0"/>
          <w:color w:val="0A1628"/>
          <w:sz w:val="20"/>
        </w:rPr>
        <w:t>No effective assignment exists</w:t>
      </w:r>
    </w:p>
    <w:p>
      <w:pPr>
        <w:pStyle w:val="ListBullet"/>
        <w:ind w:left="0"/>
      </w:pPr>
      <w:r>
        <w:rPr>
          <w:rFonts w:ascii="Aptos" w:hAnsi="Aptos" w:eastAsia="Aptos"/>
          <w:b w:val="0"/>
          <w:i w:val="0"/>
          <w:color w:val="0A1628"/>
          <w:sz w:val="20"/>
        </w:rPr>
        <w:t>Expected referral commission: 0 MMK</w:t>
      </w:r>
    </w:p>
    <w:p>
      <w:pPr>
        <w:pStyle w:val="Heading4"/>
        <w:keepNext/>
      </w:pPr>
      <w:r>
        <w:rPr>
          <w:rFonts w:ascii="Aptos" w:hAnsi="Aptos" w:eastAsia="Aptos"/>
          <w:b w:val="0"/>
          <w:i w:val="0"/>
          <w:color w:val="0A1628"/>
          <w:sz w:val="20"/>
        </w:rPr>
        <w:t>Cancelled or failed delivery</w:t>
      </w:r>
    </w:p>
    <w:p>
      <w:pPr>
        <w:pStyle w:val="ListBullet"/>
        <w:ind w:left="0"/>
      </w:pPr>
      <w:r>
        <w:rPr>
          <w:rFonts w:ascii="Aptos" w:hAnsi="Aptos" w:eastAsia="Aptos"/>
          <w:b w:val="0"/>
          <w:i w:val="0"/>
          <w:color w:val="0A1628"/>
          <w:sz w:val="20"/>
        </w:rPr>
        <w:t>Created ways: 20</w:t>
      </w:r>
    </w:p>
    <w:p>
      <w:pPr>
        <w:pStyle w:val="ListBullet"/>
        <w:ind w:left="0"/>
      </w:pPr>
      <w:r>
        <w:rPr>
          <w:rFonts w:ascii="Aptos" w:hAnsi="Aptos" w:eastAsia="Aptos"/>
          <w:b w:val="0"/>
          <w:i w:val="0"/>
          <w:color w:val="0A1628"/>
          <w:sz w:val="20"/>
        </w:rPr>
        <w:t>Successfully completed ways: 14</w:t>
      </w:r>
    </w:p>
    <w:p>
      <w:pPr>
        <w:pStyle w:val="ListBullet"/>
        <w:ind w:left="0"/>
      </w:pPr>
      <w:r>
        <w:rPr>
          <w:rFonts w:ascii="Aptos" w:hAnsi="Aptos" w:eastAsia="Aptos"/>
          <w:b w:val="0"/>
          <w:i w:val="0"/>
          <w:color w:val="0A1628"/>
          <w:sz w:val="20"/>
        </w:rPr>
        <w:t>Expected eligible ways: 14</w:t>
      </w:r>
    </w:p>
    <w:p>
      <w:pPr>
        <w:pStyle w:val="ListBullet"/>
        <w:ind w:left="0"/>
      </w:pPr>
      <w:r>
        <w:rPr>
          <w:rFonts w:ascii="Aptos" w:hAnsi="Aptos" w:eastAsia="Aptos"/>
          <w:b w:val="0"/>
          <w:i w:val="0"/>
          <w:color w:val="0A1628"/>
          <w:sz w:val="20"/>
        </w:rPr>
        <w:t>Expected commission: 1,400 MMK</w:t>
      </w:r>
    </w:p>
    <w:p>
      <w:pPr>
        <w:pStyle w:val="Heading4"/>
        <w:keepNext/>
      </w:pPr>
      <w:r>
        <w:rPr>
          <w:rFonts w:ascii="Aptos" w:hAnsi="Aptos" w:eastAsia="Aptos"/>
          <w:b w:val="0"/>
          <w:i w:val="0"/>
          <w:color w:val="0A1628"/>
          <w:sz w:val="20"/>
        </w:rPr>
        <w:t>Duplicate rebuild</w:t>
      </w:r>
    </w:p>
    <w:p>
      <w:pPr>
        <w:pStyle w:val="ListBullet"/>
        <w:ind w:left="0"/>
      </w:pPr>
      <w:r>
        <w:rPr>
          <w:rFonts w:ascii="Aptos" w:hAnsi="Aptos" w:eastAsia="Aptos"/>
          <w:b w:val="0"/>
          <w:i w:val="0"/>
          <w:color w:val="0A1628"/>
          <w:sz w:val="20"/>
        </w:rPr>
        <w:t>Run commission rebuild twice for the same date</w:t>
      </w:r>
    </w:p>
    <w:p>
      <w:pPr>
        <w:pStyle w:val="ListBullet"/>
        <w:ind w:left="0"/>
      </w:pPr>
      <w:r>
        <w:rPr>
          <w:rFonts w:ascii="Aptos" w:hAnsi="Aptos" w:eastAsia="Aptos"/>
          <w:b w:val="0"/>
          <w:i w:val="0"/>
          <w:color w:val="0A1628"/>
          <w:sz w:val="20"/>
        </w:rPr>
        <w:t>Expected: one referral event per way and referrer, with no duplicate commission</w:t>
      </w:r>
    </w:p>
    <w:p>
      <w:pPr>
        <w:pStyle w:val="Heading4"/>
        <w:keepNext/>
      </w:pPr>
      <w:r>
        <w:rPr>
          <w:rFonts w:ascii="Aptos" w:hAnsi="Aptos" w:eastAsia="Aptos"/>
          <w:b w:val="0"/>
          <w:i w:val="0"/>
          <w:color w:val="0A1628"/>
          <w:sz w:val="20"/>
        </w:rPr>
        <w:t>Historical rebuild after employee departure</w:t>
      </w:r>
    </w:p>
    <w:p>
      <w:pPr>
        <w:pStyle w:val="ListBullet"/>
        <w:ind w:left="0"/>
      </w:pPr>
      <w:r>
        <w:rPr>
          <w:rFonts w:ascii="Aptos" w:hAnsi="Aptos" w:eastAsia="Aptos"/>
          <w:b w:val="0"/>
          <w:i w:val="0"/>
          <w:color w:val="0A1628"/>
          <w:sz w:val="20"/>
        </w:rPr>
        <w:t>Delivery date falls inside the employee employment period</w:t>
      </w:r>
    </w:p>
    <w:p>
      <w:pPr>
        <w:pStyle w:val="ListBullet"/>
        <w:ind w:left="0"/>
      </w:pPr>
      <w:r>
        <w:rPr>
          <w:rFonts w:ascii="Aptos" w:hAnsi="Aptos" w:eastAsia="Aptos"/>
          <w:b w:val="0"/>
          <w:i w:val="0"/>
          <w:color w:val="0A1628"/>
          <w:sz w:val="20"/>
        </w:rPr>
        <w:t>Rebuild occurs after the employee has left</w:t>
      </w:r>
    </w:p>
    <w:p>
      <w:pPr>
        <w:pStyle w:val="ListBullet"/>
        <w:ind w:left="0"/>
      </w:pPr>
      <w:r>
        <w:rPr>
          <w:rFonts w:ascii="Aptos" w:hAnsi="Aptos" w:eastAsia="Aptos"/>
          <w:b w:val="0"/>
          <w:i w:val="0"/>
          <w:color w:val="0A1628"/>
          <w:sz w:val="20"/>
        </w:rPr>
        <w:t>Expected: the historical commission remains eligible because eligibility is checked against the delivery date, not the current date</w:t>
      </w:r>
    </w:p>
    <w:p>
      <w:pPr>
        <w:pStyle w:val="Heading2"/>
        <w:keepNext/>
      </w:pPr>
      <w:r>
        <w:rPr>
          <w:rFonts w:ascii="Aptos" w:hAnsi="Aptos" w:eastAsia="Aptos"/>
          <w:b w:val="0"/>
          <w:i w:val="0"/>
          <w:color w:val="0A1628"/>
          <w:sz w:val="20"/>
        </w:rPr>
        <w:t>8. Network Fulfillment, Third-Party Outsourcing, Branch Monitoring, and Settlement</w:t>
      </w:r>
    </w:p>
    <w:p>
      <w:pPr>
        <w:pStyle w:val="Heading3"/>
        <w:keepNext/>
      </w:pPr>
      <w:r>
        <w:rPr>
          <w:rFonts w:ascii="Aptos" w:hAnsi="Aptos" w:eastAsia="Aptos"/>
          <w:b w:val="0"/>
          <w:i w:val="0"/>
          <w:color w:val="0A1628"/>
          <w:sz w:val="20"/>
        </w:rPr>
        <w:t>8.1 Scope and operating model</w:t>
      </w:r>
    </w:p>
    <w:p>
      <w:r>
        <w:rPr>
          <w:rFonts w:ascii="Aptos" w:hAnsi="Aptos" w:eastAsia="Aptos"/>
          <w:b w:val="0"/>
          <w:i w:val="0"/>
          <w:color w:val="0A1628"/>
          <w:sz w:val="20"/>
        </w:rPr>
        <w:t>Britium must support parcels that are fulfilled through one of four execution models:</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BRITIUM_DIRECT</w:t>
              <w:br/>
              <w:t>BRANCH_DIRECT</w:t>
              <w:br/>
              <w:t>THIRD_PARTY_OUTSOURCED</w:t>
              <w:br/>
              <w:t>BRANCH_THIRD_PARTY</w:t>
            </w:r>
          </w:p>
        </w:tc>
      </w:tr>
    </w:tbl>
    <w:p>
      <w:pPr>
        <w:spacing w:after="0"/>
      </w:pPr>
    </w:p>
    <w:p>
      <w:r>
        <w:rPr>
          <w:rFonts w:ascii="Aptos" w:hAnsi="Aptos" w:eastAsia="Aptos"/>
          <w:b w:val="0"/>
          <w:i w:val="0"/>
          <w:color w:val="0A1628"/>
          <w:sz w:val="20"/>
        </w:rPr>
        <w:t>Current operating relationships supplied for configuration are:</w:t>
      </w:r>
    </w:p>
    <w:p>
      <w:pPr>
        <w:pStyle w:val="ListBullet"/>
        <w:ind w:left="0"/>
      </w:pPr>
      <w:r>
        <w:rPr>
          <w:rFonts w:ascii="Consolas" w:hAnsi="Consolas" w:eastAsia="Consolas"/>
          <w:b w:val="0"/>
          <w:i w:val="0"/>
          <w:color w:val="0A1628"/>
          <w:sz w:val="17"/>
          <w:shd w:fill="EEF2F6"/>
        </w:rPr>
        <w:t>ROYAL_EXPRESS</w:t>
      </w:r>
      <w:r>
        <w:rPr>
          <w:rFonts w:ascii="Aptos" w:hAnsi="Aptos" w:eastAsia="Aptos"/>
          <w:b w:val="0"/>
          <w:i w:val="0"/>
          <w:color w:val="0A1628"/>
          <w:sz w:val="20"/>
        </w:rPr>
        <w:t xml:space="preserve"> - Royal Express.</w:t>
      </w:r>
    </w:p>
    <w:p>
      <w:pPr>
        <w:pStyle w:val="ListBullet"/>
        <w:ind w:left="0"/>
      </w:pPr>
      <w:r>
        <w:rPr>
          <w:rFonts w:ascii="Consolas" w:hAnsi="Consolas" w:eastAsia="Consolas"/>
          <w:b w:val="0"/>
          <w:i w:val="0"/>
          <w:color w:val="0A1628"/>
          <w:sz w:val="17"/>
          <w:shd w:fill="EEF2F6"/>
        </w:rPr>
        <w:t>DK_DELIVERY</w:t>
      </w:r>
      <w:r>
        <w:rPr>
          <w:rFonts w:ascii="Aptos" w:hAnsi="Aptos" w:eastAsia="Aptos"/>
          <w:b w:val="0"/>
          <w:i w:val="0"/>
          <w:color w:val="0A1628"/>
          <w:sz w:val="20"/>
        </w:rPr>
        <w:t xml:space="preserve"> - DK Delivery.</w:t>
      </w:r>
    </w:p>
    <w:p>
      <w:pPr>
        <w:pStyle w:val="ListBullet"/>
        <w:ind w:left="0"/>
      </w:pPr>
      <w:r>
        <w:rPr>
          <w:rFonts w:ascii="Consolas" w:hAnsi="Consolas" w:eastAsia="Consolas"/>
          <w:b w:val="0"/>
          <w:i w:val="0"/>
          <w:color w:val="0A1628"/>
          <w:sz w:val="17"/>
          <w:shd w:fill="EEF2F6"/>
        </w:rPr>
        <w:t>ARLU_POST</w:t>
      </w:r>
      <w:r>
        <w:rPr>
          <w:rFonts w:ascii="Aptos" w:hAnsi="Aptos" w:eastAsia="Aptos"/>
          <w:b w:val="0"/>
          <w:i w:val="0"/>
          <w:color w:val="0A1628"/>
          <w:sz w:val="20"/>
        </w:rPr>
        <w:t xml:space="preserve"> - Arlu Post.</w:t>
      </w:r>
    </w:p>
    <w:p>
      <w:pPr>
        <w:pStyle w:val="ListBullet"/>
        <w:ind w:left="0"/>
      </w:pPr>
      <w:r>
        <w:rPr>
          <w:rFonts w:ascii="Consolas" w:hAnsi="Consolas" w:eastAsia="Consolas"/>
          <w:b w:val="0"/>
          <w:i w:val="0"/>
          <w:color w:val="0A1628"/>
          <w:sz w:val="17"/>
          <w:shd w:fill="EEF2F6"/>
        </w:rPr>
        <w:t>NINJA_VAN</w:t>
      </w:r>
      <w:r>
        <w:rPr>
          <w:rFonts w:ascii="Aptos" w:hAnsi="Aptos" w:eastAsia="Aptos"/>
          <w:b w:val="0"/>
          <w:i w:val="0"/>
          <w:color w:val="0A1628"/>
          <w:sz w:val="20"/>
        </w:rPr>
        <w:t xml:space="preserve"> - Ninja Van.</w:t>
      </w:r>
    </w:p>
    <w:p>
      <w:pPr>
        <w:pStyle w:val="ListBullet"/>
        <w:ind w:left="0"/>
      </w:pPr>
      <w:r>
        <w:rPr>
          <w:rFonts w:ascii="Consolas" w:hAnsi="Consolas" w:eastAsia="Consolas"/>
          <w:b w:val="0"/>
          <w:i w:val="0"/>
          <w:color w:val="0A1628"/>
          <w:sz w:val="17"/>
          <w:shd w:fill="EEF2F6"/>
        </w:rPr>
        <w:t>SAFE_DELIVERY</w:t>
      </w:r>
      <w:r>
        <w:rPr>
          <w:rFonts w:ascii="Aptos" w:hAnsi="Aptos" w:eastAsia="Aptos"/>
          <w:b w:val="0"/>
          <w:i w:val="0"/>
          <w:color w:val="0A1628"/>
          <w:sz w:val="20"/>
        </w:rPr>
        <w:t xml:space="preserve"> - Safe Delivery Services.</w:t>
      </w:r>
    </w:p>
    <w:p>
      <w:pPr>
        <w:pStyle w:val="ListBullet"/>
        <w:ind w:left="0"/>
      </w:pPr>
      <w:r>
        <w:rPr>
          <w:rFonts w:ascii="Consolas" w:hAnsi="Consolas" w:eastAsia="Consolas"/>
          <w:b w:val="0"/>
          <w:i w:val="0"/>
          <w:color w:val="0A1628"/>
          <w:sz w:val="17"/>
          <w:shd w:fill="EEF2F6"/>
        </w:rPr>
        <w:t>BRITIUM_NPT_BRANCH</w:t>
      </w:r>
      <w:r>
        <w:rPr>
          <w:rFonts w:ascii="Aptos" w:hAnsi="Aptos" w:eastAsia="Aptos"/>
          <w:b w:val="0"/>
          <w:i w:val="0"/>
          <w:color w:val="0A1628"/>
          <w:sz w:val="20"/>
        </w:rPr>
        <w:t xml:space="preserve"> - Britium Nay Pyi Taw branch.</w:t>
      </w:r>
    </w:p>
    <w:p>
      <w:pPr>
        <w:pStyle w:val="ListBullet"/>
        <w:ind w:left="0"/>
      </w:pPr>
      <w:r>
        <w:rPr>
          <w:rFonts w:ascii="Consolas" w:hAnsi="Consolas" w:eastAsia="Consolas"/>
          <w:b w:val="0"/>
          <w:i w:val="0"/>
          <w:color w:val="0A1628"/>
          <w:sz w:val="17"/>
          <w:shd w:fill="EEF2F6"/>
        </w:rPr>
        <w:t>BRITIUM_MDY_BRANCH</w:t>
      </w:r>
      <w:r>
        <w:rPr>
          <w:rFonts w:ascii="Aptos" w:hAnsi="Aptos" w:eastAsia="Aptos"/>
          <w:b w:val="0"/>
          <w:i w:val="0"/>
          <w:color w:val="0A1628"/>
          <w:sz w:val="20"/>
        </w:rPr>
        <w:t xml:space="preserve"> - Britium Mandalay branch or managing office, even when physical delivery is executed by DK Delivery.</w:t>
      </w:r>
    </w:p>
    <w:p>
      <w:r>
        <w:rPr>
          <w:rFonts w:ascii="Aptos" w:hAnsi="Aptos" w:eastAsia="Aptos"/>
          <w:b w:val="0"/>
          <w:i w:val="0"/>
          <w:color w:val="0A1628"/>
          <w:sz w:val="20"/>
        </w:rPr>
        <w:t>Current routing policy supplied by the business is:</w:t>
      </w:r>
    </w:p>
    <w:p>
      <w:pPr>
        <w:pStyle w:val="ListBullet"/>
        <w:ind w:left="0"/>
      </w:pPr>
      <w:r>
        <w:rPr>
          <w:rFonts w:ascii="Aptos" w:hAnsi="Aptos" w:eastAsia="Aptos"/>
          <w:b w:val="0"/>
          <w:i w:val="0"/>
          <w:color w:val="0A1628"/>
          <w:sz w:val="20"/>
        </w:rPr>
        <w:t>Mandalay parcels are normally executed by DK Delivery.</w:t>
      </w:r>
    </w:p>
    <w:p>
      <w:pPr>
        <w:pStyle w:val="ListBullet"/>
        <w:ind w:left="0"/>
      </w:pPr>
      <w:r>
        <w:rPr>
          <w:rFonts w:ascii="Aptos" w:hAnsi="Aptos" w:eastAsia="Aptos"/>
          <w:b w:val="0"/>
          <w:i w:val="0"/>
          <w:color w:val="0A1628"/>
          <w:sz w:val="20"/>
        </w:rPr>
        <w:t>Nay Pyi Taw parcels are managed by the Nay Pyi Taw branch.</w:t>
      </w:r>
    </w:p>
    <w:p>
      <w:pPr>
        <w:pStyle w:val="ListBullet"/>
        <w:ind w:left="0"/>
      </w:pPr>
      <w:r>
        <w:rPr>
          <w:rFonts w:ascii="Aptos" w:hAnsi="Aptos" w:eastAsia="Aptos"/>
          <w:b w:val="0"/>
          <w:i w:val="0"/>
          <w:color w:val="0A1628"/>
          <w:sz w:val="20"/>
        </w:rPr>
        <w:t>Destinations outside Britium's direct reach are mostly assigned to Royal Express.</w:t>
      </w:r>
    </w:p>
    <w:p>
      <w:pPr>
        <w:pStyle w:val="ListBullet"/>
        <w:ind w:left="0"/>
      </w:pPr>
      <w:r>
        <w:rPr>
          <w:rFonts w:ascii="Aptos" w:hAnsi="Aptos" w:eastAsia="Aptos"/>
          <w:b w:val="0"/>
          <w:i w:val="0"/>
          <w:color w:val="0A1628"/>
          <w:sz w:val="20"/>
        </w:rPr>
        <w:t>Arlu Post, Ninja Van, and Safe Delivery Services may be selected as alternatives.</w:t>
      </w:r>
    </w:p>
    <w:p>
      <w:r>
        <w:rPr>
          <w:rFonts w:ascii="Aptos" w:hAnsi="Aptos" w:eastAsia="Aptos"/>
          <w:b w:val="0"/>
          <w:i w:val="0"/>
          <w:color w:val="0A1628"/>
          <w:sz w:val="20"/>
        </w:rPr>
        <w:t>These relationships must be effective-dated configuration, not hardcoded React or SQL conditions. Finance and Operations must be able to change the preferred provider, fallback priority, active dates, service level, and settlement owner without a code deployment.</w:t>
      </w:r>
    </w:p>
    <w:p>
      <w:pPr>
        <w:pStyle w:val="Heading3"/>
        <w:keepNext/>
      </w:pPr>
      <w:r>
        <w:rPr>
          <w:rFonts w:ascii="Aptos" w:hAnsi="Aptos" w:eastAsia="Aptos"/>
          <w:b w:val="0"/>
          <w:i w:val="0"/>
          <w:color w:val="0A1628"/>
          <w:sz w:val="20"/>
        </w:rPr>
        <w:t>8.2 Mandatory financial separation</w:t>
      </w:r>
    </w:p>
    <w:p>
      <w:r>
        <w:rPr>
          <w:rFonts w:ascii="Aptos" w:hAnsi="Aptos" w:eastAsia="Aptos"/>
          <w:b w:val="0"/>
          <w:i w:val="0"/>
          <w:color w:val="0A1628"/>
          <w:sz w:val="20"/>
        </w:rPr>
        <w:t>The system must maintain five separate concepts:</w:t>
      </w:r>
    </w:p>
    <w:p>
      <w:pPr>
        <w:pStyle w:val="ListNumber"/>
        <w:ind w:left="0"/>
      </w:pPr>
      <w:r>
        <w:rPr>
          <w:rFonts w:ascii="Aptos" w:hAnsi="Aptos" w:eastAsia="Aptos"/>
          <w:b w:val="0"/>
          <w:i w:val="0"/>
          <w:color w:val="0A1628"/>
          <w:sz w:val="20"/>
        </w:rPr>
      </w:r>
      <w:r>
        <w:rPr>
          <w:rFonts w:ascii="Aptos" w:hAnsi="Aptos" w:eastAsia="Aptos"/>
          <w:b/>
          <w:i w:val="0"/>
          <w:color w:val="0A1628"/>
          <w:sz w:val="20"/>
        </w:rPr>
        <w:t>Customer-facing delivery amount</w:t>
      </w:r>
      <w:r>
        <w:rPr>
          <w:rFonts w:ascii="Aptos" w:hAnsi="Aptos" w:eastAsia="Aptos"/>
          <w:b w:val="0"/>
          <w:i w:val="0"/>
          <w:color w:val="0A1628"/>
          <w:sz w:val="20"/>
        </w:rPr>
        <w:t xml:space="preserve"> - the amount authorized by the merchant and collected from the receiver.</w:t>
      </w:r>
    </w:p>
    <w:p>
      <w:pPr>
        <w:pStyle w:val="ListNumber"/>
        <w:ind w:left="0"/>
      </w:pPr>
      <w:r>
        <w:rPr>
          <w:rFonts w:ascii="Aptos" w:hAnsi="Aptos" w:eastAsia="Aptos"/>
          <w:b w:val="0"/>
          <w:i w:val="0"/>
          <w:color w:val="0A1628"/>
          <w:sz w:val="20"/>
        </w:rPr>
      </w:r>
      <w:r>
        <w:rPr>
          <w:rFonts w:ascii="Aptos" w:hAnsi="Aptos" w:eastAsia="Aptos"/>
          <w:b/>
          <w:i w:val="0"/>
          <w:color w:val="0A1628"/>
          <w:sz w:val="20"/>
        </w:rPr>
        <w:t>Britium system delivery charge</w:t>
      </w:r>
      <w:r>
        <w:rPr>
          <w:rFonts w:ascii="Aptos" w:hAnsi="Aptos" w:eastAsia="Aptos"/>
          <w:b w:val="0"/>
          <w:i w:val="0"/>
          <w:color w:val="0A1628"/>
          <w:sz w:val="20"/>
        </w:rPr>
        <w:t xml:space="preserve"> - Britium's tariff-based delivery revenue used in merchant settlement.</w:t>
      </w:r>
    </w:p>
    <w:p>
      <w:pPr>
        <w:pStyle w:val="ListNumber"/>
        <w:ind w:left="0"/>
      </w:pPr>
      <w:r>
        <w:rPr>
          <w:rFonts w:ascii="Aptos" w:hAnsi="Aptos" w:eastAsia="Aptos"/>
          <w:b w:val="0"/>
          <w:i w:val="0"/>
          <w:color w:val="0A1628"/>
          <w:sz w:val="20"/>
        </w:rPr>
      </w:r>
      <w:r>
        <w:rPr>
          <w:rFonts w:ascii="Aptos" w:hAnsi="Aptos" w:eastAsia="Aptos"/>
          <w:b/>
          <w:i w:val="0"/>
          <w:color w:val="0A1628"/>
          <w:sz w:val="20"/>
        </w:rPr>
        <w:t>Merchant settlement</w:t>
      </w:r>
      <w:r>
        <w:rPr>
          <w:rFonts w:ascii="Aptos" w:hAnsi="Aptos" w:eastAsia="Aptos"/>
          <w:b w:val="0"/>
          <w:i w:val="0"/>
          <w:color w:val="0A1628"/>
          <w:sz w:val="20"/>
        </w:rPr>
        <w:t xml:space="preserve"> - item value plus merchant delivery credit or deduction under the Financial V2 rules.</w:t>
      </w:r>
    </w:p>
    <w:p>
      <w:pPr>
        <w:pStyle w:val="ListNumber"/>
        <w:ind w:left="0"/>
      </w:pPr>
      <w:r>
        <w:rPr>
          <w:rFonts w:ascii="Aptos" w:hAnsi="Aptos" w:eastAsia="Aptos"/>
          <w:b w:val="0"/>
          <w:i w:val="0"/>
          <w:color w:val="0A1628"/>
          <w:sz w:val="20"/>
        </w:rPr>
      </w:r>
      <w:r>
        <w:rPr>
          <w:rFonts w:ascii="Aptos" w:hAnsi="Aptos" w:eastAsia="Aptos"/>
          <w:b/>
          <w:i w:val="0"/>
          <w:color w:val="0A1628"/>
          <w:sz w:val="20"/>
        </w:rPr>
        <w:t>Execution provider cost</w:t>
      </w:r>
      <w:r>
        <w:rPr>
          <w:rFonts w:ascii="Aptos" w:hAnsi="Aptos" w:eastAsia="Aptos"/>
          <w:b w:val="0"/>
          <w:i w:val="0"/>
          <w:color w:val="0A1628"/>
          <w:sz w:val="20"/>
        </w:rPr>
        <w:t xml:space="preserve"> - the amount payable to an outsourced provider or allocated to a branch.</w:t>
      </w:r>
    </w:p>
    <w:p>
      <w:pPr>
        <w:pStyle w:val="ListNumber"/>
        <w:ind w:left="0"/>
      </w:pPr>
      <w:r>
        <w:rPr>
          <w:rFonts w:ascii="Aptos" w:hAnsi="Aptos" w:eastAsia="Aptos"/>
          <w:b w:val="0"/>
          <w:i w:val="0"/>
          <w:color w:val="0A1628"/>
          <w:sz w:val="20"/>
        </w:rPr>
      </w:r>
      <w:r>
        <w:rPr>
          <w:rFonts w:ascii="Aptos" w:hAnsi="Aptos" w:eastAsia="Aptos"/>
          <w:b/>
          <w:i w:val="0"/>
          <w:color w:val="0A1628"/>
          <w:sz w:val="20"/>
        </w:rPr>
        <w:t>COD custody position</w:t>
      </w:r>
      <w:r>
        <w:rPr>
          <w:rFonts w:ascii="Aptos" w:hAnsi="Aptos" w:eastAsia="Aptos"/>
          <w:b w:val="0"/>
          <w:i w:val="0"/>
          <w:color w:val="0A1628"/>
          <w:sz w:val="20"/>
        </w:rPr>
        <w:t xml:space="preserve"> - cash or cashless funds collected by a branch or partner and still due to Britium.</w:t>
      </w:r>
    </w:p>
    <w:p>
      <w:r>
        <w:rPr>
          <w:rFonts w:ascii="Aptos" w:hAnsi="Aptos" w:eastAsia="Aptos"/>
          <w:b w:val="0"/>
          <w:i w:val="0"/>
          <w:color w:val="0A1628"/>
          <w:sz w:val="20"/>
        </w:rPr>
        <w:t xml:space="preserve">A third-party cost must never replace </w:t>
      </w:r>
      <w:r>
        <w:rPr>
          <w:rFonts w:ascii="Consolas" w:hAnsi="Consolas" w:eastAsia="Consolas"/>
          <w:b w:val="0"/>
          <w:i w:val="0"/>
          <w:color w:val="0A1628"/>
          <w:sz w:val="17"/>
          <w:shd w:fill="EEF2F6"/>
        </w:rPr>
        <w:t>net_system_delivery_charge</w:t>
      </w:r>
      <w:r>
        <w:rPr>
          <w:rFonts w:ascii="Aptos" w:hAnsi="Aptos" w:eastAsia="Aptos"/>
          <w:b w:val="0"/>
          <w:i w:val="0"/>
          <w:color w:val="0A1628"/>
          <w:sz w:val="20"/>
        </w:rPr>
        <w:t xml:space="preserve"> and must never alter the merchant delivery difference calculation.</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merchant_delivery_difference</w:t>
              <w:br/>
              <w:t xml:space="preserve">  = effective_declared_delivery_charge</w:t>
              <w:br/>
              <w:t xml:space="preserve">  - net_system_delivery_charge</w:t>
            </w:r>
          </w:p>
        </w:tc>
      </w:tr>
    </w:tbl>
    <w:p>
      <w:pPr>
        <w:spacing w:after="0"/>
      </w:pPr>
    </w:p>
    <w:p>
      <w:r>
        <w:rPr>
          <w:rFonts w:ascii="Aptos" w:hAnsi="Aptos" w:eastAsia="Aptos"/>
          <w:b w:val="0"/>
          <w:i w:val="0"/>
          <w:color w:val="0A1628"/>
          <w:sz w:val="20"/>
        </w:rPr>
        <w:t>The outsourced provider cost is a company expense calculated separately:</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outsourced_delivery_margin</w:t>
              <w:br/>
              <w:t xml:space="preserve">  = net_system_delivery_charge</w:t>
              <w:br/>
              <w:t xml:space="preserve">  + company_owned_additional_charges</w:t>
              <w:br/>
              <w:t xml:space="preserve">  - approved_partner_service_payable</w:t>
              <w:br/>
              <w:t xml:space="preserve">  - other_outsourced_fulfillment_costs</w:t>
            </w:r>
          </w:p>
        </w:tc>
      </w:tr>
    </w:tbl>
    <w:p>
      <w:pPr>
        <w:spacing w:after="0"/>
      </w:pPr>
    </w:p>
    <w:p>
      <w:r>
        <w:rPr>
          <w:rFonts w:ascii="Aptos" w:hAnsi="Aptos" w:eastAsia="Aptos"/>
          <w:b w:val="0"/>
          <w:i w:val="0"/>
          <w:color w:val="0A1628"/>
          <w:sz w:val="20"/>
        </w:rPr>
        <w:t>A negative outsourced margin is valid and must be reported. It must not be silently transferred to the receiver or merchant unless a separately approved commercial rule explicitly authorizes that charge.</w:t>
      </w:r>
    </w:p>
    <w:p>
      <w:pPr>
        <w:pStyle w:val="Heading3"/>
        <w:keepNext/>
      </w:pPr>
      <w:r>
        <w:rPr>
          <w:rFonts w:ascii="Aptos" w:hAnsi="Aptos" w:eastAsia="Aptos"/>
          <w:b w:val="0"/>
          <w:i w:val="0"/>
          <w:color w:val="0A1628"/>
          <w:sz w:val="20"/>
        </w:rPr>
        <w:t>8.3 Coverage master and routing ownership</w:t>
      </w:r>
    </w:p>
    <w:p>
      <w:r>
        <w:rPr>
          <w:rFonts w:ascii="Aptos" w:hAnsi="Aptos" w:eastAsia="Aptos"/>
          <w:b w:val="0"/>
          <w:i w:val="0"/>
          <w:color w:val="0A1628"/>
          <w:sz w:val="20"/>
        </w:rPr>
        <w:t>The attached township/tariff list must seed a coverage master, but the existence of a tariff row must not automatically mean that Britium's own riders directly serve that location.</w:t>
      </w:r>
    </w:p>
    <w:p>
      <w:r>
        <w:rPr>
          <w:rFonts w:ascii="Aptos" w:hAnsi="Aptos" w:eastAsia="Aptos"/>
          <w:b w:val="0"/>
          <w:i w:val="0"/>
          <w:color w:val="0A1628"/>
          <w:sz w:val="20"/>
        </w:rPr>
        <w:t>Create:</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create table public.be_service_coverage_master (</w:t>
              <w:br/>
              <w:t xml:space="preserve">  coverage_id uuid primary key default gen_random_uuid(),</w:t>
              <w:br/>
              <w:t xml:space="preserve">  township_code text,</w:t>
              <w:br/>
              <w:t xml:space="preserve">  township_name text not null,</w:t>
              <w:br/>
              <w:t xml:space="preserve">  zone_code text not null,</w:t>
              <w:br/>
              <w:t xml:space="preserve">  customer_tariff_available boolean not null default false,</w:t>
              <w:br/>
              <w:t xml:space="preserve">  britium_direct_reachable boolean not null default false,</w:t>
              <w:br/>
              <w:t xml:space="preserve">  managing_branch_code text,</w:t>
              <w:br/>
              <w:t xml:space="preserve">  default_fulfillment_mode text not null,</w:t>
              <w:br/>
              <w:t xml:space="preserve">  default_provider_id uuid,</w:t>
              <w:br/>
              <w:t xml:space="preserve">  effective_from date not null,</w:t>
              <w:br/>
              <w:t xml:space="preserve">  effective_to date,</w:t>
              <w:br/>
              <w:t xml:space="preserve">  status text not null default 'ACTIVE',</w:t>
              <w:br/>
              <w:t xml:space="preserve">  source_version text not null,</w:t>
              <w:br/>
              <w:t xml:space="preserve">  created_at timestamptz not null default now(),</w:t>
              <w:br/>
              <w:t xml:space="preserve">  updated_at timestamptz not null default now()</w:t>
              <w:br/>
              <w:t>);</w:t>
            </w:r>
          </w:p>
        </w:tc>
      </w:tr>
    </w:tbl>
    <w:p>
      <w:pPr>
        <w:spacing w:after="0"/>
      </w:pPr>
    </w:p>
    <w:p>
      <w:r>
        <w:rPr>
          <w:rFonts w:ascii="Aptos" w:hAnsi="Aptos" w:eastAsia="Aptos"/>
          <w:b w:val="0"/>
          <w:i w:val="0"/>
          <w:color w:val="0A1628"/>
          <w:sz w:val="20"/>
        </w:rPr>
        <w:t xml:space="preserve">Allowed </w:t>
      </w:r>
      <w:r>
        <w:rPr>
          <w:rFonts w:ascii="Consolas" w:hAnsi="Consolas" w:eastAsia="Consolas"/>
          <w:b w:val="0"/>
          <w:i w:val="0"/>
          <w:color w:val="0A1628"/>
          <w:sz w:val="17"/>
          <w:shd w:fill="EEF2F6"/>
        </w:rPr>
        <w:t>default_fulfillment_mode</w:t>
      </w:r>
      <w:r>
        <w:rPr>
          <w:rFonts w:ascii="Aptos" w:hAnsi="Aptos" w:eastAsia="Aptos"/>
          <w:b w:val="0"/>
          <w:i w:val="0"/>
          <w:color w:val="0A1628"/>
          <w:sz w:val="20"/>
        </w:rPr>
        <w:t xml:space="preserve"> values:</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BRITIUM_DIRECT</w:t>
              <w:br/>
              <w:t>BRANCH_DIRECT</w:t>
              <w:br/>
              <w:t>THIRD_PARTY_OUTSOURCED</w:t>
              <w:br/>
              <w:t>BRANCH_THIRD_PARTY</w:t>
              <w:br/>
              <w:t>MANUAL_ROUTING_REQUIRED</w:t>
            </w:r>
          </w:p>
        </w:tc>
      </w:tr>
    </w:tbl>
    <w:p>
      <w:pPr>
        <w:spacing w:after="0"/>
      </w:pPr>
    </w:p>
    <w:p>
      <w:r>
        <w:rPr>
          <w:rFonts w:ascii="Aptos" w:hAnsi="Aptos" w:eastAsia="Aptos"/>
          <w:b w:val="0"/>
          <w:i w:val="0"/>
          <w:color w:val="0A1628"/>
          <w:sz w:val="20"/>
        </w:rPr>
        <w:t>Create partner-specific coverage:</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create table public.be_provider_coverage_rules (</w:t>
              <w:br/>
              <w:t xml:space="preserve">  rule_id uuid primary key default gen_random_uuid(),</w:t>
              <w:br/>
              <w:t xml:space="preserve">  provider_id uuid not null,</w:t>
              <w:br/>
              <w:t xml:space="preserve">  township_code text,</w:t>
              <w:br/>
              <w:t xml:space="preserve">  township_name text not null,</w:t>
              <w:br/>
              <w:t xml:space="preserve">  service_code text not null,</w:t>
              <w:br/>
              <w:t xml:space="preserve">  priority integer not null,</w:t>
              <w:br/>
              <w:t xml:space="preserve">  cutoff_time time,</w:t>
              <w:br/>
              <w:t xml:space="preserve">  expected_delivery_days integer,</w:t>
              <w:br/>
              <w:t xml:space="preserve">  max_weight_kg numeric,</w:t>
              <w:br/>
              <w:t xml:space="preserve">  max_cbm numeric,</w:t>
              <w:br/>
              <w:t xml:space="preserve">  cod_supported boolean not null default true,</w:t>
              <w:br/>
              <w:t xml:space="preserve">  return_supported boolean not null default true,</w:t>
              <w:br/>
              <w:t xml:space="preserve">  effective_from date not null,</w:t>
              <w:br/>
              <w:t xml:space="preserve">  effective_to date,</w:t>
              <w:br/>
              <w:t xml:space="preserve">  status text not null default 'ACTIVE'</w:t>
              <w:br/>
              <w:t>);</w:t>
            </w:r>
          </w:p>
        </w:tc>
      </w:tr>
    </w:tbl>
    <w:p>
      <w:pPr>
        <w:spacing w:after="0"/>
      </w:pPr>
    </w:p>
    <w:p>
      <w:r>
        <w:rPr>
          <w:rFonts w:ascii="Aptos" w:hAnsi="Aptos" w:eastAsia="Aptos"/>
          <w:b w:val="0"/>
          <w:i w:val="0"/>
          <w:color w:val="0A1628"/>
          <w:sz w:val="20"/>
        </w:rPr>
        <w:t>Routing must evaluate:</w:t>
      </w:r>
    </w:p>
    <w:p>
      <w:pPr>
        <w:pStyle w:val="ListNumber"/>
        <w:ind w:left="0"/>
      </w:pPr>
      <w:r>
        <w:rPr>
          <w:rFonts w:ascii="Aptos" w:hAnsi="Aptos" w:eastAsia="Aptos"/>
          <w:b w:val="0"/>
          <w:i w:val="0"/>
          <w:color w:val="0A1628"/>
          <w:sz w:val="20"/>
        </w:rPr>
        <w:t>Destination and serviceability.</w:t>
      </w:r>
    </w:p>
    <w:p>
      <w:pPr>
        <w:pStyle w:val="ListNumber"/>
        <w:ind w:left="0"/>
      </w:pPr>
      <w:r>
        <w:rPr>
          <w:rFonts w:ascii="Aptos" w:hAnsi="Aptos" w:eastAsia="Aptos"/>
          <w:b w:val="0"/>
          <w:i w:val="0"/>
          <w:color w:val="0A1628"/>
          <w:sz w:val="20"/>
        </w:rPr>
        <w:t>Britium direct capacity.</w:t>
      </w:r>
    </w:p>
    <w:p>
      <w:pPr>
        <w:pStyle w:val="ListNumber"/>
        <w:ind w:left="0"/>
      </w:pPr>
      <w:r>
        <w:rPr>
          <w:rFonts w:ascii="Aptos" w:hAnsi="Aptos" w:eastAsia="Aptos"/>
          <w:b w:val="0"/>
          <w:i w:val="0"/>
          <w:color w:val="0A1628"/>
          <w:sz w:val="20"/>
        </w:rPr>
        <w:t>Managing branch.</w:t>
      </w:r>
    </w:p>
    <w:p>
      <w:pPr>
        <w:pStyle w:val="ListNumber"/>
        <w:ind w:left="0"/>
      </w:pPr>
      <w:r>
        <w:rPr>
          <w:rFonts w:ascii="Aptos" w:hAnsi="Aptos" w:eastAsia="Aptos"/>
          <w:b w:val="0"/>
          <w:i w:val="0"/>
          <w:color w:val="0A1628"/>
          <w:sz w:val="20"/>
        </w:rPr>
        <w:t>Preferred provider.</w:t>
      </w:r>
    </w:p>
    <w:p>
      <w:pPr>
        <w:pStyle w:val="ListNumber"/>
        <w:ind w:left="0"/>
      </w:pPr>
      <w:r>
        <w:rPr>
          <w:rFonts w:ascii="Aptos" w:hAnsi="Aptos" w:eastAsia="Aptos"/>
          <w:b w:val="0"/>
          <w:i w:val="0"/>
          <w:color w:val="0A1628"/>
          <w:sz w:val="20"/>
        </w:rPr>
        <w:t>Provider weight, CBM, COD, and service constraints.</w:t>
      </w:r>
    </w:p>
    <w:p>
      <w:pPr>
        <w:pStyle w:val="ListNumber"/>
        <w:ind w:left="0"/>
      </w:pPr>
      <w:r>
        <w:rPr>
          <w:rFonts w:ascii="Aptos" w:hAnsi="Aptos" w:eastAsia="Aptos"/>
          <w:b w:val="0"/>
          <w:i w:val="0"/>
          <w:color w:val="0A1628"/>
          <w:sz w:val="20"/>
        </w:rPr>
        <w:t>Contract status.</w:t>
      </w:r>
    </w:p>
    <w:p>
      <w:pPr>
        <w:pStyle w:val="ListNumber"/>
        <w:ind w:left="0"/>
      </w:pPr>
      <w:r>
        <w:rPr>
          <w:rFonts w:ascii="Aptos" w:hAnsi="Aptos" w:eastAsia="Aptos"/>
          <w:b w:val="0"/>
          <w:i w:val="0"/>
          <w:color w:val="0A1628"/>
          <w:sz w:val="20"/>
        </w:rPr>
        <w:t>Cutoff time.</w:t>
      </w:r>
    </w:p>
    <w:p>
      <w:pPr>
        <w:pStyle w:val="ListNumber"/>
        <w:ind w:left="0"/>
      </w:pPr>
      <w:r>
        <w:rPr>
          <w:rFonts w:ascii="Aptos" w:hAnsi="Aptos" w:eastAsia="Aptos"/>
          <w:b w:val="0"/>
          <w:i w:val="0"/>
          <w:color w:val="0A1628"/>
          <w:sz w:val="20"/>
        </w:rPr>
        <w:t>Historical SLA and suspension status.</w:t>
      </w:r>
    </w:p>
    <w:p>
      <w:pPr>
        <w:pStyle w:val="ListNumber"/>
        <w:ind w:left="0"/>
      </w:pPr>
      <w:r>
        <w:rPr>
          <w:rFonts w:ascii="Aptos" w:hAnsi="Aptos" w:eastAsia="Aptos"/>
          <w:b w:val="0"/>
          <w:i w:val="0"/>
          <w:color w:val="0A1628"/>
          <w:sz w:val="20"/>
        </w:rPr>
        <w:t>Fallback priority.</w:t>
      </w:r>
    </w:p>
    <w:p>
      <w:pPr>
        <w:pStyle w:val="ListNumber"/>
        <w:ind w:left="0"/>
      </w:pPr>
      <w:r>
        <w:rPr>
          <w:rFonts w:ascii="Aptos" w:hAnsi="Aptos" w:eastAsia="Aptos"/>
          <w:b w:val="0"/>
          <w:i w:val="0"/>
          <w:color w:val="0A1628"/>
          <w:sz w:val="20"/>
        </w:rPr>
        <w:t>Manual exception when no valid provider is available.</w:t>
      </w:r>
    </w:p>
    <w:p>
      <w:r>
        <w:rPr>
          <w:rFonts w:ascii="Aptos" w:hAnsi="Aptos" w:eastAsia="Aptos"/>
          <w:b w:val="0"/>
          <w:i w:val="0"/>
          <w:color w:val="0A1628"/>
          <w:sz w:val="20"/>
        </w:rPr>
        <w:t>The route engine must return the selected route and the reasons for selection. It must not silently fall back to an unrelated provider.</w:t>
      </w:r>
    </w:p>
    <w:p>
      <w:pPr>
        <w:pStyle w:val="Heading3"/>
        <w:keepNext/>
      </w:pPr>
      <w:r>
        <w:rPr>
          <w:rFonts w:ascii="Aptos" w:hAnsi="Aptos" w:eastAsia="Aptos"/>
          <w:b w:val="0"/>
          <w:i w:val="0"/>
          <w:color w:val="0A1628"/>
          <w:sz w:val="20"/>
        </w:rPr>
        <w:t>8.4 Fulfillment provider master</w:t>
      </w:r>
    </w:p>
    <w:p>
      <w:r>
        <w:rPr>
          <w:rFonts w:ascii="Aptos" w:hAnsi="Aptos" w:eastAsia="Aptos"/>
          <w:b w:val="0"/>
          <w:i w:val="0"/>
          <w:color w:val="0A1628"/>
          <w:sz w:val="20"/>
        </w:rPr>
        <w:t>Create one provider master for branches and external delivery companies:</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create table public.be_fulfillment_providers (</w:t>
              <w:br/>
              <w:t xml:space="preserve">  provider_id uuid primary key default gen_random_uuid(),</w:t>
              <w:br/>
              <w:t xml:space="preserve">  provider_code text not null unique,</w:t>
              <w:br/>
              <w:t xml:space="preserve">  provider_name text not null,</w:t>
              <w:br/>
              <w:t xml:space="preserve">  provider_type text not null,</w:t>
              <w:br/>
              <w:t xml:space="preserve">  managing_branch_code text,</w:t>
              <w:br/>
              <w:t xml:space="preserve">  settlement_method text not null,</w:t>
              <w:br/>
              <w:t xml:space="preserve">  cod_remittance_method text not null,</w:t>
              <w:br/>
              <w:t xml:space="preserve">  integration_method text not null,</w:t>
              <w:br/>
              <w:t xml:space="preserve">  contact_name text,</w:t>
              <w:br/>
              <w:t xml:space="preserve">  contact_phone text,</w:t>
              <w:br/>
              <w:t xml:space="preserve">  contact_email text,</w:t>
              <w:br/>
              <w:t xml:space="preserve">  bank_account_reference text,</w:t>
              <w:br/>
              <w:t xml:space="preserve">  contract_start_date date,</w:t>
              <w:br/>
              <w:t xml:space="preserve">  contract_end_date date,</w:t>
              <w:br/>
              <w:t xml:space="preserve">  status text not null default 'ACTIVE',</w:t>
              <w:br/>
              <w:t xml:space="preserve">  created_at timestamptz not null default now(),</w:t>
              <w:br/>
              <w:t xml:space="preserve">  updated_at timestamptz not null default now()</w:t>
              <w:br/>
              <w:t>);</w:t>
            </w:r>
          </w:p>
        </w:tc>
      </w:tr>
    </w:tbl>
    <w:p>
      <w:pPr>
        <w:spacing w:after="0"/>
      </w:pPr>
    </w:p>
    <w:p>
      <w:r>
        <w:rPr>
          <w:rFonts w:ascii="Aptos" w:hAnsi="Aptos" w:eastAsia="Aptos"/>
          <w:b w:val="0"/>
          <w:i w:val="0"/>
          <w:color w:val="0A1628"/>
          <w:sz w:val="20"/>
        </w:rPr>
        <w:t xml:space="preserve">Allowed </w:t>
      </w:r>
      <w:r>
        <w:rPr>
          <w:rFonts w:ascii="Consolas" w:hAnsi="Consolas" w:eastAsia="Consolas"/>
          <w:b w:val="0"/>
          <w:i w:val="0"/>
          <w:color w:val="0A1628"/>
          <w:sz w:val="17"/>
          <w:shd w:fill="EEF2F6"/>
        </w:rPr>
        <w:t>provider_type</w:t>
      </w:r>
      <w:r>
        <w:rPr>
          <w:rFonts w:ascii="Aptos" w:hAnsi="Aptos" w:eastAsia="Aptos"/>
          <w:b w:val="0"/>
          <w:i w:val="0"/>
          <w:color w:val="0A1628"/>
          <w:sz w:val="20"/>
        </w:rPr>
        <w:t xml:space="preserve"> values:</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INTERNAL_FLEET</w:t>
              <w:br/>
              <w:t>BRANCH</w:t>
              <w:br/>
              <w:t>THIRD_PARTY</w:t>
            </w:r>
          </w:p>
        </w:tc>
      </w:tr>
    </w:tbl>
    <w:p>
      <w:pPr>
        <w:spacing w:after="0"/>
      </w:pPr>
    </w:p>
    <w:p>
      <w:r>
        <w:rPr>
          <w:rFonts w:ascii="Aptos" w:hAnsi="Aptos" w:eastAsia="Aptos"/>
          <w:b w:val="0"/>
          <w:i w:val="0"/>
          <w:color w:val="0A1628"/>
          <w:sz w:val="20"/>
        </w:rPr>
        <w:t xml:space="preserve">Allowed </w:t>
      </w:r>
      <w:r>
        <w:rPr>
          <w:rFonts w:ascii="Consolas" w:hAnsi="Consolas" w:eastAsia="Consolas"/>
          <w:b w:val="0"/>
          <w:i w:val="0"/>
          <w:color w:val="0A1628"/>
          <w:sz w:val="17"/>
          <w:shd w:fill="EEF2F6"/>
        </w:rPr>
        <w:t>integration_method</w:t>
      </w:r>
      <w:r>
        <w:rPr>
          <w:rFonts w:ascii="Aptos" w:hAnsi="Aptos" w:eastAsia="Aptos"/>
          <w:b w:val="0"/>
          <w:i w:val="0"/>
          <w:color w:val="0A1628"/>
          <w:sz w:val="20"/>
        </w:rPr>
        <w:t xml:space="preserve"> values:</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API_WEBHOOK</w:t>
              <w:br/>
              <w:t>API_POLLING</w:t>
              <w:br/>
              <w:t>CSV_UPLOAD</w:t>
              <w:br/>
              <w:t>PARTNER_PORTAL</w:t>
              <w:br/>
              <w:t>MANUAL_WITH_EVIDENCE</w:t>
            </w:r>
          </w:p>
        </w:tc>
      </w:tr>
    </w:tbl>
    <w:p>
      <w:pPr>
        <w:spacing w:after="0"/>
      </w:pPr>
    </w:p>
    <w:p>
      <w:r>
        <w:rPr>
          <w:rFonts w:ascii="Aptos" w:hAnsi="Aptos" w:eastAsia="Aptos"/>
          <w:b w:val="0"/>
          <w:i w:val="0"/>
          <w:color w:val="0A1628"/>
          <w:sz w:val="20"/>
        </w:rPr>
        <w:t xml:space="preserve">Allowed </w:t>
      </w:r>
      <w:r>
        <w:rPr>
          <w:rFonts w:ascii="Consolas" w:hAnsi="Consolas" w:eastAsia="Consolas"/>
          <w:b w:val="0"/>
          <w:i w:val="0"/>
          <w:color w:val="0A1628"/>
          <w:sz w:val="17"/>
          <w:shd w:fill="EEF2F6"/>
        </w:rPr>
        <w:t>cod_remittance_method</w:t>
      </w:r>
      <w:r>
        <w:rPr>
          <w:rFonts w:ascii="Aptos" w:hAnsi="Aptos" w:eastAsia="Aptos"/>
          <w:b w:val="0"/>
          <w:i w:val="0"/>
          <w:color w:val="0A1628"/>
          <w:sz w:val="20"/>
        </w:rPr>
        <w:t xml:space="preserve"> values:</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GROSS_REMITTANCE</w:t>
              <w:br/>
              <w:t>NETTED_WITH_SERVICE_FEES</w:t>
              <w:br/>
              <w:t>NO_COD_COLLECTION</w:t>
              <w:br/>
              <w:t>BRANCH_CASH_HANDOVER</w:t>
            </w:r>
          </w:p>
        </w:tc>
      </w:tr>
    </w:tbl>
    <w:p>
      <w:pPr>
        <w:spacing w:after="0"/>
      </w:pPr>
    </w:p>
    <w:p>
      <w:pPr>
        <w:pStyle w:val="Heading3"/>
        <w:keepNext/>
      </w:pPr>
      <w:r>
        <w:rPr>
          <w:rFonts w:ascii="Aptos" w:hAnsi="Aptos" w:eastAsia="Aptos"/>
          <w:b w:val="0"/>
          <w:i w:val="0"/>
          <w:color w:val="0A1628"/>
          <w:sz w:val="20"/>
        </w:rPr>
        <w:t>8.5 Parcel fulfillment fields</w:t>
      </w:r>
    </w:p>
    <w:p>
      <w:r>
        <w:rPr>
          <w:rFonts w:ascii="Aptos" w:hAnsi="Aptos" w:eastAsia="Aptos"/>
          <w:b w:val="0"/>
          <w:i w:val="0"/>
          <w:color w:val="0A1628"/>
          <w:sz w:val="20"/>
        </w:rPr>
        <w:t>Add the following fields to the canonical parcel/Way transaction:</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fulfillment_mode text;</w:t>
              <w:br/>
              <w:t>managing_branch_code text;</w:t>
              <w:br/>
              <w:t>executing_provider_id uuid;</w:t>
              <w:br/>
              <w:t>executing_provider_code text;</w:t>
              <w:br/>
              <w:t>provider_service_code text;</w:t>
              <w:br/>
              <w:t>provider_tracking_id text;</w:t>
              <w:br/>
              <w:t>provider_reference_2 text;</w:t>
              <w:br/>
              <w:t>outsource_assignment_id uuid;</w:t>
              <w:br/>
              <w:t>handover_manifest_id uuid;</w:t>
              <w:br/>
              <w:t>handover_status text;</w:t>
              <w:br/>
              <w:t>handover_at timestamptz;</w:t>
              <w:br/>
              <w:t>provider_accepted_at timestamptz;</w:t>
              <w:br/>
              <w:t>expected_delivery_at timestamptz;</w:t>
              <w:br/>
              <w:t>provider_delivered_at timestamptz;</w:t>
              <w:br/>
              <w:t>provider_last_event_at timestamptz;</w:t>
              <w:br/>
              <w:t>provider_last_status text;</w:t>
              <w:br/>
              <w:t>pod_status text;</w:t>
              <w:br/>
              <w:t>cod_custodian_type text;</w:t>
              <w:br/>
              <w:t>cod_custodian_id text;</w:t>
              <w:br/>
              <w:t>partner_tariff_snapshot jsonb;</w:t>
              <w:br/>
              <w:t>partner_cost_calculation_version text;</w:t>
              <w:br/>
              <w:t>partner_service_payable_mmk bigint;</w:t>
              <w:br/>
              <w:t>partner_cod_collected_mmk bigint;</w:t>
              <w:br/>
              <w:t>partner_cod_remitted_mmk bigint;</w:t>
              <w:br/>
              <w:t>partner_settlement_status text;</w:t>
              <w:br/>
              <w:t>branch_reconciliation_status text;</w:t>
            </w:r>
          </w:p>
        </w:tc>
      </w:tr>
    </w:tbl>
    <w:p>
      <w:pPr>
        <w:spacing w:after="0"/>
      </w:pPr>
    </w:p>
    <w:p>
      <w:r>
        <w:rPr>
          <w:rFonts w:ascii="Consolas" w:hAnsi="Consolas" w:eastAsia="Consolas"/>
          <w:b w:val="0"/>
          <w:i w:val="0"/>
          <w:color w:val="0A1628"/>
          <w:sz w:val="17"/>
          <w:shd w:fill="EEF2F6"/>
        </w:rPr>
        <w:t>delivery_way_id</w:t>
      </w:r>
      <w:r>
        <w:rPr>
          <w:rFonts w:ascii="Aptos" w:hAnsi="Aptos" w:eastAsia="Aptos"/>
          <w:b w:val="0"/>
          <w:i w:val="0"/>
          <w:color w:val="0A1628"/>
          <w:sz w:val="20"/>
        </w:rPr>
        <w:t xml:space="preserve">, </w:t>
      </w:r>
      <w:r>
        <w:rPr>
          <w:rFonts w:ascii="Consolas" w:hAnsi="Consolas" w:eastAsia="Consolas"/>
          <w:b w:val="0"/>
          <w:i w:val="0"/>
          <w:color w:val="0A1628"/>
          <w:sz w:val="17"/>
          <w:shd w:fill="EEF2F6"/>
        </w:rPr>
        <w:t>pickup_id</w:t>
      </w:r>
      <w:r>
        <w:rPr>
          <w:rFonts w:ascii="Aptos" w:hAnsi="Aptos" w:eastAsia="Aptos"/>
          <w:b w:val="0"/>
          <w:i w:val="0"/>
          <w:color w:val="0A1628"/>
          <w:sz w:val="20"/>
        </w:rPr>
        <w:t xml:space="preserve">, </w:t>
      </w:r>
      <w:r>
        <w:rPr>
          <w:rFonts w:ascii="Consolas" w:hAnsi="Consolas" w:eastAsia="Consolas"/>
          <w:b w:val="0"/>
          <w:i w:val="0"/>
          <w:color w:val="0A1628"/>
          <w:sz w:val="17"/>
          <w:shd w:fill="EEF2F6"/>
        </w:rPr>
        <w:t>merchant_code</w:t>
      </w:r>
      <w:r>
        <w:rPr>
          <w:rFonts w:ascii="Aptos" w:hAnsi="Aptos" w:eastAsia="Aptos"/>
          <w:b w:val="0"/>
          <w:i w:val="0"/>
          <w:color w:val="0A1628"/>
          <w:sz w:val="20"/>
        </w:rPr>
        <w:t>, and Britium customer financial fields remain canonical Britium values. A partner tracking number is an external reference and must never replace the Britium Way ID.</w:t>
      </w:r>
    </w:p>
    <w:p>
      <w:pPr>
        <w:pStyle w:val="Heading3"/>
        <w:keepNext/>
      </w:pPr>
      <w:r>
        <w:rPr>
          <w:rFonts w:ascii="Aptos" w:hAnsi="Aptos" w:eastAsia="Aptos"/>
          <w:b w:val="0"/>
          <w:i w:val="0"/>
          <w:color w:val="0A1628"/>
          <w:sz w:val="20"/>
        </w:rPr>
        <w:t>8.6 Assignment and chain of custody</w:t>
      </w:r>
    </w:p>
    <w:p>
      <w:r>
        <w:rPr>
          <w:rFonts w:ascii="Aptos" w:hAnsi="Aptos" w:eastAsia="Aptos"/>
          <w:b w:val="0"/>
          <w:i w:val="0"/>
          <w:color w:val="0A1628"/>
          <w:sz w:val="20"/>
        </w:rPr>
        <w:t>A parcel assigned outside Britium's direct fleet must have a recorded chain of custody.</w:t>
      </w:r>
    </w:p>
    <w:p>
      <w:r>
        <w:rPr>
          <w:rFonts w:ascii="Aptos" w:hAnsi="Aptos" w:eastAsia="Aptos"/>
          <w:b w:val="0"/>
          <w:i w:val="0"/>
          <w:color w:val="0A1628"/>
          <w:sz w:val="20"/>
        </w:rPr>
        <w:t>Required operational lifecycle:</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ROUTING_REQUIRED</w:t>
              <w:br/>
              <w:t>ROUTE_SELECTED</w:t>
              <w:br/>
              <w:t>ASSIGNED_TO_BRANCH</w:t>
              <w:br/>
              <w:t>ASSIGNED_TO_PROVIDER</w:t>
              <w:br/>
              <w:t>HANDOVER_PENDING</w:t>
              <w:br/>
              <w:t>MANIFESTED</w:t>
              <w:br/>
              <w:t>HANDED_OVER</w:t>
              <w:br/>
              <w:t>PROVIDER_ACCEPTED</w:t>
              <w:br/>
              <w:t>IN_TRANSIT</w:t>
              <w:br/>
              <w:t>AT_DESTINATION_HUB</w:t>
              <w:br/>
              <w:t>OUT_FOR_DELIVERY</w:t>
              <w:br/>
              <w:t>DELIVERED</w:t>
              <w:br/>
              <w:t>DELIVERY_FAILED</w:t>
              <w:br/>
              <w:t>RETURN_REQUESTED</w:t>
              <w:br/>
              <w:t>RETURN_IN_TRANSIT</w:t>
              <w:br/>
              <w:t>RETURNED_TO_BRITIUM</w:t>
              <w:br/>
              <w:t>LOST</w:t>
              <w:br/>
              <w:t>DAMAGED</w:t>
              <w:br/>
              <w:t>CANCELLED</w:t>
            </w:r>
          </w:p>
        </w:tc>
      </w:tr>
    </w:tbl>
    <w:p>
      <w:pPr>
        <w:spacing w:after="0"/>
      </w:pPr>
    </w:p>
    <w:p>
      <w:r>
        <w:rPr>
          <w:rFonts w:ascii="Aptos" w:hAnsi="Aptos" w:eastAsia="Aptos"/>
          <w:b w:val="0"/>
          <w:i w:val="0"/>
          <w:color w:val="0A1628"/>
          <w:sz w:val="20"/>
        </w:rPr>
        <w:t>Financial status must be separate:</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NOT_READY</w:t>
              <w:br/>
              <w:t>COD_PENDING</w:t>
              <w:br/>
              <w:t>COD_RECEIVED_BY_PROVIDER</w:t>
              <w:br/>
              <w:t>COD_PARTIALLY_REMITTED</w:t>
              <w:br/>
              <w:t>COD_REMITTED</w:t>
              <w:br/>
              <w:t>PARTNER_INVOICE_PENDING</w:t>
              <w:br/>
              <w:t>PARTNER_SETTLEMENT_DRAFT</w:t>
              <w:br/>
              <w:t>PARTNER_SETTLEMENT_APPROVED</w:t>
              <w:br/>
              <w:t>PARTNER_SETTLED</w:t>
              <w:br/>
              <w:t>DISPUTED</w:t>
            </w:r>
          </w:p>
        </w:tc>
      </w:tr>
    </w:tbl>
    <w:p>
      <w:pPr>
        <w:spacing w:after="0"/>
      </w:pPr>
    </w:p>
    <w:p>
      <w:r>
        <w:rPr>
          <w:rFonts w:ascii="Aptos" w:hAnsi="Aptos" w:eastAsia="Aptos"/>
          <w:b w:val="0"/>
          <w:i w:val="0"/>
          <w:color w:val="0A1628"/>
          <w:sz w:val="20"/>
        </w:rPr>
        <w:t>Each handover manifest must include:</w:t>
      </w:r>
    </w:p>
    <w:p>
      <w:pPr>
        <w:pStyle w:val="ListBullet"/>
        <w:ind w:left="0"/>
      </w:pPr>
      <w:r>
        <w:rPr>
          <w:rFonts w:ascii="Aptos" w:hAnsi="Aptos" w:eastAsia="Aptos"/>
          <w:b w:val="0"/>
          <w:i w:val="0"/>
          <w:color w:val="0A1628"/>
          <w:sz w:val="20"/>
        </w:rPr>
        <w:t>Manifest number.</w:t>
      </w:r>
    </w:p>
    <w:p>
      <w:pPr>
        <w:pStyle w:val="ListBullet"/>
        <w:ind w:left="0"/>
      </w:pPr>
      <w:r>
        <w:rPr>
          <w:rFonts w:ascii="Aptos" w:hAnsi="Aptos" w:eastAsia="Aptos"/>
          <w:b w:val="0"/>
          <w:i w:val="0"/>
          <w:color w:val="0A1628"/>
          <w:sz w:val="20"/>
        </w:rPr>
        <w:t>Origin branch or hub.</w:t>
      </w:r>
    </w:p>
    <w:p>
      <w:pPr>
        <w:pStyle w:val="ListBullet"/>
        <w:ind w:left="0"/>
      </w:pPr>
      <w:r>
        <w:rPr>
          <w:rFonts w:ascii="Aptos" w:hAnsi="Aptos" w:eastAsia="Aptos"/>
          <w:b w:val="0"/>
          <w:i w:val="0"/>
          <w:color w:val="0A1628"/>
          <w:sz w:val="20"/>
        </w:rPr>
        <w:t>Destination branch/provider.</w:t>
      </w:r>
    </w:p>
    <w:p>
      <w:pPr>
        <w:pStyle w:val="ListBullet"/>
        <w:ind w:left="0"/>
      </w:pPr>
      <w:r>
        <w:rPr>
          <w:rFonts w:ascii="Aptos" w:hAnsi="Aptos" w:eastAsia="Aptos"/>
          <w:b w:val="0"/>
          <w:i w:val="0"/>
          <w:color w:val="0A1628"/>
          <w:sz w:val="20"/>
        </w:rPr>
        <w:t>Provider vehicle or counter reference where applicable.</w:t>
      </w:r>
    </w:p>
    <w:p>
      <w:pPr>
        <w:pStyle w:val="ListBullet"/>
        <w:ind w:left="0"/>
      </w:pPr>
      <w:r>
        <w:rPr>
          <w:rFonts w:ascii="Aptos" w:hAnsi="Aptos" w:eastAsia="Aptos"/>
          <w:b w:val="0"/>
          <w:i w:val="0"/>
          <w:color w:val="0A1628"/>
          <w:sz w:val="20"/>
        </w:rPr>
        <w:t>Handover employee.</w:t>
      </w:r>
    </w:p>
    <w:p>
      <w:pPr>
        <w:pStyle w:val="ListBullet"/>
        <w:ind w:left="0"/>
      </w:pPr>
      <w:r>
        <w:rPr>
          <w:rFonts w:ascii="Aptos" w:hAnsi="Aptos" w:eastAsia="Aptos"/>
          <w:b w:val="0"/>
          <w:i w:val="0"/>
          <w:color w:val="0A1628"/>
          <w:sz w:val="20"/>
        </w:rPr>
        <w:t>Receiving person.</w:t>
      </w:r>
    </w:p>
    <w:p>
      <w:pPr>
        <w:pStyle w:val="ListBullet"/>
        <w:ind w:left="0"/>
      </w:pPr>
      <w:r>
        <w:rPr>
          <w:rFonts w:ascii="Aptos" w:hAnsi="Aptos" w:eastAsia="Aptos"/>
          <w:b w:val="0"/>
          <w:i w:val="0"/>
          <w:color w:val="0A1628"/>
          <w:sz w:val="20"/>
        </w:rPr>
        <w:t>Parcel count.</w:t>
      </w:r>
    </w:p>
    <w:p>
      <w:pPr>
        <w:pStyle w:val="ListBullet"/>
        <w:ind w:left="0"/>
      </w:pPr>
      <w:r>
        <w:rPr>
          <w:rFonts w:ascii="Aptos" w:hAnsi="Aptos" w:eastAsia="Aptos"/>
          <w:b w:val="0"/>
          <w:i w:val="0"/>
          <w:color w:val="0A1628"/>
          <w:sz w:val="20"/>
        </w:rPr>
        <w:t>Total COD expected.</w:t>
      </w:r>
    </w:p>
    <w:p>
      <w:pPr>
        <w:pStyle w:val="ListBullet"/>
        <w:ind w:left="0"/>
      </w:pPr>
      <w:r>
        <w:rPr>
          <w:rFonts w:ascii="Aptos" w:hAnsi="Aptos" w:eastAsia="Aptos"/>
          <w:b w:val="0"/>
          <w:i w:val="0"/>
          <w:color w:val="0A1628"/>
          <w:sz w:val="20"/>
        </w:rPr>
        <w:t>Total declared value.</w:t>
      </w:r>
    </w:p>
    <w:p>
      <w:pPr>
        <w:pStyle w:val="ListBullet"/>
        <w:ind w:left="0"/>
      </w:pPr>
      <w:r>
        <w:rPr>
          <w:rFonts w:ascii="Aptos" w:hAnsi="Aptos" w:eastAsia="Aptos"/>
          <w:b w:val="0"/>
          <w:i w:val="0"/>
          <w:color w:val="0A1628"/>
          <w:sz w:val="20"/>
        </w:rPr>
        <w:t>Total weight and CBM.</w:t>
      </w:r>
    </w:p>
    <w:p>
      <w:pPr>
        <w:pStyle w:val="ListBullet"/>
        <w:ind w:left="0"/>
      </w:pPr>
      <w:r>
        <w:rPr>
          <w:rFonts w:ascii="Aptos" w:hAnsi="Aptos" w:eastAsia="Aptos"/>
          <w:b w:val="0"/>
          <w:i w:val="0"/>
          <w:color w:val="0A1628"/>
          <w:sz w:val="20"/>
        </w:rPr>
        <w:t>Seal or bag reference.</w:t>
      </w:r>
    </w:p>
    <w:p>
      <w:pPr>
        <w:pStyle w:val="ListBullet"/>
        <w:ind w:left="0"/>
      </w:pPr>
      <w:r>
        <w:rPr>
          <w:rFonts w:ascii="Aptos" w:hAnsi="Aptos" w:eastAsia="Aptos"/>
          <w:b w:val="0"/>
          <w:i w:val="0"/>
          <w:color w:val="0A1628"/>
          <w:sz w:val="20"/>
        </w:rPr>
        <w:t>Handover timestamp.</w:t>
      </w:r>
    </w:p>
    <w:p>
      <w:pPr>
        <w:pStyle w:val="ListBullet"/>
        <w:ind w:left="0"/>
      </w:pPr>
      <w:r>
        <w:rPr>
          <w:rFonts w:ascii="Aptos" w:hAnsi="Aptos" w:eastAsia="Aptos"/>
          <w:b w:val="0"/>
          <w:i w:val="0"/>
          <w:color w:val="0A1628"/>
          <w:sz w:val="20"/>
        </w:rPr>
        <w:t>Receiver acceptance timestamp.</w:t>
      </w:r>
    </w:p>
    <w:p>
      <w:pPr>
        <w:pStyle w:val="ListBullet"/>
        <w:ind w:left="0"/>
      </w:pPr>
      <w:r>
        <w:rPr>
          <w:rFonts w:ascii="Aptos" w:hAnsi="Aptos" w:eastAsia="Aptos"/>
          <w:b w:val="0"/>
          <w:i w:val="0"/>
          <w:color w:val="0A1628"/>
          <w:sz w:val="20"/>
        </w:rPr>
        <w:t>Missing, extra, damaged, or rejected parcels.</w:t>
      </w:r>
    </w:p>
    <w:p>
      <w:pPr>
        <w:pStyle w:val="ListBullet"/>
        <w:ind w:left="0"/>
      </w:pPr>
      <w:r>
        <w:rPr>
          <w:rFonts w:ascii="Aptos" w:hAnsi="Aptos" w:eastAsia="Aptos"/>
          <w:b w:val="0"/>
          <w:i w:val="0"/>
          <w:color w:val="0A1628"/>
          <w:sz w:val="20"/>
        </w:rPr>
        <w:t>Supporting photographs or signed document.</w:t>
      </w:r>
    </w:p>
    <w:p>
      <w:r>
        <w:rPr>
          <w:rFonts w:ascii="Aptos" w:hAnsi="Aptos" w:eastAsia="Aptos"/>
          <w:b w:val="0"/>
          <w:i w:val="0"/>
          <w:color w:val="0A1628"/>
          <w:sz w:val="20"/>
        </w:rPr>
        <w:t>The receiving branch or partner must acknowledge each parcel. A manifest-level acceptance must not silently mark missing parcel lines as accepted.</w:t>
      </w:r>
    </w:p>
    <w:p>
      <w:pPr>
        <w:pStyle w:val="Heading3"/>
        <w:keepNext/>
      </w:pPr>
      <w:r>
        <w:rPr>
          <w:rFonts w:ascii="Aptos" w:hAnsi="Aptos" w:eastAsia="Aptos"/>
          <w:b w:val="0"/>
          <w:i w:val="0"/>
          <w:color w:val="0A1628"/>
          <w:sz w:val="20"/>
        </w:rPr>
        <w:t>8.7 Tracking integration and event normalization</w:t>
      </w:r>
    </w:p>
    <w:p>
      <w:r>
        <w:rPr>
          <w:rFonts w:ascii="Aptos" w:hAnsi="Aptos" w:eastAsia="Aptos"/>
          <w:b w:val="0"/>
          <w:i w:val="0"/>
          <w:color w:val="0A1628"/>
          <w:sz w:val="20"/>
        </w:rPr>
        <w:t>Create a normalized provider event table:</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create table public.be_fulfillment_tracking_events (</w:t>
              <w:br/>
              <w:t xml:space="preserve">  event_id uuid primary key default gen_random_uuid(),</w:t>
              <w:br/>
              <w:t xml:space="preserve">  delivery_way_id text not null,</w:t>
              <w:br/>
              <w:t xml:space="preserve">  provider_id uuid not null,</w:t>
              <w:br/>
              <w:t xml:space="preserve">  provider_tracking_id text,</w:t>
              <w:br/>
              <w:t xml:space="preserve">  provider_event_id text,</w:t>
              <w:br/>
              <w:t xml:space="preserve">  raw_status_code text,</w:t>
              <w:br/>
              <w:t xml:space="preserve">  normalized_status text not null,</w:t>
              <w:br/>
              <w:t xml:space="preserve">  event_at timestamptz not null,</w:t>
              <w:br/>
              <w:t xml:space="preserve">  received_at timestamptz not null default now(),</w:t>
              <w:br/>
              <w:t xml:space="preserve">  location_text text,</w:t>
              <w:br/>
              <w:t xml:space="preserve">  latitude numeric,</w:t>
              <w:br/>
              <w:t xml:space="preserve">  longitude numeric,</w:t>
              <w:br/>
              <w:t xml:space="preserve">  description text,</w:t>
              <w:br/>
              <w:t xml:space="preserve">  proof_reference text,</w:t>
              <w:br/>
              <w:t xml:space="preserve">  raw_payload jsonb,</w:t>
              <w:br/>
              <w:t xml:space="preserve">  source_method text not null,</w:t>
              <w:br/>
              <w:t xml:space="preserve">  idempotency_key text not null unique</w:t>
              <w:br/>
              <w:t>);</w:t>
            </w:r>
          </w:p>
        </w:tc>
      </w:tr>
    </w:tbl>
    <w:p>
      <w:pPr>
        <w:spacing w:after="0"/>
      </w:pPr>
    </w:p>
    <w:p>
      <w:r>
        <w:rPr>
          <w:rFonts w:ascii="Aptos" w:hAnsi="Aptos" w:eastAsia="Aptos"/>
          <w:b w:val="0"/>
          <w:i w:val="0"/>
          <w:color w:val="0A1628"/>
          <w:sz w:val="20"/>
        </w:rPr>
        <w:t>Create status mappings per provider:</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create table public.be_provider_status_mapping (</w:t>
              <w:br/>
              <w:t xml:space="preserve">  provider_id uuid not null,</w:t>
              <w:br/>
              <w:t xml:space="preserve">  raw_status_code text not null,</w:t>
              <w:br/>
              <w:t xml:space="preserve">  normalized_status text not null,</w:t>
              <w:br/>
              <w:t xml:space="preserve">  is_terminal boolean not null default false,</w:t>
              <w:br/>
              <w:t xml:space="preserve">  requires_pod boolean not null default false,</w:t>
              <w:br/>
              <w:t xml:space="preserve">  primary key (provider_id, raw_status_code)</w:t>
              <w:br/>
              <w:t>);</w:t>
            </w:r>
          </w:p>
        </w:tc>
      </w:tr>
    </w:tbl>
    <w:p>
      <w:pPr>
        <w:spacing w:after="0"/>
      </w:pPr>
    </w:p>
    <w:p>
      <w:r>
        <w:rPr>
          <w:rFonts w:ascii="Aptos" w:hAnsi="Aptos" w:eastAsia="Aptos"/>
          <w:b w:val="0"/>
          <w:i w:val="0"/>
          <w:color w:val="0A1628"/>
          <w:sz w:val="20"/>
        </w:rPr>
        <w:t>Requirements:</w:t>
      </w:r>
    </w:p>
    <w:p>
      <w:pPr>
        <w:pStyle w:val="ListBullet"/>
        <w:ind w:left="0"/>
      </w:pPr>
      <w:r>
        <w:rPr>
          <w:rFonts w:ascii="Aptos" w:hAnsi="Aptos" w:eastAsia="Aptos"/>
          <w:b w:val="0"/>
          <w:i w:val="0"/>
          <w:color w:val="0A1628"/>
          <w:sz w:val="20"/>
        </w:rPr>
        <w:t>API/webhook events must be idempotent.</w:t>
      </w:r>
    </w:p>
    <w:p>
      <w:pPr>
        <w:pStyle w:val="ListBullet"/>
        <w:ind w:left="0"/>
      </w:pPr>
      <w:r>
        <w:rPr>
          <w:rFonts w:ascii="Aptos" w:hAnsi="Aptos" w:eastAsia="Aptos"/>
          <w:b w:val="0"/>
          <w:i w:val="0"/>
          <w:color w:val="0A1628"/>
          <w:sz w:val="20"/>
        </w:rPr>
        <w:t>Events may arrive out of order; the system must preserve all events and calculate the current status using event time plus terminal-state rules.</w:t>
      </w:r>
    </w:p>
    <w:p>
      <w:pPr>
        <w:pStyle w:val="ListBullet"/>
        <w:ind w:left="0"/>
      </w:pPr>
      <w:r>
        <w:rPr>
          <w:rFonts w:ascii="Aptos" w:hAnsi="Aptos" w:eastAsia="Aptos"/>
          <w:b w:val="0"/>
          <w:i w:val="0"/>
          <w:color w:val="0A1628"/>
          <w:sz w:val="20"/>
        </w:rPr>
        <w:t>Manual updates require a reason and supporting evidence.</w:t>
      </w:r>
    </w:p>
    <w:p>
      <w:pPr>
        <w:pStyle w:val="ListBullet"/>
        <w:ind w:left="0"/>
      </w:pPr>
      <w:r>
        <w:rPr>
          <w:rFonts w:ascii="Aptos" w:hAnsi="Aptos" w:eastAsia="Aptos"/>
          <w:b w:val="0"/>
          <w:i w:val="0"/>
          <w:color w:val="0A1628"/>
          <w:sz w:val="20"/>
        </w:rPr>
        <w:t>A provider event must never modify merchant, Way, Pickup, item price, or COD instruction fields.</w:t>
      </w:r>
    </w:p>
    <w:p>
      <w:pPr>
        <w:pStyle w:val="ListBullet"/>
        <w:ind w:left="0"/>
      </w:pPr>
      <w:r>
        <w:rPr>
          <w:rFonts w:ascii="Aptos" w:hAnsi="Aptos" w:eastAsia="Aptos"/>
          <w:b w:val="0"/>
          <w:i w:val="0"/>
          <w:color w:val="0A1628"/>
          <w:sz w:val="20"/>
        </w:rPr>
        <w:t>Delivered status requires either accepted provider POD or an authorized exception.</w:t>
      </w:r>
    </w:p>
    <w:p>
      <w:pPr>
        <w:pStyle w:val="Heading3"/>
        <w:keepNext/>
      </w:pPr>
      <w:r>
        <w:rPr>
          <w:rFonts w:ascii="Aptos" w:hAnsi="Aptos" w:eastAsia="Aptos"/>
          <w:b w:val="0"/>
          <w:i w:val="0"/>
          <w:color w:val="0A1628"/>
          <w:sz w:val="20"/>
        </w:rPr>
        <w:t>8.8 Network Fulfillment and Outsource Control Screen</w:t>
      </w:r>
    </w:p>
    <w:p>
      <w:r>
        <w:rPr>
          <w:rFonts w:ascii="Aptos" w:hAnsi="Aptos" w:eastAsia="Aptos"/>
          <w:b w:val="0"/>
          <w:i w:val="0"/>
          <w:color w:val="0A1628"/>
          <w:sz w:val="20"/>
        </w:rPr>
        <w:t>Create an internal screen:</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Network Fulfillment &amp; Outsource Control</w:t>
            </w:r>
          </w:p>
        </w:tc>
      </w:tr>
    </w:tbl>
    <w:p>
      <w:pPr>
        <w:spacing w:after="0"/>
      </w:pPr>
    </w:p>
    <w:p>
      <w:r>
        <w:rPr>
          <w:rFonts w:ascii="Aptos" w:hAnsi="Aptos" w:eastAsia="Aptos"/>
          <w:b w:val="0"/>
          <w:i w:val="0"/>
          <w:color w:val="0A1628"/>
          <w:sz w:val="20"/>
        </w:rPr>
        <w:t>Recommended route:</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/network-fulfillment</w:t>
            </w:r>
          </w:p>
        </w:tc>
      </w:tr>
    </w:tbl>
    <w:p>
      <w:pPr>
        <w:spacing w:after="0"/>
      </w:pPr>
    </w:p>
    <w:p>
      <w:r>
        <w:rPr>
          <w:rFonts w:ascii="Aptos" w:hAnsi="Aptos" w:eastAsia="Aptos"/>
          <w:b w:val="0"/>
          <w:i w:val="0"/>
          <w:color w:val="0A1628"/>
          <w:sz w:val="20"/>
        </w:rPr>
        <w:t>Required tabs:</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Overview</w:t>
              <w:br/>
              <w:t>Routing Queue</w:t>
              <w:br/>
              <w:t>Branch Handovers</w:t>
              <w:br/>
              <w:t>Partner Handovers</w:t>
              <w:br/>
              <w:t>In Transit</w:t>
              <w:br/>
              <w:t>Delivery Exceptions</w:t>
              <w:br/>
              <w:t>Returns</w:t>
              <w:br/>
              <w:t>COD Handover</w:t>
              <w:br/>
              <w:t>Partner Settlements</w:t>
              <w:br/>
              <w:t>Branch Reconciliation</w:t>
              <w:br/>
              <w:t>SLA Performance</w:t>
              <w:br/>
              <w:t>Coverage &amp; Contracts</w:t>
              <w:br/>
              <w:t>Audit Log</w:t>
            </w:r>
          </w:p>
        </w:tc>
      </w:tr>
    </w:tbl>
    <w:p>
      <w:pPr>
        <w:spacing w:after="0"/>
      </w:pPr>
    </w:p>
    <w:p>
      <w:r>
        <w:rPr>
          <w:rFonts w:ascii="Aptos" w:hAnsi="Aptos" w:eastAsia="Aptos"/>
          <w:b w:val="0"/>
          <w:i w:val="0"/>
          <w:color w:val="0A1628"/>
          <w:sz w:val="20"/>
        </w:rPr>
        <w:t>Required KPI cards:</w:t>
      </w:r>
    </w:p>
    <w:p>
      <w:pPr>
        <w:pStyle w:val="ListBullet"/>
        <w:ind w:left="0"/>
      </w:pPr>
      <w:r>
        <w:rPr>
          <w:rFonts w:ascii="Aptos" w:hAnsi="Aptos" w:eastAsia="Aptos"/>
          <w:b w:val="0"/>
          <w:i w:val="0"/>
          <w:color w:val="0A1628"/>
          <w:sz w:val="20"/>
        </w:rPr>
        <w:t>Britium-direct ways.</w:t>
      </w:r>
    </w:p>
    <w:p>
      <w:pPr>
        <w:pStyle w:val="ListBullet"/>
        <w:ind w:left="0"/>
      </w:pPr>
      <w:r>
        <w:rPr>
          <w:rFonts w:ascii="Aptos" w:hAnsi="Aptos" w:eastAsia="Aptos"/>
          <w:b w:val="0"/>
          <w:i w:val="0"/>
          <w:color w:val="0A1628"/>
          <w:sz w:val="20"/>
        </w:rPr>
        <w:t>Branch-direct ways.</w:t>
      </w:r>
    </w:p>
    <w:p>
      <w:pPr>
        <w:pStyle w:val="ListBullet"/>
        <w:ind w:left="0"/>
      </w:pPr>
      <w:r>
        <w:rPr>
          <w:rFonts w:ascii="Aptos" w:hAnsi="Aptos" w:eastAsia="Aptos"/>
          <w:b w:val="0"/>
          <w:i w:val="0"/>
          <w:color w:val="0A1628"/>
          <w:sz w:val="20"/>
        </w:rPr>
        <w:t>Outsourced ways.</w:t>
      </w:r>
    </w:p>
    <w:p>
      <w:pPr>
        <w:pStyle w:val="ListBullet"/>
        <w:ind w:left="0"/>
      </w:pPr>
      <w:r>
        <w:rPr>
          <w:rFonts w:ascii="Aptos" w:hAnsi="Aptos" w:eastAsia="Aptos"/>
          <w:b w:val="0"/>
          <w:i w:val="0"/>
          <w:color w:val="0A1628"/>
          <w:sz w:val="20"/>
        </w:rPr>
        <w:t>Branch-third-party ways.</w:t>
      </w:r>
    </w:p>
    <w:p>
      <w:pPr>
        <w:pStyle w:val="ListBullet"/>
        <w:ind w:left="0"/>
      </w:pPr>
      <w:r>
        <w:rPr>
          <w:rFonts w:ascii="Aptos" w:hAnsi="Aptos" w:eastAsia="Aptos"/>
          <w:b w:val="0"/>
          <w:i w:val="0"/>
          <w:color w:val="0A1628"/>
          <w:sz w:val="20"/>
        </w:rPr>
        <w:t>Ways by Royal Express.</w:t>
      </w:r>
    </w:p>
    <w:p>
      <w:pPr>
        <w:pStyle w:val="ListBullet"/>
        <w:ind w:left="0"/>
      </w:pPr>
      <w:r>
        <w:rPr>
          <w:rFonts w:ascii="Aptos" w:hAnsi="Aptos" w:eastAsia="Aptos"/>
          <w:b w:val="0"/>
          <w:i w:val="0"/>
          <w:color w:val="0A1628"/>
          <w:sz w:val="20"/>
        </w:rPr>
        <w:t>Ways by DK Delivery.</w:t>
      </w:r>
    </w:p>
    <w:p>
      <w:pPr>
        <w:pStyle w:val="ListBullet"/>
        <w:ind w:left="0"/>
      </w:pPr>
      <w:r>
        <w:rPr>
          <w:rFonts w:ascii="Aptos" w:hAnsi="Aptos" w:eastAsia="Aptos"/>
          <w:b w:val="0"/>
          <w:i w:val="0"/>
          <w:color w:val="0A1628"/>
          <w:sz w:val="20"/>
        </w:rPr>
        <w:t>Ways by Arlu Post.</w:t>
      </w:r>
    </w:p>
    <w:p>
      <w:pPr>
        <w:pStyle w:val="ListBullet"/>
        <w:ind w:left="0"/>
      </w:pPr>
      <w:r>
        <w:rPr>
          <w:rFonts w:ascii="Aptos" w:hAnsi="Aptos" w:eastAsia="Aptos"/>
          <w:b w:val="0"/>
          <w:i w:val="0"/>
          <w:color w:val="0A1628"/>
          <w:sz w:val="20"/>
        </w:rPr>
        <w:t>Ways by Ninja Van.</w:t>
      </w:r>
    </w:p>
    <w:p>
      <w:pPr>
        <w:pStyle w:val="ListBullet"/>
        <w:ind w:left="0"/>
      </w:pPr>
      <w:r>
        <w:rPr>
          <w:rFonts w:ascii="Aptos" w:hAnsi="Aptos" w:eastAsia="Aptos"/>
          <w:b w:val="0"/>
          <w:i w:val="0"/>
          <w:color w:val="0A1628"/>
          <w:sz w:val="20"/>
        </w:rPr>
        <w:t>Ways by Safe Delivery Services.</w:t>
      </w:r>
    </w:p>
    <w:p>
      <w:pPr>
        <w:pStyle w:val="ListBullet"/>
        <w:ind w:left="0"/>
      </w:pPr>
      <w:r>
        <w:rPr>
          <w:rFonts w:ascii="Aptos" w:hAnsi="Aptos" w:eastAsia="Aptos"/>
          <w:b w:val="0"/>
          <w:i w:val="0"/>
          <w:color w:val="0A1628"/>
          <w:sz w:val="20"/>
        </w:rPr>
        <w:t>Unaccepted handovers.</w:t>
      </w:r>
    </w:p>
    <w:p>
      <w:pPr>
        <w:pStyle w:val="ListBullet"/>
        <w:ind w:left="0"/>
      </w:pPr>
      <w:r>
        <w:rPr>
          <w:rFonts w:ascii="Aptos" w:hAnsi="Aptos" w:eastAsia="Aptos"/>
          <w:b w:val="0"/>
          <w:i w:val="0"/>
          <w:color w:val="0A1628"/>
          <w:sz w:val="20"/>
        </w:rPr>
        <w:t>No tracking update beyond configured hours.</w:t>
      </w:r>
    </w:p>
    <w:p>
      <w:pPr>
        <w:pStyle w:val="ListBullet"/>
        <w:ind w:left="0"/>
      </w:pPr>
      <w:r>
        <w:rPr>
          <w:rFonts w:ascii="Aptos" w:hAnsi="Aptos" w:eastAsia="Aptos"/>
          <w:b w:val="0"/>
          <w:i w:val="0"/>
          <w:color w:val="0A1628"/>
          <w:sz w:val="20"/>
        </w:rPr>
        <w:t>SLA overdue.</w:t>
      </w:r>
    </w:p>
    <w:p>
      <w:pPr>
        <w:pStyle w:val="ListBullet"/>
        <w:ind w:left="0"/>
      </w:pPr>
      <w:r>
        <w:rPr>
          <w:rFonts w:ascii="Aptos" w:hAnsi="Aptos" w:eastAsia="Aptos"/>
          <w:b w:val="0"/>
          <w:i w:val="0"/>
          <w:color w:val="0A1628"/>
          <w:sz w:val="20"/>
        </w:rPr>
        <w:t>Failed deliveries.</w:t>
      </w:r>
    </w:p>
    <w:p>
      <w:pPr>
        <w:pStyle w:val="ListBullet"/>
        <w:ind w:left="0"/>
      </w:pPr>
      <w:r>
        <w:rPr>
          <w:rFonts w:ascii="Aptos" w:hAnsi="Aptos" w:eastAsia="Aptos"/>
          <w:b w:val="0"/>
          <w:i w:val="0"/>
          <w:color w:val="0A1628"/>
          <w:sz w:val="20"/>
        </w:rPr>
        <w:t>Returns in transit.</w:t>
      </w:r>
    </w:p>
    <w:p>
      <w:pPr>
        <w:pStyle w:val="ListBullet"/>
        <w:ind w:left="0"/>
      </w:pPr>
      <w:r>
        <w:rPr>
          <w:rFonts w:ascii="Aptos" w:hAnsi="Aptos" w:eastAsia="Aptos"/>
          <w:b w:val="0"/>
          <w:i w:val="0"/>
          <w:color w:val="0A1628"/>
          <w:sz w:val="20"/>
        </w:rPr>
        <w:t>Missing POD.</w:t>
      </w:r>
    </w:p>
    <w:p>
      <w:pPr>
        <w:pStyle w:val="ListBullet"/>
        <w:ind w:left="0"/>
      </w:pPr>
      <w:r>
        <w:rPr>
          <w:rFonts w:ascii="Aptos" w:hAnsi="Aptos" w:eastAsia="Aptos"/>
          <w:b w:val="0"/>
          <w:i w:val="0"/>
          <w:color w:val="0A1628"/>
          <w:sz w:val="20"/>
        </w:rPr>
        <w:t>COD held by partners.</w:t>
      </w:r>
    </w:p>
    <w:p>
      <w:pPr>
        <w:pStyle w:val="ListBullet"/>
        <w:ind w:left="0"/>
      </w:pPr>
      <w:r>
        <w:rPr>
          <w:rFonts w:ascii="Aptos" w:hAnsi="Aptos" w:eastAsia="Aptos"/>
          <w:b w:val="0"/>
          <w:i w:val="0"/>
          <w:color w:val="0A1628"/>
          <w:sz w:val="20"/>
        </w:rPr>
        <w:t>COD held by branches.</w:t>
      </w:r>
    </w:p>
    <w:p>
      <w:pPr>
        <w:pStyle w:val="ListBullet"/>
        <w:ind w:left="0"/>
      </w:pPr>
      <w:r>
        <w:rPr>
          <w:rFonts w:ascii="Aptos" w:hAnsi="Aptos" w:eastAsia="Aptos"/>
          <w:b w:val="0"/>
          <w:i w:val="0"/>
          <w:color w:val="0A1628"/>
          <w:sz w:val="20"/>
        </w:rPr>
        <w:t>Partner service payable.</w:t>
      </w:r>
    </w:p>
    <w:p>
      <w:pPr>
        <w:pStyle w:val="ListBullet"/>
        <w:ind w:left="0"/>
      </w:pPr>
      <w:r>
        <w:rPr>
          <w:rFonts w:ascii="Aptos" w:hAnsi="Aptos" w:eastAsia="Aptos"/>
          <w:b w:val="0"/>
          <w:i w:val="0"/>
          <w:color w:val="0A1628"/>
          <w:sz w:val="20"/>
        </w:rPr>
        <w:t>Outstanding partner remittance.</w:t>
      </w:r>
    </w:p>
    <w:p>
      <w:pPr>
        <w:pStyle w:val="ListBullet"/>
        <w:ind w:left="0"/>
      </w:pPr>
      <w:r>
        <w:rPr>
          <w:rFonts w:ascii="Aptos" w:hAnsi="Aptos" w:eastAsia="Aptos"/>
          <w:b w:val="0"/>
          <w:i w:val="0"/>
          <w:color w:val="0A1628"/>
          <w:sz w:val="20"/>
        </w:rPr>
        <w:t>Branch cash outstanding.</w:t>
      </w:r>
    </w:p>
    <w:p>
      <w:pPr>
        <w:pStyle w:val="ListBullet"/>
        <w:ind w:left="0"/>
      </w:pPr>
      <w:r>
        <w:rPr>
          <w:rFonts w:ascii="Aptos" w:hAnsi="Aptos" w:eastAsia="Aptos"/>
          <w:b w:val="0"/>
          <w:i w:val="0"/>
          <w:color w:val="0A1628"/>
          <w:sz w:val="20"/>
        </w:rPr>
        <w:t>Outsourced gross margin.</w:t>
      </w:r>
    </w:p>
    <w:p>
      <w:pPr>
        <w:pStyle w:val="ListBullet"/>
        <w:ind w:left="0"/>
      </w:pPr>
      <w:r>
        <w:rPr>
          <w:rFonts w:ascii="Aptos" w:hAnsi="Aptos" w:eastAsia="Aptos"/>
          <w:b w:val="0"/>
          <w:i w:val="0"/>
          <w:color w:val="0A1628"/>
          <w:sz w:val="20"/>
        </w:rPr>
        <w:t>Open disputes.</w:t>
      </w:r>
    </w:p>
    <w:p>
      <w:r>
        <w:rPr>
          <w:rFonts w:ascii="Aptos" w:hAnsi="Aptos" w:eastAsia="Aptos"/>
          <w:b w:val="0"/>
          <w:i w:val="0"/>
          <w:color w:val="0A1628"/>
          <w:sz w:val="20"/>
        </w:rPr>
        <w:t>Required table columns:</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Way ID</w:t>
              <w:br/>
              <w:t>Pickup ID</w:t>
              <w:br/>
              <w:t>Merchant</w:t>
              <w:br/>
              <w:t>Destination</w:t>
              <w:br/>
              <w:t>Managing Branch</w:t>
              <w:br/>
              <w:t>Execution Mode</w:t>
              <w:br/>
              <w:t>Provider</w:t>
              <w:br/>
              <w:t>Partner Tracking ID</w:t>
              <w:br/>
              <w:t>Handover Status</w:t>
              <w:br/>
              <w:t>Last Tracking Status</w:t>
              <w:br/>
              <w:t>Last Update</w:t>
              <w:br/>
              <w:t>Expected Delivery</w:t>
              <w:br/>
              <w:t>POD Status</w:t>
              <w:br/>
              <w:t>COD Amount</w:t>
              <w:br/>
              <w:t>COD Custodian</w:t>
              <w:br/>
              <w:t>COD Remitted</w:t>
              <w:br/>
              <w:t>Partner Cost</w:t>
              <w:br/>
              <w:t>Financial Status</w:t>
              <w:br/>
              <w:t>Exception</w:t>
              <w:br/>
              <w:t>Actions</w:t>
            </w:r>
          </w:p>
        </w:tc>
      </w:tr>
    </w:tbl>
    <w:p>
      <w:pPr>
        <w:spacing w:after="0"/>
      </w:pPr>
    </w:p>
    <w:p>
      <w:pPr>
        <w:pStyle w:val="Heading3"/>
        <w:keepNext/>
      </w:pPr>
      <w:r>
        <w:rPr>
          <w:rFonts w:ascii="Aptos" w:hAnsi="Aptos" w:eastAsia="Aptos"/>
          <w:b w:val="0"/>
          <w:i w:val="0"/>
          <w:color w:val="0A1628"/>
          <w:sz w:val="20"/>
        </w:rPr>
        <w:t>8.9 SLA and exception monitoring</w:t>
      </w:r>
    </w:p>
    <w:p>
      <w:r>
        <w:rPr>
          <w:rFonts w:ascii="Aptos" w:hAnsi="Aptos" w:eastAsia="Aptos"/>
          <w:b w:val="0"/>
          <w:i w:val="0"/>
          <w:color w:val="0A1628"/>
          <w:sz w:val="20"/>
        </w:rPr>
        <w:t>Create automated exception codes:</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NO_PROVIDER_AVAILABLE</w:t>
              <w:br/>
              <w:t>PROVIDER_ASSIGNMENT_REJECTED</w:t>
              <w:br/>
              <w:t>HANDOVER_NOT_ACCEPTED</w:t>
              <w:br/>
              <w:t>MANIFEST_PARCEL_MISMATCH</w:t>
              <w:br/>
              <w:t>NO_TRACKING_UPDATE</w:t>
              <w:br/>
              <w:t>SLA_AT_RISK</w:t>
              <w:br/>
              <w:t>SLA_BREACHED</w:t>
              <w:br/>
              <w:t>DELIVERY_FAILED</w:t>
              <w:br/>
              <w:t>MAX_ATTEMPTS_REACHED</w:t>
              <w:br/>
              <w:t>POD_MISSING</w:t>
              <w:br/>
              <w:t>POD_REJECTED</w:t>
              <w:br/>
              <w:t>COD_NOT_REMITTED</w:t>
              <w:br/>
              <w:t>COD_REMITTANCE_SHORT</w:t>
              <w:br/>
              <w:t>COD_REMITTANCE_OVER</w:t>
              <w:br/>
              <w:t>PARTNER_RATE_NOT_FOUND</w:t>
              <w:br/>
              <w:t>PARTNER_INVOICE_MISMATCH</w:t>
              <w:br/>
              <w:t>PARTNER_DUPLICATE_CHARGE</w:t>
              <w:br/>
              <w:t>RETURN_OVERDUE</w:t>
              <w:br/>
              <w:t>PARCEL_LOST</w:t>
              <w:br/>
              <w:t>PARCEL_DAMAGED</w:t>
              <w:br/>
              <w:t>BRANCH_CASH_NOT_HANDED_OVER</w:t>
              <w:br/>
              <w:t>BRANCH_RECONCILIATION_MISMATCH</w:t>
            </w:r>
          </w:p>
        </w:tc>
      </w:tr>
    </w:tbl>
    <w:p>
      <w:pPr>
        <w:spacing w:after="0"/>
      </w:pPr>
    </w:p>
    <w:p>
      <w:r>
        <w:rPr>
          <w:rFonts w:ascii="Aptos" w:hAnsi="Aptos" w:eastAsia="Aptos"/>
          <w:b w:val="0"/>
          <w:i w:val="0"/>
          <w:color w:val="0A1628"/>
          <w:sz w:val="20"/>
        </w:rPr>
        <w:t>Each exception must have:</w:t>
      </w:r>
    </w:p>
    <w:p>
      <w:pPr>
        <w:pStyle w:val="ListBullet"/>
        <w:ind w:left="0"/>
      </w:pPr>
      <w:r>
        <w:rPr>
          <w:rFonts w:ascii="Aptos" w:hAnsi="Aptos" w:eastAsia="Aptos"/>
          <w:b w:val="0"/>
          <w:i w:val="0"/>
          <w:color w:val="0A1628"/>
          <w:sz w:val="20"/>
        </w:rPr>
        <w:t>Owner.</w:t>
      </w:r>
    </w:p>
    <w:p>
      <w:pPr>
        <w:pStyle w:val="ListBullet"/>
        <w:ind w:left="0"/>
      </w:pPr>
      <w:r>
        <w:rPr>
          <w:rFonts w:ascii="Aptos" w:hAnsi="Aptos" w:eastAsia="Aptos"/>
          <w:b w:val="0"/>
          <w:i w:val="0"/>
          <w:color w:val="0A1628"/>
          <w:sz w:val="20"/>
        </w:rPr>
        <w:t>Responsible provider or branch.</w:t>
      </w:r>
    </w:p>
    <w:p>
      <w:pPr>
        <w:pStyle w:val="ListBullet"/>
        <w:ind w:left="0"/>
      </w:pPr>
      <w:r>
        <w:rPr>
          <w:rFonts w:ascii="Aptos" w:hAnsi="Aptos" w:eastAsia="Aptos"/>
          <w:b w:val="0"/>
          <w:i w:val="0"/>
          <w:color w:val="0A1628"/>
          <w:sz w:val="20"/>
        </w:rPr>
        <w:t>Opened time.</w:t>
      </w:r>
    </w:p>
    <w:p>
      <w:pPr>
        <w:pStyle w:val="ListBullet"/>
        <w:ind w:left="0"/>
      </w:pPr>
      <w:r>
        <w:rPr>
          <w:rFonts w:ascii="Aptos" w:hAnsi="Aptos" w:eastAsia="Aptos"/>
          <w:b w:val="0"/>
          <w:i w:val="0"/>
          <w:color w:val="0A1628"/>
          <w:sz w:val="20"/>
        </w:rPr>
        <w:t>Severity.</w:t>
      </w:r>
    </w:p>
    <w:p>
      <w:pPr>
        <w:pStyle w:val="ListBullet"/>
        <w:ind w:left="0"/>
      </w:pPr>
      <w:r>
        <w:rPr>
          <w:rFonts w:ascii="Aptos" w:hAnsi="Aptos" w:eastAsia="Aptos"/>
          <w:b w:val="0"/>
          <w:i w:val="0"/>
          <w:color w:val="0A1628"/>
          <w:sz w:val="20"/>
        </w:rPr>
        <w:t>SLA deadline.</w:t>
      </w:r>
    </w:p>
    <w:p>
      <w:pPr>
        <w:pStyle w:val="ListBullet"/>
        <w:ind w:left="0"/>
      </w:pPr>
      <w:r>
        <w:rPr>
          <w:rFonts w:ascii="Aptos" w:hAnsi="Aptos" w:eastAsia="Aptos"/>
          <w:b w:val="0"/>
          <w:i w:val="0"/>
          <w:color w:val="0A1628"/>
          <w:sz w:val="20"/>
        </w:rPr>
        <w:t>Evidence.</w:t>
      </w:r>
    </w:p>
    <w:p>
      <w:pPr>
        <w:pStyle w:val="ListBullet"/>
        <w:ind w:left="0"/>
      </w:pPr>
      <w:r>
        <w:rPr>
          <w:rFonts w:ascii="Aptos" w:hAnsi="Aptos" w:eastAsia="Aptos"/>
          <w:b w:val="0"/>
          <w:i w:val="0"/>
          <w:color w:val="0A1628"/>
          <w:sz w:val="20"/>
        </w:rPr>
        <w:t>Resolution action.</w:t>
      </w:r>
    </w:p>
    <w:p>
      <w:pPr>
        <w:pStyle w:val="ListBullet"/>
        <w:ind w:left="0"/>
      </w:pPr>
      <w:r>
        <w:rPr>
          <w:rFonts w:ascii="Aptos" w:hAnsi="Aptos" w:eastAsia="Aptos"/>
          <w:b w:val="0"/>
          <w:i w:val="0"/>
          <w:color w:val="0A1628"/>
          <w:sz w:val="20"/>
        </w:rPr>
        <w:t>Resolution approval.</w:t>
      </w:r>
    </w:p>
    <w:p>
      <w:pPr>
        <w:pStyle w:val="ListBullet"/>
        <w:ind w:left="0"/>
      </w:pPr>
      <w:r>
        <w:rPr>
          <w:rFonts w:ascii="Aptos" w:hAnsi="Aptos" w:eastAsia="Aptos"/>
          <w:b w:val="0"/>
          <w:i w:val="0"/>
          <w:color w:val="0A1628"/>
          <w:sz w:val="20"/>
        </w:rPr>
        <w:t>Financial impact.</w:t>
      </w:r>
    </w:p>
    <w:p>
      <w:pPr>
        <w:pStyle w:val="ListBullet"/>
        <w:ind w:left="0"/>
      </w:pPr>
      <w:r>
        <w:rPr>
          <w:rFonts w:ascii="Aptos" w:hAnsi="Aptos" w:eastAsia="Aptos"/>
          <w:b w:val="0"/>
          <w:i w:val="0"/>
          <w:color w:val="0A1628"/>
          <w:sz w:val="20"/>
        </w:rPr>
        <w:t>Audit history.</w:t>
      </w:r>
    </w:p>
    <w:p>
      <w:pPr>
        <w:pStyle w:val="Heading3"/>
        <w:keepNext/>
      </w:pPr>
      <w:r>
        <w:rPr>
          <w:rFonts w:ascii="Aptos" w:hAnsi="Aptos" w:eastAsia="Aptos"/>
          <w:b w:val="0"/>
          <w:i w:val="0"/>
          <w:color w:val="0A1628"/>
          <w:sz w:val="20"/>
        </w:rPr>
        <w:t>8.10 Proof of delivery</w:t>
      </w:r>
    </w:p>
    <w:p>
      <w:r>
        <w:rPr>
          <w:rFonts w:ascii="Aptos" w:hAnsi="Aptos" w:eastAsia="Aptos"/>
          <w:b w:val="0"/>
          <w:i w:val="0"/>
          <w:color w:val="0A1628"/>
          <w:sz w:val="20"/>
        </w:rPr>
        <w:t>The system must store provider POD separately from Britium internal proof.</w:t>
      </w:r>
    </w:p>
    <w:p>
      <w:r>
        <w:rPr>
          <w:rFonts w:ascii="Aptos" w:hAnsi="Aptos" w:eastAsia="Aptos"/>
          <w:b w:val="0"/>
          <w:i w:val="0"/>
          <w:color w:val="0A1628"/>
          <w:sz w:val="20"/>
        </w:rPr>
        <w:t>Supported POD components:</w:t>
      </w:r>
    </w:p>
    <w:p>
      <w:pPr>
        <w:pStyle w:val="ListBullet"/>
        <w:ind w:left="0"/>
      </w:pPr>
      <w:r>
        <w:rPr>
          <w:rFonts w:ascii="Aptos" w:hAnsi="Aptos" w:eastAsia="Aptos"/>
          <w:b w:val="0"/>
          <w:i w:val="0"/>
          <w:color w:val="0A1628"/>
          <w:sz w:val="20"/>
        </w:rPr>
        <w:t>Receiver name.</w:t>
      </w:r>
    </w:p>
    <w:p>
      <w:pPr>
        <w:pStyle w:val="ListBullet"/>
        <w:ind w:left="0"/>
      </w:pPr>
      <w:r>
        <w:rPr>
          <w:rFonts w:ascii="Aptos" w:hAnsi="Aptos" w:eastAsia="Aptos"/>
          <w:b w:val="0"/>
          <w:i w:val="0"/>
          <w:color w:val="0A1628"/>
          <w:sz w:val="20"/>
        </w:rPr>
        <w:t>Receiver phone confirmation where permitted.</w:t>
      </w:r>
    </w:p>
    <w:p>
      <w:pPr>
        <w:pStyle w:val="ListBullet"/>
        <w:ind w:left="0"/>
      </w:pPr>
      <w:r>
        <w:rPr>
          <w:rFonts w:ascii="Aptos" w:hAnsi="Aptos" w:eastAsia="Aptos"/>
          <w:b w:val="0"/>
          <w:i w:val="0"/>
          <w:color w:val="0A1628"/>
          <w:sz w:val="20"/>
        </w:rPr>
        <w:t>Signature.</w:t>
      </w:r>
    </w:p>
    <w:p>
      <w:pPr>
        <w:pStyle w:val="ListBullet"/>
        <w:ind w:left="0"/>
      </w:pPr>
      <w:r>
        <w:rPr>
          <w:rFonts w:ascii="Aptos" w:hAnsi="Aptos" w:eastAsia="Aptos"/>
          <w:b w:val="0"/>
          <w:i w:val="0"/>
          <w:color w:val="0A1628"/>
          <w:sz w:val="20"/>
        </w:rPr>
        <w:t>Parcel photograph.</w:t>
      </w:r>
    </w:p>
    <w:p>
      <w:pPr>
        <w:pStyle w:val="ListBullet"/>
        <w:ind w:left="0"/>
      </w:pPr>
      <w:r>
        <w:rPr>
          <w:rFonts w:ascii="Aptos" w:hAnsi="Aptos" w:eastAsia="Aptos"/>
          <w:b w:val="0"/>
          <w:i w:val="0"/>
          <w:color w:val="0A1628"/>
          <w:sz w:val="20"/>
        </w:rPr>
        <w:t>Delivery-location photograph.</w:t>
      </w:r>
    </w:p>
    <w:p>
      <w:pPr>
        <w:pStyle w:val="ListBullet"/>
        <w:ind w:left="0"/>
      </w:pPr>
      <w:r>
        <w:rPr>
          <w:rFonts w:ascii="Aptos" w:hAnsi="Aptos" w:eastAsia="Aptos"/>
          <w:b w:val="0"/>
          <w:i w:val="0"/>
          <w:color w:val="0A1628"/>
          <w:sz w:val="20"/>
        </w:rPr>
        <w:t>GPS coordinates.</w:t>
      </w:r>
    </w:p>
    <w:p>
      <w:pPr>
        <w:pStyle w:val="ListBullet"/>
        <w:ind w:left="0"/>
      </w:pPr>
      <w:r>
        <w:rPr>
          <w:rFonts w:ascii="Aptos" w:hAnsi="Aptos" w:eastAsia="Aptos"/>
          <w:b w:val="0"/>
          <w:i w:val="0"/>
          <w:color w:val="0A1628"/>
          <w:sz w:val="20"/>
        </w:rPr>
        <w:t>Delivery timestamp.</w:t>
      </w:r>
    </w:p>
    <w:p>
      <w:pPr>
        <w:pStyle w:val="ListBullet"/>
        <w:ind w:left="0"/>
      </w:pPr>
      <w:r>
        <w:rPr>
          <w:rFonts w:ascii="Aptos" w:hAnsi="Aptos" w:eastAsia="Aptos"/>
          <w:b w:val="0"/>
          <w:i w:val="0"/>
          <w:color w:val="0A1628"/>
          <w:sz w:val="20"/>
        </w:rPr>
        <w:t>Partner POD document.</w:t>
      </w:r>
    </w:p>
    <w:p>
      <w:pPr>
        <w:pStyle w:val="ListBullet"/>
        <w:ind w:left="0"/>
      </w:pPr>
      <w:r>
        <w:rPr>
          <w:rFonts w:ascii="Aptos" w:hAnsi="Aptos" w:eastAsia="Aptos"/>
          <w:b w:val="0"/>
          <w:i w:val="0"/>
          <w:color w:val="0A1628"/>
          <w:sz w:val="20"/>
        </w:rPr>
        <w:t>Provider delivery agent reference.</w:t>
      </w:r>
    </w:p>
    <w:p>
      <w:pPr>
        <w:pStyle w:val="ListBullet"/>
        <w:ind w:left="0"/>
      </w:pPr>
      <w:r>
        <w:rPr>
          <w:rFonts w:ascii="Aptos" w:hAnsi="Aptos" w:eastAsia="Aptos"/>
          <w:b w:val="0"/>
          <w:i w:val="0"/>
          <w:color w:val="0A1628"/>
          <w:sz w:val="20"/>
        </w:rPr>
        <w:t>Exception reason when signature or photo is unavailable.</w:t>
      </w:r>
    </w:p>
    <w:p>
      <w:r>
        <w:rPr>
          <w:rFonts w:ascii="Aptos" w:hAnsi="Aptos" w:eastAsia="Aptos"/>
          <w:b w:val="0"/>
          <w:i w:val="0"/>
          <w:color w:val="0A1628"/>
          <w:sz w:val="20"/>
        </w:rPr>
        <w:t>POD approval statuses:</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PENDING</w:t>
              <w:br/>
              <w:t>RECEIVED</w:t>
              <w:br/>
              <w:t>VALIDATED</w:t>
              <w:br/>
              <w:t>REJECTED</w:t>
              <w:br/>
              <w:t>WAIVED_WITH_AUTHORIZATION</w:t>
            </w:r>
          </w:p>
        </w:tc>
      </w:tr>
    </w:tbl>
    <w:p>
      <w:pPr>
        <w:spacing w:after="0"/>
      </w:pPr>
    </w:p>
    <w:p>
      <w:r>
        <w:rPr>
          <w:rFonts w:ascii="Aptos" w:hAnsi="Aptos" w:eastAsia="Aptos"/>
          <w:b w:val="0"/>
          <w:i w:val="0"/>
          <w:color w:val="0A1628"/>
          <w:sz w:val="20"/>
        </w:rPr>
        <w:t>Only validated or authorized POD may make a parcel financially settlement-eligible.</w:t>
      </w:r>
    </w:p>
    <w:p>
      <w:pPr>
        <w:pStyle w:val="Heading3"/>
        <w:keepNext/>
      </w:pPr>
      <w:r>
        <w:rPr>
          <w:rFonts w:ascii="Aptos" w:hAnsi="Aptos" w:eastAsia="Aptos"/>
          <w:b w:val="0"/>
          <w:i w:val="0"/>
          <w:color w:val="0A1628"/>
          <w:sz w:val="20"/>
        </w:rPr>
        <w:t>8.11 COD custody and remittance</w:t>
      </w:r>
    </w:p>
    <w:p>
      <w:r>
        <w:rPr>
          <w:rFonts w:ascii="Aptos" w:hAnsi="Aptos" w:eastAsia="Aptos"/>
          <w:b w:val="0"/>
          <w:i w:val="0"/>
          <w:color w:val="0A1628"/>
          <w:sz w:val="20"/>
        </w:rPr>
        <w:t xml:space="preserve">The provider or branch must receive only the backend-calculated </w:t>
      </w:r>
      <w:r>
        <w:rPr>
          <w:rFonts w:ascii="Consolas" w:hAnsi="Consolas" w:eastAsia="Consolas"/>
          <w:b w:val="0"/>
          <w:i w:val="0"/>
          <w:color w:val="0A1628"/>
          <w:sz w:val="17"/>
          <w:shd w:fill="EEF2F6"/>
        </w:rPr>
        <w:t>cod_amount</w:t>
      </w:r>
      <w:r>
        <w:rPr>
          <w:rFonts w:ascii="Aptos" w:hAnsi="Aptos" w:eastAsia="Aptos"/>
          <w:b w:val="0"/>
          <w:i w:val="0"/>
          <w:color w:val="0A1628"/>
          <w:sz w:val="20"/>
        </w:rPr>
        <w:t xml:space="preserve"> as the receiver collection instruction.</w:t>
      </w:r>
    </w:p>
    <w:p>
      <w:r>
        <w:rPr>
          <w:rFonts w:ascii="Aptos" w:hAnsi="Aptos" w:eastAsia="Aptos"/>
          <w:b w:val="0"/>
          <w:i w:val="0"/>
          <w:color w:val="0A1628"/>
          <w:sz w:val="20"/>
        </w:rPr>
        <w:t>Required COD custody values:</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BRITIUM_RIDER</w:t>
              <w:br/>
              <w:t>BRITIUM_BRANCH</w:t>
              <w:br/>
              <w:t>THIRD_PARTY_PROVIDER</w:t>
              <w:br/>
              <w:t>NO_COD</w:t>
            </w:r>
          </w:p>
        </w:tc>
      </w:tr>
    </w:tbl>
    <w:p>
      <w:pPr>
        <w:spacing w:after="0"/>
      </w:pPr>
    </w:p>
    <w:p>
      <w:r>
        <w:rPr>
          <w:rFonts w:ascii="Aptos" w:hAnsi="Aptos" w:eastAsia="Aptos"/>
          <w:b w:val="0"/>
          <w:i w:val="0"/>
          <w:color w:val="0A1628"/>
          <w:sz w:val="20"/>
        </w:rPr>
        <w:t>Store every handover:</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create table public.be_cod_custody_events (</w:t>
              <w:br/>
              <w:t xml:space="preserve">  custody_event_id uuid primary key default gen_random_uuid(),</w:t>
              <w:br/>
              <w:t xml:space="preserve">  delivery_way_id text not null,</w:t>
              <w:br/>
              <w:t xml:space="preserve">  event_type text not null,</w:t>
              <w:br/>
              <w:t xml:space="preserve">  from_custodian_type text,</w:t>
              <w:br/>
              <w:t xml:space="preserve">  from_custodian_id text,</w:t>
              <w:br/>
              <w:t xml:space="preserve">  to_custodian_type text,</w:t>
              <w:br/>
              <w:t xml:space="preserve">  to_custodian_id text,</w:t>
              <w:br/>
              <w:t xml:space="preserve">  amount_mmk bigint not null,</w:t>
              <w:br/>
              <w:t xml:space="preserve">  payment_method text not null,</w:t>
              <w:br/>
              <w:t xml:space="preserve">  reference_no text,</w:t>
              <w:br/>
              <w:t xml:space="preserve">  evidence_reference text,</w:t>
              <w:br/>
              <w:t xml:space="preserve">  event_at timestamptz not null,</w:t>
              <w:br/>
              <w:t xml:space="preserve">  recorded_by uuid,</w:t>
              <w:br/>
              <w:t xml:space="preserve">  approved_by uuid,</w:t>
              <w:br/>
              <w:t xml:space="preserve">  created_at timestamptz not null default now()</w:t>
              <w:br/>
              <w:t>);</w:t>
            </w:r>
          </w:p>
        </w:tc>
      </w:tr>
    </w:tbl>
    <w:p>
      <w:pPr>
        <w:spacing w:after="0"/>
      </w:pPr>
    </w:p>
    <w:p>
      <w:r>
        <w:rPr>
          <w:rFonts w:ascii="Aptos" w:hAnsi="Aptos" w:eastAsia="Aptos"/>
          <w:b w:val="0"/>
          <w:i w:val="0"/>
          <w:color w:val="0A1628"/>
          <w:sz w:val="20"/>
        </w:rPr>
        <w:t>COD event types:</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CUSTOMER_COLLECTED</w:t>
              <w:br/>
              <w:t>BRANCH_RECEIVED</w:t>
              <w:br/>
              <w:t>PARTNER_RECEIVED</w:t>
              <w:br/>
              <w:t>BANK_DEPOSITED</w:t>
              <w:br/>
              <w:t>REMITTED_TO_BRITIUM</w:t>
              <w:br/>
              <w:t>REFUNDED_TO_CUSTOMER</w:t>
              <w:br/>
              <w:t>SHORTAGE_RECORDED</w:t>
              <w:br/>
              <w:t>OVERAGE_RECORDED</w:t>
              <w:br/>
              <w:t>ADJUSTMENT_APPROVED</w:t>
            </w:r>
          </w:p>
        </w:tc>
      </w:tr>
    </w:tbl>
    <w:p>
      <w:pPr>
        <w:spacing w:after="0"/>
      </w:pPr>
    </w:p>
    <w:p>
      <w:r>
        <w:rPr>
          <w:rFonts w:ascii="Aptos" w:hAnsi="Aptos" w:eastAsia="Aptos"/>
          <w:b w:val="0"/>
          <w:i w:val="0"/>
          <w:color w:val="0A1628"/>
          <w:sz w:val="20"/>
        </w:rPr>
        <w:t>The system must reconcile:</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expected_cod</w:t>
              <w:br/>
              <w:t>= backend cod_amount for delivered COD parcels</w:t>
            </w:r>
          </w:p>
        </w:tc>
      </w:tr>
    </w:tbl>
    <w:p>
      <w:pPr>
        <w:spacing w:after="0"/>
      </w:pP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cod_outstanding_with_provider</w:t>
              <w:br/>
              <w:t>= provider_collected</w:t>
              <w:br/>
              <w:t>- provider_remitted</w:t>
              <w:br/>
              <w:t>- approved_customer_refunds</w:t>
              <w:br/>
              <w:t>- approved_cod_adjustments</w:t>
            </w:r>
          </w:p>
        </w:tc>
      </w:tr>
    </w:tbl>
    <w:p>
      <w:pPr>
        <w:spacing w:after="0"/>
      </w:pPr>
    </w:p>
    <w:p>
      <w:r>
        <w:rPr>
          <w:rFonts w:ascii="Aptos" w:hAnsi="Aptos" w:eastAsia="Aptos"/>
          <w:b w:val="0"/>
          <w:i w:val="0"/>
          <w:color w:val="0A1628"/>
          <w:sz w:val="20"/>
        </w:rPr>
        <w:t>A service-fee netting arrangement must not hide COD custody. Gross COD collected and service payable must always be stored separately, even when only the net amount is transferred.</w:t>
      </w:r>
    </w:p>
    <w:p>
      <w:pPr>
        <w:pStyle w:val="Heading3"/>
        <w:keepNext/>
      </w:pPr>
      <w:r>
        <w:rPr>
          <w:rFonts w:ascii="Aptos" w:hAnsi="Aptos" w:eastAsia="Aptos"/>
          <w:b w:val="0"/>
          <w:i w:val="0"/>
          <w:color w:val="0A1628"/>
          <w:sz w:val="20"/>
        </w:rPr>
        <w:t>8.12 Partner tariff and contract master</w:t>
      </w:r>
    </w:p>
    <w:p>
      <w:r>
        <w:rPr>
          <w:rFonts w:ascii="Aptos" w:hAnsi="Aptos" w:eastAsia="Aptos"/>
          <w:b w:val="0"/>
          <w:i w:val="0"/>
          <w:color w:val="0A1628"/>
          <w:sz w:val="20"/>
        </w:rPr>
        <w:t>Partner pricing must be separate from Britium's customer tariff master.</w:t>
      </w:r>
    </w:p>
    <w:p>
      <w:r>
        <w:rPr>
          <w:rFonts w:ascii="Aptos" w:hAnsi="Aptos" w:eastAsia="Aptos"/>
          <w:b w:val="0"/>
          <w:i w:val="0"/>
          <w:color w:val="0A1628"/>
          <w:sz w:val="20"/>
        </w:rPr>
        <w:t>Create an effective-dated partner tariff master supporting:</w:t>
      </w:r>
    </w:p>
    <w:p>
      <w:pPr>
        <w:pStyle w:val="ListBullet"/>
        <w:ind w:left="0"/>
      </w:pPr>
      <w:r>
        <w:rPr>
          <w:rFonts w:ascii="Aptos" w:hAnsi="Aptos" w:eastAsia="Aptos"/>
          <w:b w:val="0"/>
          <w:i w:val="0"/>
          <w:color w:val="0A1628"/>
          <w:sz w:val="20"/>
        </w:rPr>
        <w:t>Provider.</w:t>
      </w:r>
    </w:p>
    <w:p>
      <w:pPr>
        <w:pStyle w:val="ListBullet"/>
        <w:ind w:left="0"/>
      </w:pPr>
      <w:r>
        <w:rPr>
          <w:rFonts w:ascii="Aptos" w:hAnsi="Aptos" w:eastAsia="Aptos"/>
          <w:b w:val="0"/>
          <w:i w:val="0"/>
          <w:color w:val="0A1628"/>
          <w:sz w:val="20"/>
        </w:rPr>
        <w:t>Origin.</w:t>
      </w:r>
    </w:p>
    <w:p>
      <w:pPr>
        <w:pStyle w:val="ListBullet"/>
        <w:ind w:left="0"/>
      </w:pPr>
      <w:r>
        <w:rPr>
          <w:rFonts w:ascii="Aptos" w:hAnsi="Aptos" w:eastAsia="Aptos"/>
          <w:b w:val="0"/>
          <w:i w:val="0"/>
          <w:color w:val="0A1628"/>
          <w:sz w:val="20"/>
        </w:rPr>
        <w:t>Destination.</w:t>
      </w:r>
    </w:p>
    <w:p>
      <w:pPr>
        <w:pStyle w:val="ListBullet"/>
        <w:ind w:left="0"/>
      </w:pPr>
      <w:r>
        <w:rPr>
          <w:rFonts w:ascii="Aptos" w:hAnsi="Aptos" w:eastAsia="Aptos"/>
          <w:b w:val="0"/>
          <w:i w:val="0"/>
          <w:color w:val="0A1628"/>
          <w:sz w:val="20"/>
        </w:rPr>
        <w:t>Service type.</w:t>
      </w:r>
    </w:p>
    <w:p>
      <w:pPr>
        <w:pStyle w:val="ListBullet"/>
        <w:ind w:left="0"/>
      </w:pPr>
      <w:r>
        <w:rPr>
          <w:rFonts w:ascii="Aptos" w:hAnsi="Aptos" w:eastAsia="Aptos"/>
          <w:b w:val="0"/>
          <w:i w:val="0"/>
          <w:color w:val="0A1628"/>
          <w:sz w:val="20"/>
        </w:rPr>
        <w:t>Base fee.</w:t>
      </w:r>
    </w:p>
    <w:p>
      <w:pPr>
        <w:pStyle w:val="ListBullet"/>
        <w:ind w:left="0"/>
      </w:pPr>
      <w:r>
        <w:rPr>
          <w:rFonts w:ascii="Aptos" w:hAnsi="Aptos" w:eastAsia="Aptos"/>
          <w:b w:val="0"/>
          <w:i w:val="0"/>
          <w:color w:val="0A1628"/>
          <w:sz w:val="20"/>
        </w:rPr>
        <w:t>Included weight.</w:t>
      </w:r>
    </w:p>
    <w:p>
      <w:pPr>
        <w:pStyle w:val="ListBullet"/>
        <w:ind w:left="0"/>
      </w:pPr>
      <w:r>
        <w:rPr>
          <w:rFonts w:ascii="Aptos" w:hAnsi="Aptos" w:eastAsia="Aptos"/>
          <w:b w:val="0"/>
          <w:i w:val="0"/>
          <w:color w:val="0A1628"/>
          <w:sz w:val="20"/>
        </w:rPr>
        <w:t>Extra charge per kilogram.</w:t>
      </w:r>
    </w:p>
    <w:p>
      <w:pPr>
        <w:pStyle w:val="ListBullet"/>
        <w:ind w:left="0"/>
      </w:pPr>
      <w:r>
        <w:rPr>
          <w:rFonts w:ascii="Aptos" w:hAnsi="Aptos" w:eastAsia="Aptos"/>
          <w:b w:val="0"/>
          <w:i w:val="0"/>
          <w:color w:val="0A1628"/>
          <w:sz w:val="20"/>
        </w:rPr>
        <w:t>CBM charge.</w:t>
      </w:r>
    </w:p>
    <w:p>
      <w:pPr>
        <w:pStyle w:val="ListBullet"/>
        <w:ind w:left="0"/>
      </w:pPr>
      <w:r>
        <w:rPr>
          <w:rFonts w:ascii="Aptos" w:hAnsi="Aptos" w:eastAsia="Aptos"/>
          <w:b w:val="0"/>
          <w:i w:val="0"/>
          <w:color w:val="0A1628"/>
          <w:sz w:val="20"/>
        </w:rPr>
        <w:t>Remote-area surcharge.</w:t>
      </w:r>
    </w:p>
    <w:p>
      <w:pPr>
        <w:pStyle w:val="ListBullet"/>
        <w:ind w:left="0"/>
      </w:pPr>
      <w:r>
        <w:rPr>
          <w:rFonts w:ascii="Aptos" w:hAnsi="Aptos" w:eastAsia="Aptos"/>
          <w:b w:val="0"/>
          <w:i w:val="0"/>
          <w:color w:val="0A1628"/>
          <w:sz w:val="20"/>
        </w:rPr>
        <w:t>COD collection fee.</w:t>
      </w:r>
    </w:p>
    <w:p>
      <w:pPr>
        <w:pStyle w:val="ListBullet"/>
        <w:ind w:left="0"/>
      </w:pPr>
      <w:r>
        <w:rPr>
          <w:rFonts w:ascii="Aptos" w:hAnsi="Aptos" w:eastAsia="Aptos"/>
          <w:b w:val="0"/>
          <w:i w:val="0"/>
          <w:color w:val="0A1628"/>
          <w:sz w:val="20"/>
        </w:rPr>
        <w:t>Percentage COD fee where contractually applicable.</w:t>
      </w:r>
    </w:p>
    <w:p>
      <w:pPr>
        <w:pStyle w:val="ListBullet"/>
        <w:ind w:left="0"/>
      </w:pPr>
      <w:r>
        <w:rPr>
          <w:rFonts w:ascii="Aptos" w:hAnsi="Aptos" w:eastAsia="Aptos"/>
          <w:b w:val="0"/>
          <w:i w:val="0"/>
          <w:color w:val="0A1628"/>
          <w:sz w:val="20"/>
        </w:rPr>
        <w:t>Redelivery charge.</w:t>
      </w:r>
    </w:p>
    <w:p>
      <w:pPr>
        <w:pStyle w:val="ListBullet"/>
        <w:ind w:left="0"/>
      </w:pPr>
      <w:r>
        <w:rPr>
          <w:rFonts w:ascii="Aptos" w:hAnsi="Aptos" w:eastAsia="Aptos"/>
          <w:b w:val="0"/>
          <w:i w:val="0"/>
          <w:color w:val="0A1628"/>
          <w:sz w:val="20"/>
        </w:rPr>
        <w:t>Return charge.</w:t>
      </w:r>
    </w:p>
    <w:p>
      <w:pPr>
        <w:pStyle w:val="ListBullet"/>
        <w:ind w:left="0"/>
      </w:pPr>
      <w:r>
        <w:rPr>
          <w:rFonts w:ascii="Aptos" w:hAnsi="Aptos" w:eastAsia="Aptos"/>
          <w:b w:val="0"/>
          <w:i w:val="0"/>
          <w:color w:val="0A1628"/>
          <w:sz w:val="20"/>
        </w:rPr>
        <w:t>Handover or pickup charge.</w:t>
      </w:r>
    </w:p>
    <w:p>
      <w:pPr>
        <w:pStyle w:val="ListBullet"/>
        <w:ind w:left="0"/>
      </w:pPr>
      <w:r>
        <w:rPr>
          <w:rFonts w:ascii="Aptos" w:hAnsi="Aptos" w:eastAsia="Aptos"/>
          <w:b w:val="0"/>
          <w:i w:val="0"/>
          <w:color w:val="0A1628"/>
          <w:sz w:val="20"/>
        </w:rPr>
        <w:t>Insurance charge.</w:t>
      </w:r>
    </w:p>
    <w:p>
      <w:pPr>
        <w:pStyle w:val="ListBullet"/>
        <w:ind w:left="0"/>
      </w:pPr>
      <w:r>
        <w:rPr>
          <w:rFonts w:ascii="Aptos" w:hAnsi="Aptos" w:eastAsia="Aptos"/>
          <w:b w:val="0"/>
          <w:i w:val="0"/>
          <w:color w:val="0A1628"/>
          <w:sz w:val="20"/>
        </w:rPr>
        <w:t>Fuel surcharge.</w:t>
      </w:r>
    </w:p>
    <w:p>
      <w:pPr>
        <w:pStyle w:val="ListBullet"/>
        <w:ind w:left="0"/>
      </w:pPr>
      <w:r>
        <w:rPr>
          <w:rFonts w:ascii="Aptos" w:hAnsi="Aptos" w:eastAsia="Aptos"/>
          <w:b w:val="0"/>
          <w:i w:val="0"/>
          <w:color w:val="0A1628"/>
          <w:sz w:val="20"/>
        </w:rPr>
        <w:t>Tax.</w:t>
      </w:r>
    </w:p>
    <w:p>
      <w:pPr>
        <w:pStyle w:val="ListBullet"/>
        <w:ind w:left="0"/>
      </w:pPr>
      <w:r>
        <w:rPr>
          <w:rFonts w:ascii="Aptos" w:hAnsi="Aptos" w:eastAsia="Aptos"/>
          <w:b w:val="0"/>
          <w:i w:val="0"/>
          <w:color w:val="0A1628"/>
          <w:sz w:val="20"/>
        </w:rPr>
        <w:t>Volume discount.</w:t>
      </w:r>
    </w:p>
    <w:p>
      <w:pPr>
        <w:pStyle w:val="ListBullet"/>
        <w:ind w:left="0"/>
      </w:pPr>
      <w:r>
        <w:rPr>
          <w:rFonts w:ascii="Aptos" w:hAnsi="Aptos" w:eastAsia="Aptos"/>
          <w:b w:val="0"/>
          <w:i w:val="0"/>
          <w:color w:val="0A1628"/>
          <w:sz w:val="20"/>
        </w:rPr>
        <w:t>SLA service credit or penalty.</w:t>
      </w:r>
    </w:p>
    <w:p>
      <w:pPr>
        <w:pStyle w:val="ListBullet"/>
        <w:ind w:left="0"/>
      </w:pPr>
      <w:r>
        <w:rPr>
          <w:rFonts w:ascii="Aptos" w:hAnsi="Aptos" w:eastAsia="Aptos"/>
          <w:b w:val="0"/>
          <w:i w:val="0"/>
          <w:color w:val="0A1628"/>
          <w:sz w:val="20"/>
        </w:rPr>
        <w:t>Minimum monthly commitment.</w:t>
      </w:r>
    </w:p>
    <w:p>
      <w:pPr>
        <w:pStyle w:val="ListBullet"/>
        <w:ind w:left="0"/>
      </w:pPr>
      <w:r>
        <w:rPr>
          <w:rFonts w:ascii="Aptos" w:hAnsi="Aptos" w:eastAsia="Aptos"/>
          <w:b w:val="0"/>
          <w:i w:val="0"/>
          <w:color w:val="0A1628"/>
          <w:sz w:val="20"/>
        </w:rPr>
        <w:t>Currency.</w:t>
      </w:r>
    </w:p>
    <w:p>
      <w:pPr>
        <w:pStyle w:val="ListBullet"/>
        <w:ind w:left="0"/>
      </w:pPr>
      <w:r>
        <w:rPr>
          <w:rFonts w:ascii="Aptos" w:hAnsi="Aptos" w:eastAsia="Aptos"/>
          <w:b w:val="0"/>
          <w:i w:val="0"/>
          <w:color w:val="0A1628"/>
          <w:sz w:val="20"/>
        </w:rPr>
        <w:t>Effective dates.</w:t>
      </w:r>
    </w:p>
    <w:p>
      <w:pPr>
        <w:pStyle w:val="ListBullet"/>
        <w:ind w:left="0"/>
      </w:pPr>
      <w:r>
        <w:rPr>
          <w:rFonts w:ascii="Aptos" w:hAnsi="Aptos" w:eastAsia="Aptos"/>
          <w:b w:val="0"/>
          <w:i w:val="0"/>
          <w:color w:val="0A1628"/>
          <w:sz w:val="20"/>
        </w:rPr>
        <w:t>Approval status.</w:t>
      </w:r>
    </w:p>
    <w:p>
      <w:r>
        <w:rPr>
          <w:rFonts w:ascii="Aptos" w:hAnsi="Aptos" w:eastAsia="Aptos"/>
          <w:b w:val="0"/>
          <w:i w:val="0"/>
          <w:color w:val="0A1628"/>
          <w:sz w:val="20"/>
        </w:rPr>
        <w:t>Every outsourced Way must store a partner tariff snapshot. Historical settlement must not be recalculated from the latest partner tariff.</w:t>
      </w:r>
    </w:p>
    <w:p>
      <w:pPr>
        <w:pStyle w:val="Heading3"/>
        <w:keepNext/>
      </w:pPr>
      <w:r>
        <w:rPr>
          <w:rFonts w:ascii="Aptos" w:hAnsi="Aptos" w:eastAsia="Aptos"/>
          <w:b w:val="0"/>
          <w:i w:val="0"/>
          <w:color w:val="0A1628"/>
          <w:sz w:val="20"/>
        </w:rPr>
        <w:t>8.13 Partner service payable calculation</w:t>
      </w:r>
    </w:p>
    <w:p>
      <w:r>
        <w:rPr>
          <w:rFonts w:ascii="Aptos" w:hAnsi="Aptos" w:eastAsia="Aptos"/>
          <w:b w:val="0"/>
          <w:i w:val="0"/>
          <w:color w:val="0A1628"/>
          <w:sz w:val="20"/>
        </w:rPr>
        <w:t>Calculate the provider cost independently for each Way:</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partner_gross_service_charge</w:t>
              <w:br/>
              <w:t xml:space="preserve">  = partner_base_fee</w:t>
              <w:br/>
              <w:t xml:space="preserve">  + partner_weight_surcharge</w:t>
              <w:br/>
              <w:t xml:space="preserve">  + partner_cbm_surcharge</w:t>
              <w:br/>
              <w:t xml:space="preserve">  + partner_remote_surcharge</w:t>
              <w:br/>
              <w:t xml:space="preserve">  + partner_cod_fee</w:t>
              <w:br/>
              <w:t xml:space="preserve">  + partner_redelivery_charge</w:t>
              <w:br/>
              <w:t xml:space="preserve">  + partner_return_charge</w:t>
              <w:br/>
              <w:t xml:space="preserve">  + partner_other_approved_charge</w:t>
            </w:r>
          </w:p>
        </w:tc>
      </w:tr>
    </w:tbl>
    <w:p>
      <w:pPr>
        <w:spacing w:after="0"/>
      </w:pP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partner_service_payable</w:t>
              <w:br/>
              <w:t xml:space="preserve">  = partner_gross_service_charge</w:t>
              <w:br/>
              <w:t xml:space="preserve">  - partner_discount</w:t>
              <w:br/>
              <w:t xml:space="preserve">  - partner_sla_credit</w:t>
              <w:br/>
              <w:t xml:space="preserve">  - partner_penalty</w:t>
            </w:r>
          </w:p>
        </w:tc>
      </w:tr>
    </w:tbl>
    <w:p>
      <w:pPr>
        <w:spacing w:after="0"/>
      </w:pPr>
    </w:p>
    <w:p>
      <w:r>
        <w:rPr>
          <w:rFonts w:ascii="Aptos" w:hAnsi="Aptos" w:eastAsia="Aptos"/>
          <w:b w:val="0"/>
          <w:i w:val="0"/>
          <w:color w:val="0A1628"/>
          <w:sz w:val="20"/>
        </w:rPr>
        <w:t>The payable must be zero or positive unless a contract supports a net credit. Any negative result requires Finance review.</w:t>
      </w:r>
    </w:p>
    <w:p>
      <w:r>
        <w:rPr>
          <w:rFonts w:ascii="Aptos" w:hAnsi="Aptos" w:eastAsia="Aptos"/>
          <w:b w:val="0"/>
          <w:i w:val="0"/>
          <w:color w:val="0A1628"/>
          <w:sz w:val="20"/>
        </w:rPr>
        <w:t>Charges not supported by the tariff snapshot or approved evidence must be rejected or placed in dispute.</w:t>
      </w:r>
    </w:p>
    <w:p>
      <w:pPr>
        <w:pStyle w:val="Heading3"/>
        <w:keepNext/>
      </w:pPr>
      <w:r>
        <w:rPr>
          <w:rFonts w:ascii="Aptos" w:hAnsi="Aptos" w:eastAsia="Aptos"/>
          <w:b w:val="0"/>
          <w:i w:val="0"/>
          <w:color w:val="0A1628"/>
          <w:sz w:val="20"/>
        </w:rPr>
        <w:t>8.14 Third-party settlement methods</w:t>
      </w:r>
    </w:p>
    <w:p>
      <w:r>
        <w:rPr>
          <w:rFonts w:ascii="Aptos" w:hAnsi="Aptos" w:eastAsia="Aptos"/>
          <w:b w:val="0"/>
          <w:i w:val="0"/>
          <w:color w:val="0A1628"/>
          <w:sz w:val="20"/>
        </w:rPr>
        <w:t>Support two settlement methods.</w:t>
      </w:r>
    </w:p>
    <w:p>
      <w:pPr>
        <w:pStyle w:val="Heading4"/>
        <w:keepNext/>
      </w:pPr>
      <w:r>
        <w:rPr>
          <w:rFonts w:ascii="Aptos" w:hAnsi="Aptos" w:eastAsia="Aptos"/>
          <w:b w:val="0"/>
          <w:i w:val="0"/>
          <w:color w:val="0A1628"/>
          <w:sz w:val="20"/>
        </w:rPr>
        <w:t>Gross remittance</w:t>
      </w:r>
    </w:p>
    <w:p>
      <w:r>
        <w:rPr>
          <w:rFonts w:ascii="Aptos" w:hAnsi="Aptos" w:eastAsia="Aptos"/>
          <w:b w:val="0"/>
          <w:i w:val="0"/>
          <w:color w:val="0A1628"/>
          <w:sz w:val="20"/>
        </w:rPr>
        <w:t>The partner remits all customer collections to Britium. Britium pays the approved provider invoice separately.</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cash_due_from_partner</w:t>
              <w:br/>
              <w:t xml:space="preserve">  = partner_cod_collected</w:t>
              <w:br/>
              <w:t xml:space="preserve">  - customer_refunds</w:t>
              <w:br/>
              <w:t xml:space="preserve">  - prior_cod_remittances</w:t>
              <w:br/>
              <w:t xml:space="preserve">  - approved_cod_adjustments</w:t>
            </w:r>
          </w:p>
        </w:tc>
      </w:tr>
    </w:tbl>
    <w:p>
      <w:pPr>
        <w:spacing w:after="0"/>
      </w:pP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cash_payable_to_partner</w:t>
              <w:br/>
              <w:t xml:space="preserve">  = approved_partner_service_payable</w:t>
              <w:br/>
              <w:t xml:space="preserve">  - prior_service_payments</w:t>
            </w:r>
          </w:p>
        </w:tc>
      </w:tr>
    </w:tbl>
    <w:p>
      <w:pPr>
        <w:spacing w:after="0"/>
      </w:pPr>
    </w:p>
    <w:p>
      <w:pPr>
        <w:pStyle w:val="Heading4"/>
        <w:keepNext/>
      </w:pPr>
      <w:r>
        <w:rPr>
          <w:rFonts w:ascii="Aptos" w:hAnsi="Aptos" w:eastAsia="Aptos"/>
          <w:b w:val="0"/>
          <w:i w:val="0"/>
          <w:color w:val="0A1628"/>
          <w:sz w:val="20"/>
        </w:rPr>
        <w:t>Netted settlement</w:t>
      </w:r>
    </w:p>
    <w:p>
      <w:r>
        <w:rPr>
          <w:rFonts w:ascii="Aptos" w:hAnsi="Aptos" w:eastAsia="Aptos"/>
          <w:b w:val="0"/>
          <w:i w:val="0"/>
          <w:color w:val="0A1628"/>
          <w:sz w:val="20"/>
        </w:rPr>
        <w:t>The partner remits customer collections net of approved service charges.</w:t>
      </w:r>
    </w:p>
    <w:p>
      <w:r>
        <w:rPr>
          <w:rFonts w:ascii="Aptos" w:hAnsi="Aptos" w:eastAsia="Aptos"/>
          <w:b w:val="0"/>
          <w:i w:val="0"/>
          <w:color w:val="0A1628"/>
          <w:sz w:val="20"/>
        </w:rPr>
        <w:t>For control purposes, record both gross amounts:</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partner_net_position</w:t>
              <w:br/>
              <w:t xml:space="preserve">  = partner_cod_collected</w:t>
              <w:br/>
              <w:t xml:space="preserve">  - approved_partner_service_payable</w:t>
              <w:br/>
              <w:t xml:space="preserve">  - customer_refunds</w:t>
              <w:br/>
              <w:t xml:space="preserve">  - prior_net_remittances</w:t>
              <w:br/>
              <w:t xml:space="preserve">  - approved_adjustments</w:t>
            </w:r>
          </w:p>
        </w:tc>
      </w:tr>
    </w:tbl>
    <w:p>
      <w:pPr>
        <w:spacing w:after="0"/>
      </w:pPr>
    </w:p>
    <w:p>
      <w:r>
        <w:rPr>
          <w:rFonts w:ascii="Aptos" w:hAnsi="Aptos" w:eastAsia="Aptos"/>
          <w:b w:val="0"/>
          <w:i w:val="0"/>
          <w:color w:val="0A1628"/>
          <w:sz w:val="20"/>
        </w:rPr>
        <w:t>Interpretation:</w:t>
      </w:r>
    </w:p>
    <w:p>
      <w:pPr>
        <w:pStyle w:val="ListBullet"/>
        <w:ind w:left="0"/>
      </w:pPr>
      <w:r>
        <w:rPr>
          <w:rFonts w:ascii="Aptos" w:hAnsi="Aptos" w:eastAsia="Aptos"/>
          <w:b w:val="0"/>
          <w:i w:val="0"/>
          <w:color w:val="0A1628"/>
          <w:sz w:val="20"/>
        </w:rPr>
        <w:t>Positive: partner still owes Britium.</w:t>
      </w:r>
    </w:p>
    <w:p>
      <w:pPr>
        <w:pStyle w:val="ListBullet"/>
        <w:ind w:left="0"/>
      </w:pPr>
      <w:r>
        <w:rPr>
          <w:rFonts w:ascii="Aptos" w:hAnsi="Aptos" w:eastAsia="Aptos"/>
          <w:b w:val="0"/>
          <w:i w:val="0"/>
          <w:color w:val="0A1628"/>
          <w:sz w:val="20"/>
        </w:rPr>
        <w:t>Zero: fully reconciled.</w:t>
      </w:r>
    </w:p>
    <w:p>
      <w:pPr>
        <w:pStyle w:val="ListBullet"/>
        <w:ind w:left="0"/>
      </w:pPr>
      <w:r>
        <w:rPr>
          <w:rFonts w:ascii="Aptos" w:hAnsi="Aptos" w:eastAsia="Aptos"/>
          <w:b w:val="0"/>
          <w:i w:val="0"/>
          <w:color w:val="0A1628"/>
          <w:sz w:val="20"/>
        </w:rPr>
        <w:t>Negative: Britium owes the partner, subject to approval.</w:t>
      </w:r>
    </w:p>
    <w:p>
      <w:r>
        <w:rPr>
          <w:rFonts w:ascii="Aptos" w:hAnsi="Aptos" w:eastAsia="Aptos"/>
          <w:b w:val="0"/>
          <w:i w:val="0"/>
          <w:color w:val="0A1628"/>
          <w:sz w:val="20"/>
        </w:rPr>
        <w:t>A settlement batch must not mix providers, currencies, or incompatible settlement methods.</w:t>
      </w:r>
    </w:p>
    <w:p>
      <w:pPr>
        <w:pStyle w:val="Heading3"/>
        <w:keepNext/>
      </w:pPr>
      <w:r>
        <w:rPr>
          <w:rFonts w:ascii="Aptos" w:hAnsi="Aptos" w:eastAsia="Aptos"/>
          <w:b w:val="0"/>
          <w:i w:val="0"/>
          <w:color w:val="0A1628"/>
          <w:sz w:val="20"/>
        </w:rPr>
        <w:t>8.15 Partner settlement workflow</w:t>
      </w:r>
    </w:p>
    <w:p>
      <w:r>
        <w:rPr>
          <w:rFonts w:ascii="Aptos" w:hAnsi="Aptos" w:eastAsia="Aptos"/>
          <w:b w:val="0"/>
          <w:i w:val="0"/>
          <w:color w:val="0A1628"/>
          <w:sz w:val="20"/>
        </w:rPr>
        <w:t>Required statuses:</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DRAFT</w:t>
              <w:br/>
              <w:t>PARTNER_STATEMENT_RECEIVED</w:t>
              <w:br/>
              <w:t>UNDER_REVIEW</w:t>
              <w:br/>
              <w:t>DISPUTED</w:t>
              <w:br/>
              <w:t>PENDING_APPROVAL</w:t>
              <w:br/>
              <w:t>APPROVED</w:t>
              <w:br/>
              <w:t>REMITTANCE_PENDING</w:t>
              <w:br/>
              <w:t>PAYMENT_PENDING</w:t>
              <w:br/>
              <w:t>PARTIALLY_SETTLED</w:t>
              <w:br/>
              <w:t>SETTLED</w:t>
              <w:br/>
              <w:t>REJECTED</w:t>
              <w:br/>
              <w:t>REOPENED</w:t>
            </w:r>
          </w:p>
        </w:tc>
      </w:tr>
    </w:tbl>
    <w:p>
      <w:pPr>
        <w:spacing w:after="0"/>
      </w:pPr>
    </w:p>
    <w:p>
      <w:r>
        <w:rPr>
          <w:rFonts w:ascii="Aptos" w:hAnsi="Aptos" w:eastAsia="Aptos"/>
          <w:b w:val="0"/>
          <w:i w:val="0"/>
          <w:color w:val="0A1628"/>
          <w:sz w:val="20"/>
        </w:rPr>
        <w:t>Required batch totals:</w:t>
      </w:r>
    </w:p>
    <w:p>
      <w:pPr>
        <w:pStyle w:val="ListBullet"/>
        <w:ind w:left="0"/>
      </w:pPr>
      <w:r>
        <w:rPr>
          <w:rFonts w:ascii="Aptos" w:hAnsi="Aptos" w:eastAsia="Aptos"/>
          <w:b w:val="0"/>
          <w:i w:val="0"/>
          <w:color w:val="0A1628"/>
          <w:sz w:val="20"/>
        </w:rPr>
        <w:t>Delivered eligible ways.</w:t>
      </w:r>
    </w:p>
    <w:p>
      <w:pPr>
        <w:pStyle w:val="ListBullet"/>
        <w:ind w:left="0"/>
      </w:pPr>
      <w:r>
        <w:rPr>
          <w:rFonts w:ascii="Aptos" w:hAnsi="Aptos" w:eastAsia="Aptos"/>
          <w:b w:val="0"/>
          <w:i w:val="0"/>
          <w:color w:val="0A1628"/>
          <w:sz w:val="20"/>
        </w:rPr>
        <w:t>Returned ways.</w:t>
      </w:r>
    </w:p>
    <w:p>
      <w:pPr>
        <w:pStyle w:val="ListBullet"/>
        <w:ind w:left="0"/>
      </w:pPr>
      <w:r>
        <w:rPr>
          <w:rFonts w:ascii="Aptos" w:hAnsi="Aptos" w:eastAsia="Aptos"/>
          <w:b w:val="0"/>
          <w:i w:val="0"/>
          <w:color w:val="0A1628"/>
          <w:sz w:val="20"/>
        </w:rPr>
        <w:t>Lost/damaged ways.</w:t>
      </w:r>
    </w:p>
    <w:p>
      <w:pPr>
        <w:pStyle w:val="ListBullet"/>
        <w:ind w:left="0"/>
      </w:pPr>
      <w:r>
        <w:rPr>
          <w:rFonts w:ascii="Aptos" w:hAnsi="Aptos" w:eastAsia="Aptos"/>
          <w:b w:val="0"/>
          <w:i w:val="0"/>
          <w:color w:val="0A1628"/>
          <w:sz w:val="20"/>
        </w:rPr>
        <w:t>Customer COD collected.</w:t>
      </w:r>
    </w:p>
    <w:p>
      <w:pPr>
        <w:pStyle w:val="ListBullet"/>
        <w:ind w:left="0"/>
      </w:pPr>
      <w:r>
        <w:rPr>
          <w:rFonts w:ascii="Aptos" w:hAnsi="Aptos" w:eastAsia="Aptos"/>
          <w:b w:val="0"/>
          <w:i w:val="0"/>
          <w:color w:val="0A1628"/>
          <w:sz w:val="20"/>
        </w:rPr>
        <w:t>Customer refunds.</w:t>
      </w:r>
    </w:p>
    <w:p>
      <w:pPr>
        <w:pStyle w:val="ListBullet"/>
        <w:ind w:left="0"/>
      </w:pPr>
      <w:r>
        <w:rPr>
          <w:rFonts w:ascii="Aptos" w:hAnsi="Aptos" w:eastAsia="Aptos"/>
          <w:b w:val="0"/>
          <w:i w:val="0"/>
          <w:color w:val="0A1628"/>
          <w:sz w:val="20"/>
        </w:rPr>
        <w:t>Partner base fees.</w:t>
      </w:r>
    </w:p>
    <w:p>
      <w:pPr>
        <w:pStyle w:val="ListBullet"/>
        <w:ind w:left="0"/>
      </w:pPr>
      <w:r>
        <w:rPr>
          <w:rFonts w:ascii="Aptos" w:hAnsi="Aptos" w:eastAsia="Aptos"/>
          <w:b w:val="0"/>
          <w:i w:val="0"/>
          <w:color w:val="0A1628"/>
          <w:sz w:val="20"/>
        </w:rPr>
        <w:t>Weight/CBM/remote surcharges.</w:t>
      </w:r>
    </w:p>
    <w:p>
      <w:pPr>
        <w:pStyle w:val="ListBullet"/>
        <w:ind w:left="0"/>
      </w:pPr>
      <w:r>
        <w:rPr>
          <w:rFonts w:ascii="Aptos" w:hAnsi="Aptos" w:eastAsia="Aptos"/>
          <w:b w:val="0"/>
          <w:i w:val="0"/>
          <w:color w:val="0A1628"/>
          <w:sz w:val="20"/>
        </w:rPr>
        <w:t>COD fees.</w:t>
      </w:r>
    </w:p>
    <w:p>
      <w:pPr>
        <w:pStyle w:val="ListBullet"/>
        <w:ind w:left="0"/>
      </w:pPr>
      <w:r>
        <w:rPr>
          <w:rFonts w:ascii="Aptos" w:hAnsi="Aptos" w:eastAsia="Aptos"/>
          <w:b w:val="0"/>
          <w:i w:val="0"/>
          <w:color w:val="0A1628"/>
          <w:sz w:val="20"/>
        </w:rPr>
        <w:t>Redelivery and return fees.</w:t>
      </w:r>
    </w:p>
    <w:p>
      <w:pPr>
        <w:pStyle w:val="ListBullet"/>
        <w:ind w:left="0"/>
      </w:pPr>
      <w:r>
        <w:rPr>
          <w:rFonts w:ascii="Aptos" w:hAnsi="Aptos" w:eastAsia="Aptos"/>
          <w:b w:val="0"/>
          <w:i w:val="0"/>
          <w:color w:val="0A1628"/>
          <w:sz w:val="20"/>
        </w:rPr>
        <w:t>Discounts.</w:t>
      </w:r>
    </w:p>
    <w:p>
      <w:pPr>
        <w:pStyle w:val="ListBullet"/>
        <w:ind w:left="0"/>
      </w:pPr>
      <w:r>
        <w:rPr>
          <w:rFonts w:ascii="Aptos" w:hAnsi="Aptos" w:eastAsia="Aptos"/>
          <w:b w:val="0"/>
          <w:i w:val="0"/>
          <w:color w:val="0A1628"/>
          <w:sz w:val="20"/>
        </w:rPr>
        <w:t>SLA credits and penalties.</w:t>
      </w:r>
    </w:p>
    <w:p>
      <w:pPr>
        <w:pStyle w:val="ListBullet"/>
        <w:ind w:left="0"/>
      </w:pPr>
      <w:r>
        <w:rPr>
          <w:rFonts w:ascii="Aptos" w:hAnsi="Aptos" w:eastAsia="Aptos"/>
          <w:b w:val="0"/>
          <w:i w:val="0"/>
          <w:color w:val="0A1628"/>
          <w:sz w:val="20"/>
        </w:rPr>
        <w:t>Approved partner service payable.</w:t>
      </w:r>
    </w:p>
    <w:p>
      <w:pPr>
        <w:pStyle w:val="ListBullet"/>
        <w:ind w:left="0"/>
      </w:pPr>
      <w:r>
        <w:rPr>
          <w:rFonts w:ascii="Aptos" w:hAnsi="Aptos" w:eastAsia="Aptos"/>
          <w:b w:val="0"/>
          <w:i w:val="0"/>
          <w:color w:val="0A1628"/>
          <w:sz w:val="20"/>
        </w:rPr>
        <w:t>COD remitted.</w:t>
      </w:r>
    </w:p>
    <w:p>
      <w:pPr>
        <w:pStyle w:val="ListBullet"/>
        <w:ind w:left="0"/>
      </w:pPr>
      <w:r>
        <w:rPr>
          <w:rFonts w:ascii="Aptos" w:hAnsi="Aptos" w:eastAsia="Aptos"/>
          <w:b w:val="0"/>
          <w:i w:val="0"/>
          <w:color w:val="0A1628"/>
          <w:sz w:val="20"/>
        </w:rPr>
        <w:t>Net amount due from provider.</w:t>
      </w:r>
    </w:p>
    <w:p>
      <w:pPr>
        <w:pStyle w:val="ListBullet"/>
        <w:ind w:left="0"/>
      </w:pPr>
      <w:r>
        <w:rPr>
          <w:rFonts w:ascii="Aptos" w:hAnsi="Aptos" w:eastAsia="Aptos"/>
          <w:b w:val="0"/>
          <w:i w:val="0"/>
          <w:color w:val="0A1628"/>
          <w:sz w:val="20"/>
        </w:rPr>
        <w:t>Net amount due to provider.</w:t>
      </w:r>
    </w:p>
    <w:p>
      <w:pPr>
        <w:pStyle w:val="ListBullet"/>
        <w:ind w:left="0"/>
      </w:pPr>
      <w:r>
        <w:rPr>
          <w:rFonts w:ascii="Aptos" w:hAnsi="Aptos" w:eastAsia="Aptos"/>
          <w:b w:val="0"/>
          <w:i w:val="0"/>
          <w:color w:val="0A1628"/>
          <w:sz w:val="20"/>
        </w:rPr>
        <w:t>Disputed amount.</w:t>
      </w:r>
    </w:p>
    <w:p>
      <w:pPr>
        <w:pStyle w:val="ListBullet"/>
        <w:ind w:left="0"/>
      </w:pPr>
      <w:r>
        <w:rPr>
          <w:rFonts w:ascii="Aptos" w:hAnsi="Aptos" w:eastAsia="Aptos"/>
          <w:b w:val="0"/>
          <w:i w:val="0"/>
          <w:color w:val="0A1628"/>
          <w:sz w:val="20"/>
        </w:rPr>
        <w:t>Outstanding amount.</w:t>
      </w:r>
    </w:p>
    <w:p>
      <w:r>
        <w:rPr>
          <w:rFonts w:ascii="Aptos" w:hAnsi="Aptos" w:eastAsia="Aptos"/>
          <w:b w:val="0"/>
          <w:i w:val="0"/>
          <w:color w:val="0A1628"/>
          <w:sz w:val="20"/>
        </w:rPr>
        <w:t>Required controls:</w:t>
      </w:r>
    </w:p>
    <w:p>
      <w:pPr>
        <w:pStyle w:val="ListBullet"/>
        <w:ind w:left="0"/>
      </w:pPr>
      <w:r>
        <w:rPr>
          <w:rFonts w:ascii="Aptos" w:hAnsi="Aptos" w:eastAsia="Aptos"/>
          <w:b w:val="0"/>
          <w:i w:val="0"/>
          <w:color w:val="0A1628"/>
          <w:sz w:val="20"/>
        </w:rPr>
        <w:t>Maker-checker approval.</w:t>
      </w:r>
    </w:p>
    <w:p>
      <w:pPr>
        <w:pStyle w:val="ListBullet"/>
        <w:ind w:left="0"/>
      </w:pPr>
      <w:r>
        <w:rPr>
          <w:rFonts w:ascii="Aptos" w:hAnsi="Aptos" w:eastAsia="Aptos"/>
          <w:b w:val="0"/>
          <w:i w:val="0"/>
          <w:color w:val="0A1628"/>
          <w:sz w:val="20"/>
        </w:rPr>
        <w:t>Provider invoice attachment.</w:t>
      </w:r>
    </w:p>
    <w:p>
      <w:pPr>
        <w:pStyle w:val="ListBullet"/>
        <w:ind w:left="0"/>
      </w:pPr>
      <w:r>
        <w:rPr>
          <w:rFonts w:ascii="Aptos" w:hAnsi="Aptos" w:eastAsia="Aptos"/>
          <w:b w:val="0"/>
          <w:i w:val="0"/>
          <w:color w:val="0A1628"/>
          <w:sz w:val="20"/>
        </w:rPr>
        <w:t>Manifest reconciliation.</w:t>
      </w:r>
    </w:p>
    <w:p>
      <w:pPr>
        <w:pStyle w:val="ListBullet"/>
        <w:ind w:left="0"/>
      </w:pPr>
      <w:r>
        <w:rPr>
          <w:rFonts w:ascii="Aptos" w:hAnsi="Aptos" w:eastAsia="Aptos"/>
          <w:b w:val="0"/>
          <w:i w:val="0"/>
          <w:color w:val="0A1628"/>
          <w:sz w:val="20"/>
        </w:rPr>
        <w:t>Way-level POD validation.</w:t>
      </w:r>
    </w:p>
    <w:p>
      <w:pPr>
        <w:pStyle w:val="ListBullet"/>
        <w:ind w:left="0"/>
      </w:pPr>
      <w:r>
        <w:rPr>
          <w:rFonts w:ascii="Aptos" w:hAnsi="Aptos" w:eastAsia="Aptos"/>
          <w:b w:val="0"/>
          <w:i w:val="0"/>
          <w:color w:val="0A1628"/>
          <w:sz w:val="20"/>
        </w:rPr>
        <w:t>Duplicate charge detection.</w:t>
      </w:r>
    </w:p>
    <w:p>
      <w:pPr>
        <w:pStyle w:val="ListBullet"/>
        <w:ind w:left="0"/>
      </w:pPr>
      <w:r>
        <w:rPr>
          <w:rFonts w:ascii="Aptos" w:hAnsi="Aptos" w:eastAsia="Aptos"/>
          <w:b w:val="0"/>
          <w:i w:val="0"/>
          <w:color w:val="0A1628"/>
          <w:sz w:val="20"/>
        </w:rPr>
        <w:t>Rate-snapshot comparison.</w:t>
      </w:r>
    </w:p>
    <w:p>
      <w:pPr>
        <w:pStyle w:val="ListBullet"/>
        <w:ind w:left="0"/>
      </w:pPr>
      <w:r>
        <w:rPr>
          <w:rFonts w:ascii="Aptos" w:hAnsi="Aptos" w:eastAsia="Aptos"/>
          <w:b w:val="0"/>
          <w:i w:val="0"/>
          <w:color w:val="0A1628"/>
          <w:sz w:val="20"/>
        </w:rPr>
        <w:t>COD remittance evidence.</w:t>
      </w:r>
    </w:p>
    <w:p>
      <w:pPr>
        <w:pStyle w:val="ListBullet"/>
        <w:ind w:left="0"/>
      </w:pPr>
      <w:r>
        <w:rPr>
          <w:rFonts w:ascii="Aptos" w:hAnsi="Aptos" w:eastAsia="Aptos"/>
          <w:b w:val="0"/>
          <w:i w:val="0"/>
          <w:color w:val="0A1628"/>
          <w:sz w:val="20"/>
        </w:rPr>
        <w:t>Payment/remittance reference.</w:t>
      </w:r>
    </w:p>
    <w:p>
      <w:pPr>
        <w:pStyle w:val="ListBullet"/>
        <w:ind w:left="0"/>
      </w:pPr>
      <w:r>
        <w:rPr>
          <w:rFonts w:ascii="Aptos" w:hAnsi="Aptos" w:eastAsia="Aptos"/>
          <w:b w:val="0"/>
          <w:i w:val="0"/>
          <w:color w:val="0A1628"/>
          <w:sz w:val="20"/>
        </w:rPr>
        <w:t>Reopening through adjustment entries only.</w:t>
      </w:r>
    </w:p>
    <w:p>
      <w:pPr>
        <w:pStyle w:val="Heading3"/>
        <w:keepNext/>
      </w:pPr>
      <w:r>
        <w:rPr>
          <w:rFonts w:ascii="Aptos" w:hAnsi="Aptos" w:eastAsia="Aptos"/>
          <w:b w:val="0"/>
          <w:i w:val="0"/>
          <w:color w:val="0A1628"/>
          <w:sz w:val="20"/>
        </w:rPr>
        <w:t>8.16 Branch reconciliation</w:t>
      </w:r>
    </w:p>
    <w:p>
      <w:r>
        <w:rPr>
          <w:rFonts w:ascii="Aptos" w:hAnsi="Aptos" w:eastAsia="Aptos"/>
          <w:b w:val="0"/>
          <w:i w:val="0"/>
          <w:color w:val="0A1628"/>
          <w:sz w:val="20"/>
        </w:rPr>
        <w:t>Branches are internal operational units, not merchants. Branch reconciliation must be separate from merchant settlement and external partner settlement.</w:t>
      </w:r>
    </w:p>
    <w:p>
      <w:r>
        <w:rPr>
          <w:rFonts w:ascii="Aptos" w:hAnsi="Aptos" w:eastAsia="Aptos"/>
          <w:b w:val="0"/>
          <w:i w:val="0"/>
          <w:color w:val="0A1628"/>
          <w:sz w:val="20"/>
        </w:rPr>
        <w:t>Create branch reconciliation batches with:</w:t>
      </w:r>
    </w:p>
    <w:p>
      <w:pPr>
        <w:pStyle w:val="ListBullet"/>
        <w:ind w:left="0"/>
      </w:pPr>
      <w:r>
        <w:rPr>
          <w:rFonts w:ascii="Aptos" w:hAnsi="Aptos" w:eastAsia="Aptos"/>
          <w:b w:val="0"/>
          <w:i w:val="0"/>
          <w:color w:val="0A1628"/>
          <w:sz w:val="20"/>
        </w:rPr>
        <w:t>Branch code.</w:t>
      </w:r>
    </w:p>
    <w:p>
      <w:pPr>
        <w:pStyle w:val="ListBullet"/>
        <w:ind w:left="0"/>
      </w:pPr>
      <w:r>
        <w:rPr>
          <w:rFonts w:ascii="Aptos" w:hAnsi="Aptos" w:eastAsia="Aptos"/>
          <w:b w:val="0"/>
          <w:i w:val="0"/>
          <w:color w:val="0A1628"/>
          <w:sz w:val="20"/>
        </w:rPr>
        <w:t>Period.</w:t>
      </w:r>
    </w:p>
    <w:p>
      <w:pPr>
        <w:pStyle w:val="ListBullet"/>
        <w:ind w:left="0"/>
      </w:pPr>
      <w:r>
        <w:rPr>
          <w:rFonts w:ascii="Aptos" w:hAnsi="Aptos" w:eastAsia="Aptos"/>
          <w:b w:val="0"/>
          <w:i w:val="0"/>
          <w:color w:val="0A1628"/>
          <w:sz w:val="20"/>
        </w:rPr>
        <w:t>Ways received.</w:t>
      </w:r>
    </w:p>
    <w:p>
      <w:pPr>
        <w:pStyle w:val="ListBullet"/>
        <w:ind w:left="0"/>
      </w:pPr>
      <w:r>
        <w:rPr>
          <w:rFonts w:ascii="Aptos" w:hAnsi="Aptos" w:eastAsia="Aptos"/>
          <w:b w:val="0"/>
          <w:i w:val="0"/>
          <w:color w:val="0A1628"/>
          <w:sz w:val="20"/>
        </w:rPr>
        <w:t>Ways directly delivered.</w:t>
      </w:r>
    </w:p>
    <w:p>
      <w:pPr>
        <w:pStyle w:val="ListBullet"/>
        <w:ind w:left="0"/>
      </w:pPr>
      <w:r>
        <w:rPr>
          <w:rFonts w:ascii="Aptos" w:hAnsi="Aptos" w:eastAsia="Aptos"/>
          <w:b w:val="0"/>
          <w:i w:val="0"/>
          <w:color w:val="0A1628"/>
          <w:sz w:val="20"/>
        </w:rPr>
        <w:t>Ways outsourced locally.</w:t>
      </w:r>
    </w:p>
    <w:p>
      <w:pPr>
        <w:pStyle w:val="ListBullet"/>
        <w:ind w:left="0"/>
      </w:pPr>
      <w:r>
        <w:rPr>
          <w:rFonts w:ascii="Aptos" w:hAnsi="Aptos" w:eastAsia="Aptos"/>
          <w:b w:val="0"/>
          <w:i w:val="0"/>
          <w:color w:val="0A1628"/>
          <w:sz w:val="20"/>
        </w:rPr>
        <w:t>COD collected by branch.</w:t>
      </w:r>
    </w:p>
    <w:p>
      <w:pPr>
        <w:pStyle w:val="ListBullet"/>
        <w:ind w:left="0"/>
      </w:pPr>
      <w:r>
        <w:rPr>
          <w:rFonts w:ascii="Aptos" w:hAnsi="Aptos" w:eastAsia="Aptos"/>
          <w:b w:val="0"/>
          <w:i w:val="0"/>
          <w:color w:val="0A1628"/>
          <w:sz w:val="20"/>
        </w:rPr>
        <w:t>COD received from local partners.</w:t>
      </w:r>
    </w:p>
    <w:p>
      <w:pPr>
        <w:pStyle w:val="ListBullet"/>
        <w:ind w:left="0"/>
      </w:pPr>
      <w:r>
        <w:rPr>
          <w:rFonts w:ascii="Aptos" w:hAnsi="Aptos" w:eastAsia="Aptos"/>
          <w:b w:val="0"/>
          <w:i w:val="0"/>
          <w:color w:val="0A1628"/>
          <w:sz w:val="20"/>
        </w:rPr>
        <w:t>COD deposited or transferred to headquarters.</w:t>
      </w:r>
    </w:p>
    <w:p>
      <w:pPr>
        <w:pStyle w:val="ListBullet"/>
        <w:ind w:left="0"/>
      </w:pPr>
      <w:r>
        <w:rPr>
          <w:rFonts w:ascii="Aptos" w:hAnsi="Aptos" w:eastAsia="Aptos"/>
          <w:b w:val="0"/>
          <w:i w:val="0"/>
          <w:color w:val="0A1628"/>
          <w:sz w:val="20"/>
        </w:rPr>
        <w:t>Approved customer refunds.</w:t>
      </w:r>
    </w:p>
    <w:p>
      <w:pPr>
        <w:pStyle w:val="ListBullet"/>
        <w:ind w:left="0"/>
      </w:pPr>
      <w:r>
        <w:rPr>
          <w:rFonts w:ascii="Aptos" w:hAnsi="Aptos" w:eastAsia="Aptos"/>
          <w:b w:val="0"/>
          <w:i w:val="0"/>
          <w:color w:val="0A1628"/>
          <w:sz w:val="20"/>
        </w:rPr>
        <w:t>Approved branch cash expenses.</w:t>
      </w:r>
    </w:p>
    <w:p>
      <w:pPr>
        <w:pStyle w:val="ListBullet"/>
        <w:ind w:left="0"/>
      </w:pPr>
      <w:r>
        <w:rPr>
          <w:rFonts w:ascii="Aptos" w:hAnsi="Aptos" w:eastAsia="Aptos"/>
          <w:b w:val="0"/>
          <w:i w:val="0"/>
          <w:color w:val="0A1628"/>
          <w:sz w:val="20"/>
        </w:rPr>
        <w:t>Partner fees paid by branch.</w:t>
      </w:r>
    </w:p>
    <w:p>
      <w:pPr>
        <w:pStyle w:val="ListBullet"/>
        <w:ind w:left="0"/>
      </w:pPr>
      <w:r>
        <w:rPr>
          <w:rFonts w:ascii="Aptos" w:hAnsi="Aptos" w:eastAsia="Aptos"/>
          <w:b w:val="0"/>
          <w:i w:val="0"/>
          <w:color w:val="0A1628"/>
          <w:sz w:val="20"/>
        </w:rPr>
        <w:t>Partner fees payable by headquarters.</w:t>
      </w:r>
    </w:p>
    <w:p>
      <w:pPr>
        <w:pStyle w:val="ListBullet"/>
        <w:ind w:left="0"/>
      </w:pPr>
      <w:r>
        <w:rPr>
          <w:rFonts w:ascii="Aptos" w:hAnsi="Aptos" w:eastAsia="Aptos"/>
          <w:b w:val="0"/>
          <w:i w:val="0"/>
          <w:color w:val="0A1628"/>
          <w:sz w:val="20"/>
        </w:rPr>
        <w:t>Internal cost allocation.</w:t>
      </w:r>
    </w:p>
    <w:p>
      <w:pPr>
        <w:pStyle w:val="ListBullet"/>
        <w:ind w:left="0"/>
      </w:pPr>
      <w:r>
        <w:rPr>
          <w:rFonts w:ascii="Aptos" w:hAnsi="Aptos" w:eastAsia="Aptos"/>
          <w:b w:val="0"/>
          <w:i w:val="0"/>
          <w:color w:val="0A1628"/>
          <w:sz w:val="20"/>
        </w:rPr>
        <w:t>Cash shortage or overage.</w:t>
      </w:r>
    </w:p>
    <w:p>
      <w:pPr>
        <w:pStyle w:val="ListBullet"/>
        <w:ind w:left="0"/>
      </w:pPr>
      <w:r>
        <w:rPr>
          <w:rFonts w:ascii="Aptos" w:hAnsi="Aptos" w:eastAsia="Aptos"/>
          <w:b w:val="0"/>
          <w:i w:val="0"/>
          <w:color w:val="0A1628"/>
          <w:sz w:val="20"/>
        </w:rPr>
        <w:t>Outstanding branch balance.</w:t>
      </w:r>
    </w:p>
    <w:p>
      <w:r>
        <w:rPr>
          <w:rFonts w:ascii="Aptos" w:hAnsi="Aptos" w:eastAsia="Aptos"/>
          <w:b w:val="0"/>
          <w:i w:val="0"/>
          <w:color w:val="0A1628"/>
          <w:sz w:val="20"/>
        </w:rPr>
        <w:t>Core calculation:</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branch_cash_accountability</w:t>
              <w:br/>
              <w:t xml:space="preserve">  = branch_customer_collections</w:t>
              <w:br/>
              <w:t xml:space="preserve">  + partner_cod_received_by_branch</w:t>
              <w:br/>
              <w:t xml:space="preserve">  - approved_customer_refunds</w:t>
              <w:br/>
              <w:t xml:space="preserve">  - approved_cash_adjustments</w:t>
            </w:r>
          </w:p>
        </w:tc>
      </w:tr>
    </w:tbl>
    <w:p>
      <w:pPr>
        <w:spacing w:after="0"/>
      </w:pP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branch_cash_outstanding_to_head_office</w:t>
              <w:br/>
              <w:t xml:space="preserve">  = branch_cash_accountability</w:t>
              <w:br/>
              <w:t xml:space="preserve">  - bank_deposits</w:t>
              <w:br/>
              <w:t xml:space="preserve">  - transfers_to_head_office</w:t>
              <w:br/>
              <w:t xml:space="preserve">  - approved_branch_cash_expenses</w:t>
            </w:r>
          </w:p>
        </w:tc>
      </w:tr>
    </w:tbl>
    <w:p>
      <w:pPr>
        <w:spacing w:after="0"/>
      </w:pPr>
    </w:p>
    <w:p>
      <w:r>
        <w:rPr>
          <w:rFonts w:ascii="Aptos" w:hAnsi="Aptos" w:eastAsia="Aptos"/>
          <w:b w:val="0"/>
          <w:i w:val="0"/>
          <w:color w:val="0A1628"/>
          <w:sz w:val="20"/>
        </w:rPr>
        <w:t>Do not deduct branch operating costs from merchant settlement unless the merchant contract independently authorizes such a charge.</w:t>
      </w:r>
    </w:p>
    <w:p>
      <w:r>
        <w:rPr>
          <w:rFonts w:ascii="Aptos" w:hAnsi="Aptos" w:eastAsia="Aptos"/>
          <w:b w:val="0"/>
          <w:i w:val="0"/>
          <w:color w:val="0A1628"/>
          <w:sz w:val="20"/>
        </w:rPr>
        <w:t>When a branch assigns a parcel to a third party, store both:</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managing_branch = branch code</w:t>
              <w:br/>
              <w:t>executing_provider = external provider</w:t>
              <w:br/>
              <w:t>fulfillment_mode = BRANCH_THIRD_PARTY</w:t>
            </w:r>
          </w:p>
        </w:tc>
      </w:tr>
    </w:tbl>
    <w:p>
      <w:pPr>
        <w:spacing w:after="0"/>
      </w:pPr>
    </w:p>
    <w:p>
      <w:r>
        <w:rPr>
          <w:rFonts w:ascii="Aptos" w:hAnsi="Aptos" w:eastAsia="Aptos"/>
          <w:b w:val="0"/>
          <w:i w:val="0"/>
          <w:color w:val="0A1628"/>
          <w:sz w:val="20"/>
        </w:rPr>
        <w:t>The partner settlement owner must be configurable as either headquarters or branch. A Way must never be paid twice by both offices.</w:t>
      </w:r>
    </w:p>
    <w:p>
      <w:pPr>
        <w:pStyle w:val="Heading3"/>
        <w:keepNext/>
      </w:pPr>
      <w:r>
        <w:rPr>
          <w:rFonts w:ascii="Aptos" w:hAnsi="Aptos" w:eastAsia="Aptos"/>
          <w:b w:val="0"/>
          <w:i w:val="0"/>
          <w:color w:val="0A1628"/>
          <w:sz w:val="20"/>
        </w:rPr>
        <w:t>8.17 Accounting and reconciliation entries</w:t>
      </w:r>
    </w:p>
    <w:p>
      <w:r>
        <w:rPr>
          <w:rFonts w:ascii="Aptos" w:hAnsi="Aptos" w:eastAsia="Aptos"/>
          <w:b w:val="0"/>
          <w:i w:val="0"/>
          <w:color w:val="0A1628"/>
          <w:sz w:val="20"/>
        </w:rPr>
        <w:t>Recommended ledger transaction types:</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CUSTOMER_COLLECTION_RECEIVABLE</w:t>
              <w:br/>
              <w:t>CUSTOMER_COLLECTION_RECEIVED</w:t>
              <w:br/>
              <w:t>MERCHANT_PAYABLE</w:t>
              <w:br/>
              <w:t>BRITIUM_DELIVERY_REVENUE</w:t>
              <w:br/>
              <w:t>OUTSOURCED_DELIVERY_EXPENSE</w:t>
              <w:br/>
              <w:t>PARTNER_PAYABLE</w:t>
              <w:br/>
              <w:t>PARTNER_COD_RECEIVABLE</w:t>
              <w:br/>
              <w:t>PARTNER_COD_REMITTANCE</w:t>
              <w:br/>
              <w:t>BRANCH_CASH_RECEIVABLE</w:t>
              <w:br/>
              <w:t>BRANCH_CASH_TRANSFER</w:t>
              <w:br/>
              <w:t>BRANCH_EXPENSE</w:t>
              <w:br/>
              <w:t>SLA_CREDIT</w:t>
              <w:br/>
              <w:t>LOSS_OR_DAMAGE_CLAIM</w:t>
              <w:br/>
              <w:t>SETTLEMENT_ADJUSTMENT</w:t>
            </w:r>
          </w:p>
        </w:tc>
      </w:tr>
    </w:tbl>
    <w:p>
      <w:pPr>
        <w:spacing w:after="0"/>
      </w:pPr>
    </w:p>
    <w:p>
      <w:r>
        <w:rPr>
          <w:rFonts w:ascii="Aptos" w:hAnsi="Aptos" w:eastAsia="Aptos"/>
          <w:b w:val="0"/>
          <w:i w:val="0"/>
          <w:color w:val="0A1628"/>
          <w:sz w:val="20"/>
        </w:rPr>
        <w:t>Example:</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Customer collection                 31,000 MMK</w:t>
              <w:br/>
              <w:t>Merchant settlement                 26,500 MMK</w:t>
              <w:br/>
              <w:t>Britium delivery revenue             4,500 MMK</w:t>
              <w:br/>
              <w:t>Approved partner delivery cost       5,000 MMK</w:t>
            </w:r>
          </w:p>
        </w:tc>
      </w:tr>
    </w:tbl>
    <w:p>
      <w:pPr>
        <w:spacing w:after="0"/>
      </w:pPr>
    </w:p>
    <w:p>
      <w:r>
        <w:rPr>
          <w:rFonts w:ascii="Aptos" w:hAnsi="Aptos" w:eastAsia="Aptos"/>
          <w:b w:val="0"/>
          <w:i w:val="0"/>
          <w:color w:val="0A1628"/>
          <w:sz w:val="20"/>
        </w:rPr>
        <w:t>Customer/merchant reconciliation remains:</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31,000 = 26,500 + 4,500</w:t>
            </w:r>
          </w:p>
        </w:tc>
      </w:tr>
    </w:tbl>
    <w:p>
      <w:pPr>
        <w:spacing w:after="0"/>
      </w:pPr>
    </w:p>
    <w:p>
      <w:r>
        <w:rPr>
          <w:rFonts w:ascii="Aptos" w:hAnsi="Aptos" w:eastAsia="Aptos"/>
          <w:b w:val="0"/>
          <w:i w:val="0"/>
          <w:color w:val="0A1628"/>
          <w:sz w:val="20"/>
        </w:rPr>
        <w:t>Britium fulfillment margin is:</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4,500 - 5,000 = (500) MMK</w:t>
            </w:r>
          </w:p>
        </w:tc>
      </w:tr>
    </w:tbl>
    <w:p>
      <w:pPr>
        <w:spacing w:after="0"/>
      </w:pPr>
    </w:p>
    <w:p>
      <w:r>
        <w:rPr>
          <w:rFonts w:ascii="Aptos" w:hAnsi="Aptos" w:eastAsia="Aptos"/>
          <w:b w:val="0"/>
          <w:i w:val="0"/>
          <w:color w:val="0A1628"/>
          <w:sz w:val="20"/>
        </w:rPr>
        <w:t>The negative 500 MMK is a company margin result. It must not alter the receiver collection or merchant settlement after the parcel was accepted under the approved tariff and instruction.</w:t>
      </w:r>
    </w:p>
    <w:p>
      <w:pPr>
        <w:pStyle w:val="Heading3"/>
        <w:keepNext/>
      </w:pPr>
      <w:r>
        <w:rPr>
          <w:rFonts w:ascii="Aptos" w:hAnsi="Aptos" w:eastAsia="Aptos"/>
          <w:b w:val="0"/>
          <w:i w:val="0"/>
          <w:color w:val="0A1628"/>
          <w:sz w:val="20"/>
        </w:rPr>
        <w:t>8.18 Required backend services and RPCs</w:t>
      </w:r>
    </w:p>
    <w:p>
      <w:r>
        <w:rPr>
          <w:rFonts w:ascii="Aptos" w:hAnsi="Aptos" w:eastAsia="Aptos"/>
          <w:b w:val="0"/>
          <w:i w:val="0"/>
          <w:color w:val="0A1628"/>
          <w:sz w:val="20"/>
        </w:rPr>
        <w:t>Recommended versioned interfaces:</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be_network_fulfillment_snapshot_v55</w:t>
              <w:br/>
              <w:t>be_network_fulfillment_route_quote_v55</w:t>
              <w:br/>
              <w:t>be_network_fulfillment_assign_v55</w:t>
              <w:br/>
              <w:t>be_network_fulfillment_reassign_v55</w:t>
              <w:br/>
              <w:t>be_network_manifest_create_v55</w:t>
              <w:br/>
              <w:t>be_network_manifest_accept_v55</w:t>
              <w:br/>
              <w:t>be_network_tracking_event_ingest_v55</w:t>
              <w:br/>
              <w:t>be_network_tracking_sync_v55</w:t>
              <w:br/>
              <w:t>be_network_pod_submit_v55</w:t>
              <w:br/>
              <w:t>be_network_pod_review_v55</w:t>
              <w:br/>
              <w:t>be_network_exception_resolve_v55</w:t>
              <w:br/>
              <w:t>be_network_cod_handover_v55</w:t>
              <w:br/>
              <w:t>be_partner_tariff_quote_v55</w:t>
              <w:br/>
              <w:t>be_partner_settlement_create_v55</w:t>
              <w:br/>
              <w:t>be_partner_settlement_submit_v55</w:t>
              <w:br/>
              <w:t>be_partner_settlement_approve_v55</w:t>
              <w:br/>
              <w:t>be_partner_settlement_record_remittance_v55</w:t>
              <w:br/>
              <w:t>be_partner_settlement_record_payment_v55</w:t>
              <w:br/>
              <w:t>be_branch_reconciliation_create_v55</w:t>
              <w:br/>
              <w:t>be_branch_reconciliation_submit_v55</w:t>
              <w:br/>
              <w:t>be_branch_reconciliation_approve_v55</w:t>
              <w:br/>
              <w:t>be_branch_reconciliation_record_transfer_v55</w:t>
            </w:r>
          </w:p>
        </w:tc>
      </w:tr>
    </w:tbl>
    <w:p>
      <w:pPr>
        <w:spacing w:after="0"/>
      </w:pPr>
    </w:p>
    <w:p>
      <w:r>
        <w:rPr>
          <w:rFonts w:ascii="Aptos" w:hAnsi="Aptos" w:eastAsia="Aptos"/>
          <w:b w:val="0"/>
          <w:i w:val="0"/>
          <w:color w:val="0A1628"/>
          <w:sz w:val="20"/>
        </w:rPr>
        <w:t>Each response must include:</w:t>
      </w:r>
    </w:p>
    <w:p>
      <w:pPr>
        <w:pStyle w:val="ListBullet"/>
        <w:ind w:left="0"/>
      </w:pPr>
      <w:r>
        <w:rPr>
          <w:rFonts w:ascii="Aptos" w:hAnsi="Aptos" w:eastAsia="Aptos"/>
          <w:b w:val="0"/>
          <w:i w:val="0"/>
          <w:color w:val="0A1628"/>
          <w:sz w:val="20"/>
        </w:rPr>
        <w:t>Build/version.</w:t>
      </w:r>
    </w:p>
    <w:p>
      <w:pPr>
        <w:pStyle w:val="ListBullet"/>
        <w:ind w:left="0"/>
      </w:pPr>
      <w:r>
        <w:rPr>
          <w:rFonts w:ascii="Aptos" w:hAnsi="Aptos" w:eastAsia="Aptos"/>
          <w:b w:val="0"/>
          <w:i w:val="0"/>
          <w:color w:val="0A1628"/>
          <w:sz w:val="20"/>
        </w:rPr>
        <w:t>Actor.</w:t>
      </w:r>
    </w:p>
    <w:p>
      <w:pPr>
        <w:pStyle w:val="ListBullet"/>
        <w:ind w:left="0"/>
      </w:pPr>
      <w:r>
        <w:rPr>
          <w:rFonts w:ascii="Aptos" w:hAnsi="Aptos" w:eastAsia="Aptos"/>
          <w:b w:val="0"/>
          <w:i w:val="0"/>
          <w:color w:val="0A1628"/>
          <w:sz w:val="20"/>
        </w:rPr>
        <w:t>Provider/branch.</w:t>
      </w:r>
    </w:p>
    <w:p>
      <w:pPr>
        <w:pStyle w:val="ListBullet"/>
        <w:ind w:left="0"/>
      </w:pPr>
      <w:r>
        <w:rPr>
          <w:rFonts w:ascii="Aptos" w:hAnsi="Aptos" w:eastAsia="Aptos"/>
          <w:b w:val="0"/>
          <w:i w:val="0"/>
          <w:color w:val="0A1628"/>
          <w:sz w:val="20"/>
        </w:rPr>
        <w:t>Effective tariff version.</w:t>
      </w:r>
    </w:p>
    <w:p>
      <w:pPr>
        <w:pStyle w:val="ListBullet"/>
        <w:ind w:left="0"/>
      </w:pPr>
      <w:r>
        <w:rPr>
          <w:rFonts w:ascii="Aptos" w:hAnsi="Aptos" w:eastAsia="Aptos"/>
          <w:b w:val="0"/>
          <w:i w:val="0"/>
          <w:color w:val="0A1628"/>
          <w:sz w:val="20"/>
        </w:rPr>
        <w:t>Calculated values.</w:t>
      </w:r>
    </w:p>
    <w:p>
      <w:pPr>
        <w:pStyle w:val="ListBullet"/>
        <w:ind w:left="0"/>
      </w:pPr>
      <w:r>
        <w:rPr>
          <w:rFonts w:ascii="Aptos" w:hAnsi="Aptos" w:eastAsia="Aptos"/>
          <w:b w:val="0"/>
          <w:i w:val="0"/>
          <w:color w:val="0A1628"/>
          <w:sz w:val="20"/>
        </w:rPr>
        <w:t>Validation errors.</w:t>
      </w:r>
    </w:p>
    <w:p>
      <w:pPr>
        <w:pStyle w:val="ListBullet"/>
        <w:ind w:left="0"/>
      </w:pPr>
      <w:r>
        <w:rPr>
          <w:rFonts w:ascii="Aptos" w:hAnsi="Aptos" w:eastAsia="Aptos"/>
          <w:b w:val="0"/>
          <w:i w:val="0"/>
          <w:color w:val="0A1628"/>
          <w:sz w:val="20"/>
        </w:rPr>
        <w:t>Warnings.</w:t>
      </w:r>
    </w:p>
    <w:p>
      <w:pPr>
        <w:pStyle w:val="ListBullet"/>
        <w:ind w:left="0"/>
      </w:pPr>
      <w:r>
        <w:rPr>
          <w:rFonts w:ascii="Aptos" w:hAnsi="Aptos" w:eastAsia="Aptos"/>
          <w:b w:val="0"/>
          <w:i w:val="0"/>
          <w:color w:val="0A1628"/>
          <w:sz w:val="20"/>
        </w:rPr>
        <w:t>Idempotency result.</w:t>
      </w:r>
    </w:p>
    <w:p>
      <w:pPr>
        <w:pStyle w:val="ListBullet"/>
        <w:ind w:left="0"/>
      </w:pPr>
      <w:r>
        <w:rPr>
          <w:rFonts w:ascii="Aptos" w:hAnsi="Aptos" w:eastAsia="Aptos"/>
          <w:b w:val="0"/>
          <w:i w:val="0"/>
          <w:color w:val="0A1628"/>
          <w:sz w:val="20"/>
        </w:rPr>
        <w:t>Audit event ID.</w:t>
      </w:r>
    </w:p>
    <w:p>
      <w:pPr>
        <w:pStyle w:val="Heading3"/>
        <w:keepNext/>
      </w:pPr>
      <w:r>
        <w:rPr>
          <w:rFonts w:ascii="Aptos" w:hAnsi="Aptos" w:eastAsia="Aptos"/>
          <w:b w:val="0"/>
          <w:i w:val="0"/>
          <w:color w:val="0A1628"/>
          <w:sz w:val="20"/>
        </w:rPr>
        <w:t>8.19 Required changes to existing screens</w:t>
      </w:r>
    </w:p>
    <w:p>
      <w:pPr>
        <w:pStyle w:val="Heading4"/>
        <w:keepNext/>
      </w:pPr>
      <w:r>
        <w:rPr>
          <w:rFonts w:ascii="Aptos" w:hAnsi="Aptos" w:eastAsia="Aptos"/>
          <w:b w:val="0"/>
          <w:i w:val="0"/>
          <w:color w:val="0A1628"/>
          <w:sz w:val="20"/>
        </w:rPr>
        <w:t>Data Entry</w:t>
      </w:r>
    </w:p>
    <w:p>
      <w:r>
        <w:rPr>
          <w:rFonts w:ascii="Aptos" w:hAnsi="Aptos" w:eastAsia="Aptos"/>
          <w:b w:val="0"/>
          <w:i w:val="0"/>
          <w:color w:val="0A1628"/>
          <w:sz w:val="20"/>
        </w:rPr>
        <w:t>After destination selection, display a backend routing preview:</w:t>
      </w:r>
    </w:p>
    <w:p>
      <w:pPr>
        <w:pStyle w:val="ListBullet"/>
        <w:ind w:left="0"/>
      </w:pPr>
      <w:r>
        <w:rPr>
          <w:rFonts w:ascii="Aptos" w:hAnsi="Aptos" w:eastAsia="Aptos"/>
          <w:b w:val="0"/>
          <w:i w:val="0"/>
          <w:color w:val="0A1628"/>
          <w:sz w:val="20"/>
        </w:rPr>
        <w:t>Britium reachability.</w:t>
      </w:r>
    </w:p>
    <w:p>
      <w:pPr>
        <w:pStyle w:val="ListBullet"/>
        <w:ind w:left="0"/>
      </w:pPr>
      <w:r>
        <w:rPr>
          <w:rFonts w:ascii="Aptos" w:hAnsi="Aptos" w:eastAsia="Aptos"/>
          <w:b w:val="0"/>
          <w:i w:val="0"/>
          <w:color w:val="0A1628"/>
          <w:sz w:val="20"/>
        </w:rPr>
        <w:t>Managing branch.</w:t>
      </w:r>
    </w:p>
    <w:p>
      <w:pPr>
        <w:pStyle w:val="ListBullet"/>
        <w:ind w:left="0"/>
      </w:pPr>
      <w:r>
        <w:rPr>
          <w:rFonts w:ascii="Aptos" w:hAnsi="Aptos" w:eastAsia="Aptos"/>
          <w:b w:val="0"/>
          <w:i w:val="0"/>
          <w:color w:val="0A1628"/>
          <w:sz w:val="20"/>
        </w:rPr>
        <w:t>Proposed execution mode.</w:t>
      </w:r>
    </w:p>
    <w:p>
      <w:pPr>
        <w:pStyle w:val="ListBullet"/>
        <w:ind w:left="0"/>
      </w:pPr>
      <w:r>
        <w:rPr>
          <w:rFonts w:ascii="Aptos" w:hAnsi="Aptos" w:eastAsia="Aptos"/>
          <w:b w:val="0"/>
          <w:i w:val="0"/>
          <w:color w:val="0A1628"/>
          <w:sz w:val="20"/>
        </w:rPr>
        <w:t>Proposed provider.</w:t>
      </w:r>
    </w:p>
    <w:p>
      <w:pPr>
        <w:pStyle w:val="ListBullet"/>
        <w:ind w:left="0"/>
      </w:pPr>
      <w:r>
        <w:rPr>
          <w:rFonts w:ascii="Aptos" w:hAnsi="Aptos" w:eastAsia="Aptos"/>
          <w:b w:val="0"/>
          <w:i w:val="0"/>
          <w:color w:val="0A1628"/>
          <w:sz w:val="20"/>
        </w:rPr>
        <w:t>Expected delivery date.</w:t>
      </w:r>
    </w:p>
    <w:p>
      <w:pPr>
        <w:pStyle w:val="ListBullet"/>
        <w:ind w:left="0"/>
      </w:pPr>
      <w:r>
        <w:rPr>
          <w:rFonts w:ascii="Aptos" w:hAnsi="Aptos" w:eastAsia="Aptos"/>
          <w:b w:val="0"/>
          <w:i w:val="0"/>
          <w:color w:val="0A1628"/>
          <w:sz w:val="20"/>
        </w:rPr>
        <w:t>Whether partner COD is supported.</w:t>
      </w:r>
    </w:p>
    <w:p>
      <w:r>
        <w:rPr>
          <w:rFonts w:ascii="Aptos" w:hAnsi="Aptos" w:eastAsia="Aptos"/>
          <w:b w:val="0"/>
          <w:i w:val="0"/>
          <w:color w:val="0A1628"/>
          <w:sz w:val="20"/>
        </w:rPr>
        <w:t>The Data Entry employee must not manually type partner tariffs.</w:t>
      </w:r>
    </w:p>
    <w:p>
      <w:pPr>
        <w:pStyle w:val="Heading4"/>
        <w:keepNext/>
      </w:pPr>
      <w:r>
        <w:rPr>
          <w:rFonts w:ascii="Aptos" w:hAnsi="Aptos" w:eastAsia="Aptos"/>
          <w:b w:val="0"/>
          <w:i w:val="0"/>
          <w:color w:val="0A1628"/>
          <w:sz w:val="20"/>
        </w:rPr>
        <w:t>Waybill</w:t>
      </w:r>
    </w:p>
    <w:p>
      <w:r>
        <w:rPr>
          <w:rFonts w:ascii="Aptos" w:hAnsi="Aptos" w:eastAsia="Aptos"/>
          <w:b w:val="0"/>
          <w:i w:val="0"/>
          <w:color w:val="0A1628"/>
          <w:sz w:val="20"/>
        </w:rPr>
        <w:t>Print:</w:t>
      </w:r>
    </w:p>
    <w:p>
      <w:pPr>
        <w:pStyle w:val="ListBullet"/>
        <w:ind w:left="0"/>
      </w:pPr>
      <w:r>
        <w:rPr>
          <w:rFonts w:ascii="Aptos" w:hAnsi="Aptos" w:eastAsia="Aptos"/>
          <w:b w:val="0"/>
          <w:i w:val="0"/>
          <w:color w:val="0A1628"/>
          <w:sz w:val="20"/>
        </w:rPr>
        <w:t>Britium Way ID.</w:t>
      </w:r>
    </w:p>
    <w:p>
      <w:pPr>
        <w:pStyle w:val="ListBullet"/>
        <w:ind w:left="0"/>
      </w:pPr>
      <w:r>
        <w:rPr>
          <w:rFonts w:ascii="Aptos" w:hAnsi="Aptos" w:eastAsia="Aptos"/>
          <w:b w:val="0"/>
          <w:i w:val="0"/>
          <w:color w:val="0A1628"/>
          <w:sz w:val="20"/>
        </w:rPr>
        <w:t>Receiver collection amount.</w:t>
      </w:r>
    </w:p>
    <w:p>
      <w:pPr>
        <w:pStyle w:val="ListBullet"/>
        <w:ind w:left="0"/>
      </w:pPr>
      <w:r>
        <w:rPr>
          <w:rFonts w:ascii="Aptos" w:hAnsi="Aptos" w:eastAsia="Aptos"/>
          <w:b w:val="0"/>
          <w:i w:val="0"/>
          <w:color w:val="0A1628"/>
          <w:sz w:val="20"/>
        </w:rPr>
        <w:t>Destination.</w:t>
      </w:r>
    </w:p>
    <w:p>
      <w:pPr>
        <w:pStyle w:val="ListBullet"/>
        <w:ind w:left="0"/>
      </w:pPr>
      <w:r>
        <w:rPr>
          <w:rFonts w:ascii="Aptos" w:hAnsi="Aptos" w:eastAsia="Aptos"/>
          <w:b w:val="0"/>
          <w:i w:val="0"/>
          <w:color w:val="0A1628"/>
          <w:sz w:val="20"/>
        </w:rPr>
        <w:t>Service instruction.</w:t>
      </w:r>
    </w:p>
    <w:p>
      <w:pPr>
        <w:pStyle w:val="ListBullet"/>
        <w:ind w:left="0"/>
      </w:pPr>
      <w:r>
        <w:rPr>
          <w:rFonts w:ascii="Aptos" w:hAnsi="Aptos" w:eastAsia="Aptos"/>
          <w:b w:val="0"/>
          <w:i w:val="0"/>
          <w:color w:val="0A1628"/>
          <w:sz w:val="20"/>
        </w:rPr>
        <w:t>Partner barcode/reference only when assigned.</w:t>
      </w:r>
    </w:p>
    <w:p>
      <w:r>
        <w:rPr>
          <w:rFonts w:ascii="Aptos" w:hAnsi="Aptos" w:eastAsia="Aptos"/>
          <w:b w:val="0"/>
          <w:i w:val="0"/>
          <w:color w:val="0A1628"/>
          <w:sz w:val="20"/>
        </w:rPr>
        <w:t>Do not print internal partner cost, merchant settlement, or margin.</w:t>
      </w:r>
    </w:p>
    <w:p>
      <w:pPr>
        <w:pStyle w:val="Heading4"/>
        <w:keepNext/>
      </w:pPr>
      <w:r>
        <w:rPr>
          <w:rFonts w:ascii="Aptos" w:hAnsi="Aptos" w:eastAsia="Aptos"/>
          <w:b w:val="0"/>
          <w:i w:val="0"/>
          <w:color w:val="0A1628"/>
          <w:sz w:val="20"/>
        </w:rPr>
        <w:t>Final Synchronization</w:t>
      </w:r>
    </w:p>
    <w:p>
      <w:r>
        <w:rPr>
          <w:rFonts w:ascii="Aptos" w:hAnsi="Aptos" w:eastAsia="Aptos"/>
          <w:b w:val="0"/>
          <w:i w:val="0"/>
          <w:color w:val="0A1628"/>
          <w:sz w:val="20"/>
        </w:rPr>
        <w:t>Add:</w:t>
      </w:r>
    </w:p>
    <w:p>
      <w:pPr>
        <w:pStyle w:val="ListBullet"/>
        <w:ind w:left="0"/>
      </w:pPr>
      <w:r>
        <w:rPr>
          <w:rFonts w:ascii="Aptos" w:hAnsi="Aptos" w:eastAsia="Aptos"/>
          <w:b w:val="0"/>
          <w:i w:val="0"/>
          <w:color w:val="0A1628"/>
          <w:sz w:val="20"/>
        </w:rPr>
        <w:t>Fulfillment mode.</w:t>
      </w:r>
    </w:p>
    <w:p>
      <w:pPr>
        <w:pStyle w:val="ListBullet"/>
        <w:ind w:left="0"/>
      </w:pPr>
      <w:r>
        <w:rPr>
          <w:rFonts w:ascii="Aptos" w:hAnsi="Aptos" w:eastAsia="Aptos"/>
          <w:b w:val="0"/>
          <w:i w:val="0"/>
          <w:color w:val="0A1628"/>
          <w:sz w:val="20"/>
        </w:rPr>
        <w:t>Managing branch.</w:t>
      </w:r>
    </w:p>
    <w:p>
      <w:pPr>
        <w:pStyle w:val="ListBullet"/>
        <w:ind w:left="0"/>
      </w:pPr>
      <w:r>
        <w:rPr>
          <w:rFonts w:ascii="Aptos" w:hAnsi="Aptos" w:eastAsia="Aptos"/>
          <w:b w:val="0"/>
          <w:i w:val="0"/>
          <w:color w:val="0A1628"/>
          <w:sz w:val="20"/>
        </w:rPr>
        <w:t>Executing provider.</w:t>
      </w:r>
    </w:p>
    <w:p>
      <w:pPr>
        <w:pStyle w:val="ListBullet"/>
        <w:ind w:left="0"/>
      </w:pPr>
      <w:r>
        <w:rPr>
          <w:rFonts w:ascii="Aptos" w:hAnsi="Aptos" w:eastAsia="Aptos"/>
          <w:b w:val="0"/>
          <w:i w:val="0"/>
          <w:color w:val="0A1628"/>
          <w:sz w:val="20"/>
        </w:rPr>
        <w:t>Provider tracking ID.</w:t>
      </w:r>
    </w:p>
    <w:p>
      <w:pPr>
        <w:pStyle w:val="ListBullet"/>
        <w:ind w:left="0"/>
      </w:pPr>
      <w:r>
        <w:rPr>
          <w:rFonts w:ascii="Aptos" w:hAnsi="Aptos" w:eastAsia="Aptos"/>
          <w:b w:val="0"/>
          <w:i w:val="0"/>
          <w:color w:val="0A1628"/>
          <w:sz w:val="20"/>
        </w:rPr>
        <w:t>Partner delivered timestamp.</w:t>
      </w:r>
    </w:p>
    <w:p>
      <w:pPr>
        <w:pStyle w:val="ListBullet"/>
        <w:ind w:left="0"/>
      </w:pPr>
      <w:r>
        <w:rPr>
          <w:rFonts w:ascii="Aptos" w:hAnsi="Aptos" w:eastAsia="Aptos"/>
          <w:b w:val="0"/>
          <w:i w:val="0"/>
          <w:color w:val="0A1628"/>
          <w:sz w:val="20"/>
        </w:rPr>
        <w:t>POD status.</w:t>
      </w:r>
    </w:p>
    <w:p>
      <w:pPr>
        <w:pStyle w:val="ListBullet"/>
        <w:ind w:left="0"/>
      </w:pPr>
      <w:r>
        <w:rPr>
          <w:rFonts w:ascii="Aptos" w:hAnsi="Aptos" w:eastAsia="Aptos"/>
          <w:b w:val="0"/>
          <w:i w:val="0"/>
          <w:color w:val="0A1628"/>
          <w:sz w:val="20"/>
        </w:rPr>
        <w:t>COD remittance status.</w:t>
      </w:r>
    </w:p>
    <w:p>
      <w:r>
        <w:rPr>
          <w:rFonts w:ascii="Aptos" w:hAnsi="Aptos" w:eastAsia="Aptos"/>
          <w:b w:val="0"/>
          <w:i w:val="0"/>
          <w:color w:val="0A1628"/>
          <w:sz w:val="20"/>
        </w:rPr>
        <w:t>Provider-delivered status alone must not certify the financial record when POD or COD reconciliation is still required.</w:t>
      </w:r>
    </w:p>
    <w:p>
      <w:pPr>
        <w:pStyle w:val="Heading4"/>
        <w:keepNext/>
      </w:pPr>
      <w:r>
        <w:rPr>
          <w:rFonts w:ascii="Aptos" w:hAnsi="Aptos" w:eastAsia="Aptos"/>
          <w:b w:val="0"/>
          <w:i w:val="0"/>
          <w:color w:val="0A1628"/>
          <w:sz w:val="20"/>
        </w:rPr>
        <w:t>Financial Settlement</w:t>
      </w:r>
    </w:p>
    <w:p>
      <w:r>
        <w:rPr>
          <w:rFonts w:ascii="Aptos" w:hAnsi="Aptos" w:eastAsia="Aptos"/>
          <w:b w:val="0"/>
          <w:i w:val="0"/>
          <w:color w:val="0A1628"/>
          <w:sz w:val="20"/>
        </w:rPr>
        <w:t>Add tabs:</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Merchant Settlements</w:t>
              <w:br/>
              <w:t>Partner Settlements</w:t>
              <w:br/>
              <w:t>Branch Reconciliation</w:t>
              <w:br/>
              <w:t>COD Custody</w:t>
              <w:br/>
              <w:t>Network Financial Exceptions</w:t>
            </w:r>
          </w:p>
        </w:tc>
      </w:tr>
    </w:tbl>
    <w:p>
      <w:pPr>
        <w:spacing w:after="0"/>
      </w:pPr>
    </w:p>
    <w:p>
      <w:r>
        <w:rPr>
          <w:rFonts w:ascii="Aptos" w:hAnsi="Aptos" w:eastAsia="Aptos"/>
          <w:b w:val="0"/>
          <w:i w:val="0"/>
          <w:color w:val="0A1628"/>
          <w:sz w:val="20"/>
        </w:rPr>
        <w:t>Merchant, partner, and branch batches must remain separate financial entities.</w:t>
      </w:r>
    </w:p>
    <w:p>
      <w:pPr>
        <w:pStyle w:val="Heading4"/>
        <w:keepNext/>
      </w:pPr>
      <w:r>
        <w:rPr>
          <w:rFonts w:ascii="Aptos" w:hAnsi="Aptos" w:eastAsia="Aptos"/>
          <w:b w:val="0"/>
          <w:i w:val="0"/>
          <w:color w:val="0A1628"/>
          <w:sz w:val="20"/>
        </w:rPr>
        <w:t>Merchant Portal</w:t>
      </w:r>
    </w:p>
    <w:p>
      <w:r>
        <w:rPr>
          <w:rFonts w:ascii="Aptos" w:hAnsi="Aptos" w:eastAsia="Aptos"/>
          <w:b w:val="0"/>
          <w:i w:val="0"/>
          <w:color w:val="0A1628"/>
          <w:sz w:val="20"/>
        </w:rPr>
        <w:t>Show the parcel's tracking timeline and delivery outcome using Britium-neutral wording. Do not expose partner tariff, partner invoice, branch cash, or internal provider-performance notes.</w:t>
      </w:r>
    </w:p>
    <w:p>
      <w:pPr>
        <w:pStyle w:val="Heading4"/>
        <w:keepNext/>
      </w:pPr>
      <w:r>
        <w:rPr>
          <w:rFonts w:ascii="Aptos" w:hAnsi="Aptos" w:eastAsia="Aptos"/>
          <w:b w:val="0"/>
          <w:i w:val="0"/>
          <w:color w:val="0A1628"/>
          <w:sz w:val="20"/>
        </w:rPr>
        <w:t>Optional Partner Portal</w:t>
      </w:r>
    </w:p>
    <w:p>
      <w:r>
        <w:rPr>
          <w:rFonts w:ascii="Aptos" w:hAnsi="Aptos" w:eastAsia="Aptos"/>
          <w:b w:val="0"/>
          <w:i w:val="0"/>
          <w:color w:val="0A1628"/>
          <w:sz w:val="20"/>
        </w:rPr>
        <w:t>A partner may access only its assigned parcels, manifests, POD submissions, COD statements, invoices, disputes, and payment status.</w:t>
      </w:r>
    </w:p>
    <w:p>
      <w:pPr>
        <w:pStyle w:val="Heading3"/>
        <w:keepNext/>
      </w:pPr>
      <w:r>
        <w:rPr>
          <w:rFonts w:ascii="Aptos" w:hAnsi="Aptos" w:eastAsia="Aptos"/>
          <w:b w:val="0"/>
          <w:i w:val="0"/>
          <w:color w:val="0A1628"/>
          <w:sz w:val="20"/>
        </w:rPr>
        <w:t>8.20 Role and permission requirements</w:t>
      </w:r>
    </w:p>
    <w:p>
      <w:r>
        <w:rPr>
          <w:rFonts w:ascii="Aptos" w:hAnsi="Aptos" w:eastAsia="Aptos"/>
          <w:b w:val="0"/>
          <w:i w:val="0"/>
          <w:color w:val="0A1628"/>
          <w:sz w:val="20"/>
        </w:rPr>
        <w:t>Recommended permissions:</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network.route.view</w:t>
              <w:br/>
              <w:t>network.route.assign</w:t>
              <w:br/>
              <w:t>network.manifest.create</w:t>
              <w:br/>
              <w:t>network.manifest.accept</w:t>
              <w:br/>
              <w:t>network.tracking.manage</w:t>
              <w:br/>
              <w:t>network.pod.review</w:t>
              <w:br/>
              <w:t>network.exception.resolve</w:t>
              <w:br/>
              <w:t>network.coverage.manage</w:t>
              <w:br/>
              <w:t>network.contract.manage</w:t>
              <w:br/>
              <w:t>finance.partner_settlement.create</w:t>
              <w:br/>
              <w:t>finance.partner_settlement.review</w:t>
              <w:br/>
              <w:t>finance.partner_settlement.approve</w:t>
              <w:br/>
              <w:t>finance.partner_settlement.pay</w:t>
              <w:br/>
              <w:t>finance.branch_reconciliation.create</w:t>
              <w:br/>
              <w:t>finance.branch_reconciliation.approve</w:t>
              <w:br/>
              <w:t>finance.cod_custody.review</w:t>
              <w:br/>
              <w:t>partner.portal.access</w:t>
              <w:br/>
              <w:t>branch.network.manage</w:t>
            </w:r>
          </w:p>
        </w:tc>
      </w:tr>
    </w:tbl>
    <w:p>
      <w:pPr>
        <w:spacing w:after="0"/>
      </w:pPr>
    </w:p>
    <w:p>
      <w:r>
        <w:rPr>
          <w:rFonts w:ascii="Aptos" w:hAnsi="Aptos" w:eastAsia="Aptos"/>
          <w:b w:val="0"/>
          <w:i w:val="0"/>
          <w:color w:val="0A1628"/>
          <w:sz w:val="20"/>
        </w:rPr>
        <w:t xml:space="preserve">A provider user must be restricted to its own </w:t>
      </w:r>
      <w:r>
        <w:rPr>
          <w:rFonts w:ascii="Consolas" w:hAnsi="Consolas" w:eastAsia="Consolas"/>
          <w:b w:val="0"/>
          <w:i w:val="0"/>
          <w:color w:val="0A1628"/>
          <w:sz w:val="17"/>
          <w:shd w:fill="EEF2F6"/>
        </w:rPr>
        <w:t>provider_id</w:t>
      </w:r>
      <w:r>
        <w:rPr>
          <w:rFonts w:ascii="Aptos" w:hAnsi="Aptos" w:eastAsia="Aptos"/>
          <w:b w:val="0"/>
          <w:i w:val="0"/>
          <w:color w:val="0A1628"/>
          <w:sz w:val="20"/>
        </w:rPr>
        <w:t>. A branch user must be restricted to the assigned branch unless explicitly granted cross-branch authority.</w:t>
      </w:r>
    </w:p>
    <w:p>
      <w:pPr>
        <w:pStyle w:val="Heading3"/>
        <w:keepNext/>
      </w:pPr>
      <w:r>
        <w:rPr>
          <w:rFonts w:ascii="Aptos" w:hAnsi="Aptos" w:eastAsia="Aptos"/>
          <w:b w:val="0"/>
          <w:i w:val="0"/>
          <w:color w:val="0A1628"/>
          <w:sz w:val="20"/>
        </w:rPr>
        <w:t>8.21 Routing examples</w:t>
      </w:r>
    </w:p>
    <w:p>
      <w:pPr>
        <w:pStyle w:val="Heading4"/>
        <w:keepNext/>
      </w:pPr>
      <w:r>
        <w:rPr>
          <w:rFonts w:ascii="Aptos" w:hAnsi="Aptos" w:eastAsia="Aptos"/>
          <w:b w:val="0"/>
          <w:i w:val="0"/>
          <w:color w:val="0A1628"/>
          <w:sz w:val="20"/>
        </w:rPr>
        <w:t>Mandalay</w:t>
      </w:r>
    </w:p>
    <w:p>
      <w:r>
        <w:rPr>
          <w:rFonts w:ascii="Aptos" w:hAnsi="Aptos" w:eastAsia="Aptos"/>
          <w:b w:val="0"/>
          <w:i w:val="0"/>
          <w:color w:val="0A1628"/>
          <w:sz w:val="20"/>
        </w:rPr>
        <w:t>Current default policy:</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managing_branch = MDY</w:t>
              <w:br/>
              <w:t>fulfillment_mode = BRANCH_THIRD_PARTY</w:t>
              <w:br/>
              <w:t>executing_provider = DK_DELIVERY</w:t>
            </w:r>
          </w:p>
        </w:tc>
      </w:tr>
    </w:tbl>
    <w:p>
      <w:pPr>
        <w:spacing w:after="0"/>
      </w:pPr>
    </w:p>
    <w:p>
      <w:r>
        <w:rPr>
          <w:rFonts w:ascii="Aptos" w:hAnsi="Aptos" w:eastAsia="Aptos"/>
          <w:b w:val="0"/>
          <w:i w:val="0"/>
          <w:color w:val="0A1628"/>
          <w:sz w:val="20"/>
        </w:rPr>
        <w:t>This is a configurable current rule, not a hardcoded permanent rule.</w:t>
      </w:r>
    </w:p>
    <w:p>
      <w:pPr>
        <w:pStyle w:val="Heading4"/>
        <w:keepNext/>
      </w:pPr>
      <w:r>
        <w:rPr>
          <w:rFonts w:ascii="Aptos" w:hAnsi="Aptos" w:eastAsia="Aptos"/>
          <w:b w:val="0"/>
          <w:i w:val="0"/>
          <w:color w:val="0A1628"/>
          <w:sz w:val="20"/>
        </w:rPr>
        <w:t>Nay Pyi Taw</w:t>
      </w:r>
    </w:p>
    <w:p>
      <w:r>
        <w:rPr>
          <w:rFonts w:ascii="Aptos" w:hAnsi="Aptos" w:eastAsia="Aptos"/>
          <w:b w:val="0"/>
          <w:i w:val="0"/>
          <w:color w:val="0A1628"/>
          <w:sz w:val="20"/>
        </w:rPr>
        <w:t>Current default policy:</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managing_branch = NPT</w:t>
              <w:br/>
              <w:t>fulfillment_mode = BRANCH_DIRECT</w:t>
              <w:br/>
              <w:t>executing_provider = BRITIUM_NPT_BRANCH</w:t>
            </w:r>
          </w:p>
        </w:tc>
      </w:tr>
    </w:tbl>
    <w:p>
      <w:pPr>
        <w:spacing w:after="0"/>
      </w:pPr>
    </w:p>
    <w:p>
      <w:r>
        <w:rPr>
          <w:rFonts w:ascii="Aptos" w:hAnsi="Aptos" w:eastAsia="Aptos"/>
          <w:b w:val="0"/>
          <w:i w:val="0"/>
          <w:color w:val="0A1628"/>
          <w:sz w:val="20"/>
        </w:rPr>
        <w:t>When the branch outsources a specific township or capacity overflow:</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managing_branch = NPT</w:t>
              <w:br/>
              <w:t>fulfillment_mode = BRANCH_THIRD_PARTY</w:t>
              <w:br/>
              <w:t>executing_provider = configured provider</w:t>
            </w:r>
          </w:p>
        </w:tc>
      </w:tr>
    </w:tbl>
    <w:p>
      <w:pPr>
        <w:spacing w:after="0"/>
      </w:pPr>
    </w:p>
    <w:p>
      <w:pPr>
        <w:pStyle w:val="Heading4"/>
        <w:keepNext/>
      </w:pPr>
      <w:r>
        <w:rPr>
          <w:rFonts w:ascii="Aptos" w:hAnsi="Aptos" w:eastAsia="Aptos"/>
          <w:b w:val="0"/>
          <w:i w:val="0"/>
          <w:color w:val="0A1628"/>
          <w:sz w:val="20"/>
        </w:rPr>
        <w:t>Other non-direct destinations</w:t>
      </w:r>
    </w:p>
    <w:p>
      <w:r>
        <w:rPr>
          <w:rFonts w:ascii="Aptos" w:hAnsi="Aptos" w:eastAsia="Aptos"/>
          <w:b w:val="0"/>
          <w:i w:val="0"/>
          <w:color w:val="0A1628"/>
          <w:sz w:val="20"/>
        </w:rPr>
        <w:t>Current configurable preference:</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1. ROYAL_EXPRESS</w:t>
              <w:br/>
              <w:t>2. ARLU_POST / NINJA_VAN / SAFE_DELIVERY according to coverage and contract</w:t>
              <w:br/>
              <w:t>3. MANUAL_ROUTING_REQUIRED when no provider is valid</w:t>
            </w:r>
          </w:p>
        </w:tc>
      </w:tr>
    </w:tbl>
    <w:p>
      <w:pPr>
        <w:spacing w:after="0"/>
      </w:pPr>
    </w:p>
    <w:p>
      <w:r>
        <w:rPr>
          <w:rFonts w:ascii="Aptos" w:hAnsi="Aptos" w:eastAsia="Aptos"/>
          <w:b w:val="0"/>
          <w:i w:val="0"/>
          <w:color w:val="0A1628"/>
          <w:sz w:val="20"/>
        </w:rPr>
        <w:t>The order between fallback providers must be configured by destination and service type rather than globally assumed.</w:t>
      </w:r>
    </w:p>
    <w:p>
      <w:pPr>
        <w:pStyle w:val="Heading3"/>
        <w:keepNext/>
      </w:pPr>
      <w:r>
        <w:rPr>
          <w:rFonts w:ascii="Aptos" w:hAnsi="Aptos" w:eastAsia="Aptos"/>
          <w:b w:val="0"/>
          <w:i w:val="0"/>
          <w:color w:val="0A1628"/>
          <w:sz w:val="20"/>
        </w:rPr>
        <w:t>8.22 Acceptance criteria</w:t>
      </w:r>
    </w:p>
    <w:p>
      <w:pPr>
        <w:pStyle w:val="ListBullet"/>
        <w:ind w:left="0"/>
      </w:pPr>
      <w:r>
        <w:rPr>
          <w:rFonts w:ascii="Aptos" w:hAnsi="Aptos" w:eastAsia="Aptos"/>
          <w:b w:val="0"/>
          <w:i w:val="0"/>
          <w:color w:val="0A1628"/>
          <w:sz w:val="20"/>
        </w:rPr>
        <w:t>Every non-direct Way has one managing branch and one executing provider.</w:t>
      </w:r>
    </w:p>
    <w:p>
      <w:pPr>
        <w:pStyle w:val="ListBullet"/>
        <w:ind w:left="0"/>
      </w:pPr>
      <w:r>
        <w:rPr>
          <w:rFonts w:ascii="Aptos" w:hAnsi="Aptos" w:eastAsia="Aptos"/>
          <w:b w:val="0"/>
          <w:i w:val="0"/>
          <w:color w:val="0A1628"/>
          <w:sz w:val="20"/>
        </w:rPr>
        <w:t>Every external handover has a manifest and line-level acceptance.</w:t>
      </w:r>
    </w:p>
    <w:p>
      <w:pPr>
        <w:pStyle w:val="ListBullet"/>
        <w:ind w:left="0"/>
      </w:pPr>
      <w:r>
        <w:rPr>
          <w:rFonts w:ascii="Aptos" w:hAnsi="Aptos" w:eastAsia="Aptos"/>
          <w:b w:val="0"/>
          <w:i w:val="0"/>
          <w:color w:val="0A1628"/>
          <w:sz w:val="20"/>
        </w:rPr>
        <w:t>Britium Way ID remains canonical across all providers.</w:t>
      </w:r>
    </w:p>
    <w:p>
      <w:pPr>
        <w:pStyle w:val="ListBullet"/>
        <w:ind w:left="0"/>
      </w:pPr>
      <w:r>
        <w:rPr>
          <w:rFonts w:ascii="Aptos" w:hAnsi="Aptos" w:eastAsia="Aptos"/>
          <w:b w:val="0"/>
          <w:i w:val="0"/>
          <w:color w:val="0A1628"/>
          <w:sz w:val="20"/>
        </w:rPr>
        <w:t>Partner tracking events are deduplicated and auditable.</w:t>
      </w:r>
    </w:p>
    <w:p>
      <w:pPr>
        <w:pStyle w:val="ListBullet"/>
        <w:ind w:left="0"/>
      </w:pPr>
      <w:r>
        <w:rPr>
          <w:rFonts w:ascii="Aptos" w:hAnsi="Aptos" w:eastAsia="Aptos"/>
          <w:b w:val="0"/>
          <w:i w:val="0"/>
          <w:color w:val="0A1628"/>
          <w:sz w:val="20"/>
        </w:rPr>
        <w:t>A delivered outsourced Way has validated POD or an authorized waiver.</w:t>
      </w:r>
    </w:p>
    <w:p>
      <w:pPr>
        <w:pStyle w:val="ListBullet"/>
        <w:ind w:left="0"/>
      </w:pPr>
      <w:r>
        <w:rPr>
          <w:rFonts w:ascii="Aptos" w:hAnsi="Aptos" w:eastAsia="Aptos"/>
          <w:b w:val="0"/>
          <w:i w:val="0"/>
          <w:color w:val="0A1628"/>
          <w:sz w:val="20"/>
        </w:rPr>
        <w:t>COD custody can be identified at any time.</w:t>
      </w:r>
    </w:p>
    <w:p>
      <w:pPr>
        <w:pStyle w:val="ListBullet"/>
        <w:ind w:left="0"/>
      </w:pPr>
      <w:r>
        <w:rPr>
          <w:rFonts w:ascii="Aptos" w:hAnsi="Aptos" w:eastAsia="Aptos"/>
          <w:b w:val="0"/>
          <w:i w:val="0"/>
          <w:color w:val="0A1628"/>
          <w:sz w:val="20"/>
        </w:rPr>
        <w:t>Customer collection, merchant settlement, Britium revenue, provider cost, and branch cash remain separate.</w:t>
      </w:r>
    </w:p>
    <w:p>
      <w:pPr>
        <w:pStyle w:val="ListBullet"/>
        <w:ind w:left="0"/>
      </w:pPr>
      <w:r>
        <w:rPr>
          <w:rFonts w:ascii="Aptos" w:hAnsi="Aptos" w:eastAsia="Aptos"/>
          <w:b w:val="0"/>
          <w:i w:val="0"/>
          <w:color w:val="0A1628"/>
          <w:sz w:val="20"/>
        </w:rPr>
        <w:t>Partner settlement uses stored contract/tariff snapshots.</w:t>
      </w:r>
    </w:p>
    <w:p>
      <w:pPr>
        <w:pStyle w:val="ListBullet"/>
        <w:ind w:left="0"/>
      </w:pPr>
      <w:r>
        <w:rPr>
          <w:rFonts w:ascii="Aptos" w:hAnsi="Aptos" w:eastAsia="Aptos"/>
          <w:b w:val="0"/>
          <w:i w:val="0"/>
          <w:color w:val="0A1628"/>
          <w:sz w:val="20"/>
        </w:rPr>
        <w:t>A provider invoice cannot charge the same Way twice.</w:t>
      </w:r>
    </w:p>
    <w:p>
      <w:pPr>
        <w:pStyle w:val="ListBullet"/>
        <w:ind w:left="0"/>
      </w:pPr>
      <w:r>
        <w:rPr>
          <w:rFonts w:ascii="Aptos" w:hAnsi="Aptos" w:eastAsia="Aptos"/>
          <w:b w:val="0"/>
          <w:i w:val="0"/>
          <w:color w:val="0A1628"/>
          <w:sz w:val="20"/>
        </w:rPr>
        <w:t>A branch and headquarters cannot both pay the same partner charge.</w:t>
      </w:r>
    </w:p>
    <w:p>
      <w:pPr>
        <w:pStyle w:val="ListBullet"/>
        <w:ind w:left="0"/>
      </w:pPr>
      <w:r>
        <w:rPr>
          <w:rFonts w:ascii="Aptos" w:hAnsi="Aptos" w:eastAsia="Aptos"/>
          <w:b w:val="0"/>
          <w:i w:val="0"/>
          <w:color w:val="0A1628"/>
          <w:sz w:val="20"/>
        </w:rPr>
        <w:t>Mandalay can default to DK Delivery through configuration.</w:t>
      </w:r>
    </w:p>
    <w:p>
      <w:pPr>
        <w:pStyle w:val="ListBullet"/>
        <w:ind w:left="0"/>
      </w:pPr>
      <w:r>
        <w:rPr>
          <w:rFonts w:ascii="Aptos" w:hAnsi="Aptos" w:eastAsia="Aptos"/>
          <w:b w:val="0"/>
          <w:i w:val="0"/>
          <w:color w:val="0A1628"/>
          <w:sz w:val="20"/>
        </w:rPr>
        <w:t>Nay Pyi Taw can be monitored as a branch-managed flow.</w:t>
      </w:r>
    </w:p>
    <w:p>
      <w:pPr>
        <w:pStyle w:val="ListBullet"/>
        <w:ind w:left="0"/>
      </w:pPr>
      <w:r>
        <w:rPr>
          <w:rFonts w:ascii="Aptos" w:hAnsi="Aptos" w:eastAsia="Aptos"/>
          <w:b w:val="0"/>
          <w:i w:val="0"/>
          <w:color w:val="0A1628"/>
          <w:sz w:val="20"/>
        </w:rPr>
        <w:t>Royal Express, Arlu Post, Ninja Van, and Safe Delivery Services can be configured by destination, priority, and effective date.</w:t>
      </w:r>
    </w:p>
    <w:p>
      <w:pPr>
        <w:pStyle w:val="ListBullet"/>
        <w:ind w:left="0"/>
      </w:pPr>
      <w:r>
        <w:rPr>
          <w:rFonts w:ascii="Aptos" w:hAnsi="Aptos" w:eastAsia="Aptos"/>
          <w:b w:val="0"/>
          <w:i w:val="0"/>
          <w:color w:val="0A1628"/>
          <w:sz w:val="20"/>
        </w:rPr>
        <w:t>Out-of-reach parcels without a valid route are blocked and shown in the routing queue.</w:t>
      </w:r>
    </w:p>
    <w:p>
      <w:pPr>
        <w:pStyle w:val="ListBullet"/>
        <w:ind w:left="0"/>
      </w:pPr>
      <w:r>
        <w:rPr>
          <w:rFonts w:ascii="Aptos" w:hAnsi="Aptos" w:eastAsia="Aptos"/>
          <w:b w:val="0"/>
          <w:i w:val="0"/>
          <w:color w:val="0A1628"/>
          <w:sz w:val="20"/>
        </w:rPr>
        <w:t>Partner and branch financial totals reconcile to Way-level records and COD custody events.</w:t>
      </w:r>
    </w:p>
    <w:p>
      <w:pPr>
        <w:pStyle w:val="Heading2"/>
        <w:keepNext/>
      </w:pPr>
      <w:r>
        <w:rPr>
          <w:rFonts w:ascii="Aptos" w:hAnsi="Aptos" w:eastAsia="Aptos"/>
          <w:b w:val="0"/>
          <w:i w:val="0"/>
          <w:color w:val="0A1628"/>
          <w:sz w:val="20"/>
        </w:rPr>
        <w:t>9. Naypyitaw Branch &lt;-&gt; Head Office Settlement</w:t>
      </w:r>
    </w:p>
    <w:p>
      <w:r>
        <w:rPr>
          <w:rFonts w:ascii="Aptos" w:hAnsi="Aptos" w:eastAsia="Aptos"/>
          <w:b w:val="0"/>
          <w:i w:val="0"/>
          <w:color w:val="0A1628"/>
          <w:sz w:val="20"/>
        </w:rPr>
      </w:r>
      <w:r>
        <w:rPr>
          <w:rFonts w:ascii="Aptos" w:hAnsi="Aptos" w:eastAsia="Aptos"/>
          <w:b/>
          <w:i w:val="0"/>
          <w:color w:val="0A1628"/>
          <w:sz w:val="20"/>
        </w:rPr>
        <w:t>Active scope:</w:t>
      </w:r>
      <w:r>
        <w:rPr>
          <w:rFonts w:ascii="Aptos" w:hAnsi="Aptos" w:eastAsia="Aptos"/>
          <w:b w:val="0"/>
          <w:i w:val="0"/>
          <w:color w:val="0A1628"/>
          <w:sz w:val="20"/>
        </w:rPr>
        <w:t xml:space="preserve"> Naypyitaw (</w:t>
      </w:r>
      <w:r>
        <w:rPr>
          <w:rFonts w:ascii="Consolas" w:hAnsi="Consolas" w:eastAsia="Consolas"/>
          <w:b w:val="0"/>
          <w:i w:val="0"/>
          <w:color w:val="0A1628"/>
          <w:sz w:val="17"/>
          <w:shd w:fill="EEF2F6"/>
        </w:rPr>
        <w:t>NPT</w:t>
      </w:r>
      <w:r>
        <w:rPr>
          <w:rFonts w:ascii="Aptos" w:hAnsi="Aptos" w:eastAsia="Aptos"/>
          <w:b w:val="0"/>
          <w:i w:val="0"/>
          <w:color w:val="0A1628"/>
          <w:sz w:val="20"/>
        </w:rPr>
        <w:t>) only. Mandalay and partner settlements use their own contracts and must not inherit this rule.</w:t>
      </w:r>
    </w:p>
    <w:p>
      <w:r>
        <w:rPr>
          <w:rFonts w:ascii="Aptos" w:hAnsi="Aptos" w:eastAsia="Aptos"/>
          <w:b w:val="0"/>
          <w:i w:val="0"/>
          <w:color w:val="0A1628"/>
          <w:sz w:val="20"/>
        </w:rPr>
      </w:r>
      <w:r>
        <w:rPr>
          <w:rFonts w:ascii="Aptos" w:hAnsi="Aptos" w:eastAsia="Aptos"/>
          <w:b/>
          <w:i w:val="0"/>
          <w:color w:val="0A1628"/>
          <w:sz w:val="20"/>
        </w:rPr>
        <w:t>Business-rule interpretation requiring approval:</w:t>
      </w:r>
      <w:r>
        <w:rPr>
          <w:rFonts w:ascii="Aptos" w:hAnsi="Aptos" w:eastAsia="Aptos"/>
          <w:b w:val="0"/>
          <w:i w:val="0"/>
          <w:color w:val="0A1628"/>
          <w:sz w:val="20"/>
        </w:rPr>
        <w:t xml:space="preserve"> The phrase "every branch pays 10% gross revenue management fee to Head Office" is implemented as 10% of the branch's allocated 55% or 45% gross share. If management intends 10% of total delivery revenue instead, the rule version must be changed before activation.</w:t>
      </w:r>
    </w:p>
    <w:p>
      <w:pPr>
        <w:pStyle w:val="Heading3"/>
        <w:keepNext/>
      </w:pPr>
      <w:r>
        <w:rPr>
          <w:rFonts w:ascii="Aptos" w:hAnsi="Aptos" w:eastAsia="Aptos"/>
          <w:b w:val="0"/>
          <w:i w:val="0"/>
          <w:color w:val="0A1628"/>
          <w:sz w:val="20"/>
        </w:rPr>
        <w:t>9.1 Objective</w:t>
      </w:r>
    </w:p>
    <w:p>
      <w:r>
        <w:rPr>
          <w:rFonts w:ascii="Aptos" w:hAnsi="Aptos" w:eastAsia="Aptos"/>
          <w:b w:val="0"/>
          <w:i w:val="0"/>
          <w:color w:val="0A1628"/>
          <w:sz w:val="20"/>
        </w:rPr>
        <w:t>Replace the current per-shipment finance-lock behavior with a backend-authoritative Branch &lt;-&gt; Head Office settlement workflow that separately controls:</w:t>
      </w:r>
    </w:p>
    <w:p>
      <w:pPr>
        <w:pStyle w:val="ListNumber"/>
        <w:ind w:left="0"/>
      </w:pPr>
      <w:r>
        <w:rPr>
          <w:rFonts w:ascii="Aptos" w:hAnsi="Aptos" w:eastAsia="Aptos"/>
          <w:b w:val="0"/>
          <w:i w:val="0"/>
          <w:color w:val="0A1628"/>
          <w:sz w:val="20"/>
        </w:rPr>
        <w:t>Customer COD custody and remittance.</w:t>
      </w:r>
    </w:p>
    <w:p>
      <w:pPr>
        <w:pStyle w:val="ListNumber"/>
        <w:ind w:left="0"/>
      </w:pPr>
      <w:r>
        <w:rPr>
          <w:rFonts w:ascii="Aptos" w:hAnsi="Aptos" w:eastAsia="Aptos"/>
          <w:b w:val="0"/>
          <w:i w:val="0"/>
          <w:color w:val="0A1628"/>
          <w:sz w:val="20"/>
        </w:rPr>
        <w:t>Merchant payable amounts.</w:t>
      </w:r>
    </w:p>
    <w:p>
      <w:pPr>
        <w:pStyle w:val="ListNumber"/>
        <w:ind w:left="0"/>
      </w:pPr>
      <w:r>
        <w:rPr>
          <w:rFonts w:ascii="Aptos" w:hAnsi="Aptos" w:eastAsia="Aptos"/>
          <w:b w:val="0"/>
          <w:i w:val="0"/>
          <w:color w:val="0A1628"/>
          <w:sz w:val="20"/>
        </w:rPr>
        <w:t>Delivery-fee revenue sharing.</w:t>
      </w:r>
    </w:p>
    <w:p>
      <w:pPr>
        <w:pStyle w:val="ListNumber"/>
        <w:ind w:left="0"/>
      </w:pPr>
      <w:r>
        <w:rPr>
          <w:rFonts w:ascii="Aptos" w:hAnsi="Aptos" w:eastAsia="Aptos"/>
          <w:b w:val="0"/>
          <w:i w:val="0"/>
          <w:color w:val="0A1628"/>
          <w:sz w:val="20"/>
        </w:rPr>
        <w:t>Head Office management fees.</w:t>
      </w:r>
    </w:p>
    <w:p>
      <w:pPr>
        <w:pStyle w:val="ListNumber"/>
        <w:ind w:left="0"/>
      </w:pPr>
      <w:r>
        <w:rPr>
          <w:rFonts w:ascii="Aptos" w:hAnsi="Aptos" w:eastAsia="Aptos"/>
          <w:b w:val="0"/>
          <w:i w:val="0"/>
          <w:color w:val="0A1628"/>
          <w:sz w:val="20"/>
        </w:rPr>
        <w:t>Branch penalties and approved adjustments.</w:t>
      </w:r>
    </w:p>
    <w:p>
      <w:pPr>
        <w:pStyle w:val="ListNumber"/>
        <w:ind w:left="0"/>
      </w:pPr>
      <w:r>
        <w:rPr>
          <w:rFonts w:ascii="Aptos" w:hAnsi="Aptos" w:eastAsia="Aptos"/>
          <w:b w:val="0"/>
          <w:i w:val="0"/>
          <w:color w:val="0A1628"/>
          <w:sz w:val="20"/>
        </w:rPr>
        <w:t>Prepaid delivery-fee settlement.</w:t>
      </w:r>
    </w:p>
    <w:p>
      <w:pPr>
        <w:pStyle w:val="ListNumber"/>
        <w:ind w:left="0"/>
      </w:pPr>
      <w:r>
        <w:rPr>
          <w:rFonts w:ascii="Aptos" w:hAnsi="Aptos" w:eastAsia="Aptos"/>
          <w:b w:val="0"/>
          <w:i w:val="0"/>
          <w:color w:val="0A1628"/>
          <w:sz w:val="20"/>
        </w:rPr>
        <w:t>Settlement batches, approval, payment and audit history.</w:t>
      </w:r>
    </w:p>
    <w:p>
      <w:r>
        <w:rPr>
          <w:rFonts w:ascii="Aptos" w:hAnsi="Aptos" w:eastAsia="Aptos"/>
          <w:b w:val="0"/>
          <w:i w:val="0"/>
          <w:color w:val="0A1628"/>
          <w:sz w:val="20"/>
        </w:rPr>
        <w:t>The initial production release applies only to Naypyitaw branch transactions.</w:t>
      </w:r>
    </w:p>
    <w:p>
      <w:pPr>
        <w:pStyle w:val="Heading3"/>
        <w:keepNext/>
      </w:pPr>
      <w:r>
        <w:rPr>
          <w:rFonts w:ascii="Aptos" w:hAnsi="Aptos" w:eastAsia="Aptos"/>
          <w:b w:val="0"/>
          <w:i w:val="0"/>
          <w:color w:val="0A1628"/>
          <w:sz w:val="20"/>
        </w:rPr>
        <w:t>9.2 Current Business Rules</w:t>
      </w:r>
    </w:p>
    <w:p>
      <w:r>
        <w:rPr>
          <w:rFonts w:ascii="Aptos" w:hAnsi="Aptos" w:eastAsia="Aptos"/>
          <w:b w:val="0"/>
          <w:i w:val="0"/>
          <w:color w:val="0A1628"/>
          <w:sz w:val="20"/>
        </w:rPr>
        <w:t xml:space="preserve">For an eligible inter-office delivery charge </w:t>
      </w:r>
      <w:r>
        <w:rPr>
          <w:rFonts w:ascii="Consolas" w:hAnsi="Consolas" w:eastAsia="Consolas"/>
          <w:b w:val="0"/>
          <w:i w:val="0"/>
          <w:color w:val="0A1628"/>
          <w:sz w:val="17"/>
          <w:shd w:fill="EEF2F6"/>
        </w:rPr>
        <w:t>D</w:t>
      </w:r>
      <w:r>
        <w:rPr>
          <w:rFonts w:ascii="Aptos" w:hAnsi="Aptos" w:eastAsia="Aptos"/>
          <w:b w:val="0"/>
          <w:i w:val="0"/>
          <w:color w:val="0A1628"/>
          <w:sz w:val="20"/>
        </w:rPr>
        <w:t>:</w:t>
      </w:r>
    </w:p>
    <w:p>
      <w:pPr>
        <w:pStyle w:val="ListBullet"/>
        <w:ind w:left="0"/>
      </w:pPr>
      <w:r>
        <w:rPr>
          <w:rFonts w:ascii="Aptos" w:hAnsi="Aptos" w:eastAsia="Aptos"/>
          <w:b w:val="0"/>
          <w:i w:val="0"/>
          <w:color w:val="0A1628"/>
          <w:sz w:val="20"/>
        </w:rPr>
        <w:t xml:space="preserve">Highway drop-off / sender-side gross share: </w:t>
      </w:r>
      <w:r>
        <w:rPr>
          <w:rFonts w:ascii="Consolas" w:hAnsi="Consolas" w:eastAsia="Consolas"/>
          <w:b w:val="0"/>
          <w:i w:val="0"/>
          <w:color w:val="0A1628"/>
          <w:sz w:val="17"/>
          <w:shd w:fill="EEF2F6"/>
        </w:rPr>
        <w:t>55% x D</w:t>
      </w:r>
      <w:r>
        <w:rPr>
          <w:rFonts w:ascii="Aptos" w:hAnsi="Aptos" w:eastAsia="Aptos"/>
          <w:b w:val="0"/>
          <w:i w:val="0"/>
          <w:color w:val="0A1628"/>
          <w:sz w:val="20"/>
        </w:rPr>
        <w:t>.</w:t>
      </w:r>
    </w:p>
    <w:p>
      <w:pPr>
        <w:pStyle w:val="ListBullet"/>
        <w:ind w:left="0"/>
      </w:pPr>
      <w:r>
        <w:rPr>
          <w:rFonts w:ascii="Aptos" w:hAnsi="Aptos" w:eastAsia="Aptos"/>
          <w:b w:val="0"/>
          <w:i w:val="0"/>
          <w:color w:val="0A1628"/>
          <w:sz w:val="20"/>
        </w:rPr>
        <w:t xml:space="preserve">Receiver / last-mile-side gross share: </w:t>
      </w:r>
      <w:r>
        <w:rPr>
          <w:rFonts w:ascii="Consolas" w:hAnsi="Consolas" w:eastAsia="Consolas"/>
          <w:b w:val="0"/>
          <w:i w:val="0"/>
          <w:color w:val="0A1628"/>
          <w:sz w:val="17"/>
          <w:shd w:fill="EEF2F6"/>
        </w:rPr>
        <w:t>45% x D</w:t>
      </w:r>
      <w:r>
        <w:rPr>
          <w:rFonts w:ascii="Aptos" w:hAnsi="Aptos" w:eastAsia="Aptos"/>
          <w:b w:val="0"/>
          <w:i w:val="0"/>
          <w:color w:val="0A1628"/>
          <w:sz w:val="20"/>
        </w:rPr>
        <w:t>.</w:t>
      </w:r>
    </w:p>
    <w:p>
      <w:pPr>
        <w:pStyle w:val="ListBullet"/>
        <w:ind w:left="0"/>
      </w:pPr>
      <w:r>
        <w:rPr>
          <w:rFonts w:ascii="Aptos" w:hAnsi="Aptos" w:eastAsia="Aptos"/>
          <w:b w:val="0"/>
          <w:i w:val="0"/>
          <w:color w:val="0A1628"/>
          <w:sz w:val="20"/>
        </w:rPr>
        <w:t xml:space="preserve">Every branch pays Head Office a management fee equal to </w:t>
      </w:r>
      <w:r>
        <w:rPr>
          <w:rFonts w:ascii="Consolas" w:hAnsi="Consolas" w:eastAsia="Consolas"/>
          <w:b w:val="0"/>
          <w:i w:val="0"/>
          <w:color w:val="0A1628"/>
          <w:sz w:val="17"/>
          <w:shd w:fill="EEF2F6"/>
        </w:rPr>
        <w:t>10%</w:t>
      </w:r>
      <w:r>
        <w:rPr>
          <w:rFonts w:ascii="Aptos" w:hAnsi="Aptos" w:eastAsia="Aptos"/>
          <w:b w:val="0"/>
          <w:i w:val="0"/>
          <w:color w:val="0A1628"/>
          <w:sz w:val="20"/>
        </w:rPr>
        <w:t xml:space="preserve"> of that branch's allocated gross share.</w:t>
      </w:r>
    </w:p>
    <w:p>
      <w:pPr>
        <w:pStyle w:val="ListBullet"/>
        <w:ind w:left="0"/>
      </w:pPr>
      <w:r>
        <w:rPr>
          <w:rFonts w:ascii="Aptos" w:hAnsi="Aptos" w:eastAsia="Aptos"/>
          <w:b w:val="0"/>
          <w:i w:val="0"/>
          <w:color w:val="0A1628"/>
          <w:sz w:val="20"/>
        </w:rPr>
        <w:t>Head Office does not charge itself a management fee when Head Office performs one side of the movement.</w:t>
      </w:r>
    </w:p>
    <w:p>
      <w:pPr>
        <w:pStyle w:val="ListBullet"/>
        <w:ind w:left="0"/>
      </w:pPr>
      <w:r>
        <w:rPr>
          <w:rFonts w:ascii="Aptos" w:hAnsi="Aptos" w:eastAsia="Aptos"/>
          <w:b w:val="0"/>
          <w:i w:val="0"/>
          <w:color w:val="0A1628"/>
          <w:sz w:val="20"/>
        </w:rPr>
        <w:t>Cargo damage, loss, wrong handoff and other approved penalties are deducted from the responsible branch.</w:t>
      </w:r>
    </w:p>
    <w:p>
      <w:pPr>
        <w:pStyle w:val="Heading4"/>
        <w:keepNext/>
      </w:pPr>
      <w:r>
        <w:rPr>
          <w:rFonts w:ascii="Aptos" w:hAnsi="Aptos" w:eastAsia="Aptos"/>
          <w:b w:val="0"/>
          <w:i w:val="0"/>
          <w:color w:val="0A1628"/>
          <w:sz w:val="20"/>
        </w:rPr>
        <w:t>9.2.1 Entity-aware management-fee rule</w:t>
      </w:r>
    </w:p>
    <w:p>
      <w:r>
        <w:rPr>
          <w:rFonts w:ascii="Aptos" w:hAnsi="Aptos" w:eastAsia="Aptos"/>
          <w:b w:val="0"/>
          <w:i w:val="0"/>
          <w:color w:val="0A1628"/>
          <w:sz w:val="20"/>
        </w:rPr>
        <w:t>For each operational side:</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management_fee =</w:t>
              <w:br/>
              <w:t xml:space="preserve">  allocated_gross_share x 10%</w:t>
              <w:br/>
              <w:t xml:space="preserve">  when the operational party is a BRANCH</w:t>
              <w:br/>
              <w:br/>
              <w:t>management_fee = 0</w:t>
              <w:br/>
              <w:t xml:space="preserve">  when the operational party is HEAD_OFFICE</w:t>
            </w:r>
          </w:p>
        </w:tc>
      </w:tr>
    </w:tbl>
    <w:p>
      <w:pPr>
        <w:spacing w:after="0"/>
      </w:pPr>
    </w:p>
    <w:p>
      <w:r>
        <w:rPr>
          <w:rFonts w:ascii="Aptos" w:hAnsi="Aptos" w:eastAsia="Aptos"/>
          <w:b w:val="0"/>
          <w:i w:val="0"/>
          <w:color w:val="0A1628"/>
          <w:sz w:val="20"/>
        </w:rPr>
        <w:t>This prevents Head Office from paying a fee to itself.</w:t>
      </w:r>
    </w:p>
    <w:p>
      <w:pPr>
        <w:pStyle w:val="Heading4"/>
        <w:keepNext/>
      </w:pPr>
      <w:r>
        <w:rPr>
          <w:rFonts w:ascii="Aptos" w:hAnsi="Aptos" w:eastAsia="Aptos"/>
          <w:b w:val="0"/>
          <w:i w:val="0"/>
          <w:color w:val="0A1628"/>
          <w:sz w:val="20"/>
        </w:rPr>
        <w:t>9.2.2 Branch net share</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branch_net_share =</w:t>
              <w:br/>
              <w:t xml:space="preserve">  branch_gross_share</w:t>
              <w:br/>
              <w:t xml:space="preserve">  - branch_management_fee</w:t>
              <w:br/>
              <w:t xml:space="preserve">  - approved_penalties</w:t>
              <w:br/>
              <w:t xml:space="preserve">  - approved_deductions</w:t>
              <w:br/>
              <w:t xml:space="preserve">  + approved_credits</w:t>
            </w:r>
          </w:p>
        </w:tc>
      </w:tr>
    </w:tbl>
    <w:p>
      <w:pPr>
        <w:spacing w:after="0"/>
      </w:pPr>
    </w:p>
    <w:p>
      <w:pPr>
        <w:pStyle w:val="Heading4"/>
        <w:keepNext/>
      </w:pPr>
      <w:r>
        <w:rPr>
          <w:rFonts w:ascii="Aptos" w:hAnsi="Aptos" w:eastAsia="Aptos"/>
          <w:b w:val="0"/>
          <w:i w:val="0"/>
          <w:color w:val="0A1628"/>
          <w:sz w:val="20"/>
        </w:rPr>
        <w:t>9.2.3 Head Office settlement revenue</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head_office_settlement_revenue =</w:t>
              <w:br/>
              <w:t xml:space="preserve">  head_office_operational_share</w:t>
              <w:br/>
              <w:t xml:space="preserve">  + management_fees_from_branches</w:t>
              <w:br/>
              <w:t xml:space="preserve">  + approved_penalties_payable_to_head_office</w:t>
              <w:br/>
              <w:t xml:space="preserve">  - approved_head_office_credits_to_branch</w:t>
            </w:r>
          </w:p>
        </w:tc>
      </w:tr>
    </w:tbl>
    <w:p>
      <w:pPr>
        <w:spacing w:after="0"/>
      </w:pPr>
    </w:p>
    <w:p>
      <w:pPr>
        <w:pStyle w:val="Heading3"/>
        <w:keepNext/>
      </w:pPr>
      <w:r>
        <w:rPr>
          <w:rFonts w:ascii="Aptos" w:hAnsi="Aptos" w:eastAsia="Aptos"/>
          <w:b w:val="0"/>
          <w:i w:val="0"/>
          <w:color w:val="0A1628"/>
          <w:sz w:val="20"/>
        </w:rPr>
        <w:t>9.3 Naypyitaw Route Scenarios</w:t>
      </w:r>
    </w:p>
    <w:p>
      <w:pPr>
        <w:pStyle w:val="Heading4"/>
        <w:keepNext/>
      </w:pPr>
      <w:r>
        <w:rPr>
          <w:rFonts w:ascii="Aptos" w:hAnsi="Aptos" w:eastAsia="Aptos"/>
          <w:b w:val="0"/>
          <w:i w:val="0"/>
          <w:color w:val="0A1628"/>
          <w:sz w:val="20"/>
        </w:rPr>
        <w:t>9.3.1 Head Office sends; Naypyitaw performs last mile</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sender_party_type      = HEAD_OFFICE</w:t>
              <w:br/>
              <w:t>sender_party_code      = YGN-HQ</w:t>
              <w:br/>
              <w:t>receiver_party_type    = BRANCH</w:t>
              <w:br/>
              <w:t>receiver_party_code    = NPT</w:t>
            </w:r>
          </w:p>
        </w:tc>
      </w:tr>
    </w:tbl>
    <w:p>
      <w:pPr>
        <w:spacing w:after="0"/>
      </w:pPr>
    </w:p>
    <w:p>
      <w:r>
        <w:rPr>
          <w:rFonts w:ascii="Aptos" w:hAnsi="Aptos" w:eastAsia="Aptos"/>
          <w:b w:val="0"/>
          <w:i w:val="0"/>
          <w:color w:val="0A1628"/>
          <w:sz w:val="20"/>
        </w:rPr>
        <w:t xml:space="preserve">For delivery charge </w:t>
      </w:r>
      <w:r>
        <w:rPr>
          <w:rFonts w:ascii="Consolas" w:hAnsi="Consolas" w:eastAsia="Consolas"/>
          <w:b w:val="0"/>
          <w:i w:val="0"/>
          <w:color w:val="0A1628"/>
          <w:sz w:val="17"/>
          <w:shd w:fill="EEF2F6"/>
        </w:rPr>
        <w:t>D</w:t>
      </w:r>
      <w:r>
        <w:rPr>
          <w:rFonts w:ascii="Aptos" w:hAnsi="Aptos" w:eastAsia="Aptos"/>
          <w:b w:val="0"/>
          <w:i w:val="0"/>
          <w:color w:val="0A1628"/>
          <w:sz w:val="20"/>
        </w:rPr>
        <w:t>:</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HQ sender gross share       = 55% x D</w:t>
              <w:br/>
              <w:t>NPT last-mile gross share   = 45% x D</w:t>
              <w:br/>
              <w:t>NPT management fee          = 10% x NPT gross share</w:t>
              <w:br/>
              <w:t>NPT net operational share   = 90% x NPT gross share</w:t>
              <w:br/>
              <w:t>HQ total before adjustments = HQ sender share + NPT management fee</w:t>
            </w:r>
          </w:p>
        </w:tc>
      </w:tr>
    </w:tbl>
    <w:p>
      <w:pPr>
        <w:spacing w:after="0"/>
      </w:pPr>
    </w:p>
    <w:p>
      <w:r>
        <w:rPr>
          <w:rFonts w:ascii="Aptos" w:hAnsi="Aptos" w:eastAsia="Aptos"/>
          <w:b w:val="0"/>
          <w:i w:val="0"/>
          <w:color w:val="0A1628"/>
          <w:sz w:val="20"/>
        </w:rPr>
        <w:t xml:space="preserve">Example for </w:t>
      </w:r>
      <w:r>
        <w:rPr>
          <w:rFonts w:ascii="Consolas" w:hAnsi="Consolas" w:eastAsia="Consolas"/>
          <w:b w:val="0"/>
          <w:i w:val="0"/>
          <w:color w:val="0A1628"/>
          <w:sz w:val="17"/>
          <w:shd w:fill="EEF2F6"/>
        </w:rPr>
        <w:t>D = 6,000 MMK</w:t>
      </w:r>
      <w:r>
        <w:rPr>
          <w:rFonts w:ascii="Aptos" w:hAnsi="Aptos" w:eastAsia="Aptos"/>
          <w:b w:val="0"/>
          <w:i w:val="0"/>
          <w:color w:val="0A1628"/>
          <w:sz w:val="20"/>
        </w:rPr>
        <w:t>:</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HQ sender gross share       = 3,300</w:t>
              <w:br/>
              <w:t>NPT last-mile gross share   = 2,700</w:t>
              <w:br/>
              <w:t>NPT management fee          =   270</w:t>
              <w:br/>
              <w:t>NPT net share               = 2,430</w:t>
              <w:br/>
              <w:t>HQ settlement revenue       = 3,570</w:t>
              <w:br/>
              <w:t>Total                       = 6,000</w:t>
            </w:r>
          </w:p>
        </w:tc>
      </w:tr>
    </w:tbl>
    <w:p>
      <w:pPr>
        <w:spacing w:after="0"/>
      </w:pPr>
    </w:p>
    <w:p>
      <w:pPr>
        <w:pStyle w:val="Heading4"/>
        <w:keepNext/>
      </w:pPr>
      <w:r>
        <w:rPr>
          <w:rFonts w:ascii="Aptos" w:hAnsi="Aptos" w:eastAsia="Aptos"/>
          <w:b w:val="0"/>
          <w:i w:val="0"/>
          <w:color w:val="0A1628"/>
          <w:sz w:val="20"/>
        </w:rPr>
        <w:t>9.3.2 Naypyitaw sends; Head Office performs last mile</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sender_party_type      = BRANCH</w:t>
              <w:br/>
              <w:t>sender_party_code      = NPT</w:t>
              <w:br/>
              <w:t>receiver_party_type    = HEAD_OFFICE</w:t>
              <w:br/>
              <w:t>receiver_party_code    = YGN-HQ</w:t>
            </w:r>
          </w:p>
        </w:tc>
      </w:tr>
    </w:tbl>
    <w:p>
      <w:pPr>
        <w:spacing w:after="0"/>
      </w:pPr>
    </w:p>
    <w:p>
      <w:r>
        <w:rPr>
          <w:rFonts w:ascii="Aptos" w:hAnsi="Aptos" w:eastAsia="Aptos"/>
          <w:b w:val="0"/>
          <w:i w:val="0"/>
          <w:color w:val="0A1628"/>
          <w:sz w:val="20"/>
        </w:rPr>
        <w:t xml:space="preserve">For delivery charge </w:t>
      </w:r>
      <w:r>
        <w:rPr>
          <w:rFonts w:ascii="Consolas" w:hAnsi="Consolas" w:eastAsia="Consolas"/>
          <w:b w:val="0"/>
          <w:i w:val="0"/>
          <w:color w:val="0A1628"/>
          <w:sz w:val="17"/>
          <w:shd w:fill="EEF2F6"/>
        </w:rPr>
        <w:t>D</w:t>
      </w:r>
      <w:r>
        <w:rPr>
          <w:rFonts w:ascii="Aptos" w:hAnsi="Aptos" w:eastAsia="Aptos"/>
          <w:b w:val="0"/>
          <w:i w:val="0"/>
          <w:color w:val="0A1628"/>
          <w:sz w:val="20"/>
        </w:rPr>
        <w:t>:</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NPT sender gross share      = 55% x D</w:t>
              <w:br/>
              <w:t>HQ last-mile gross share    = 45% x D</w:t>
              <w:br/>
              <w:t>NPT management fee          = 10% x NPT gross share</w:t>
              <w:br/>
              <w:t>NPT net operational share   = 90% x NPT gross share</w:t>
              <w:br/>
              <w:t>HQ total before adjustments = HQ last-mile share + NPT management fee</w:t>
            </w:r>
          </w:p>
        </w:tc>
      </w:tr>
    </w:tbl>
    <w:p>
      <w:pPr>
        <w:spacing w:after="0"/>
      </w:pPr>
    </w:p>
    <w:p>
      <w:r>
        <w:rPr>
          <w:rFonts w:ascii="Aptos" w:hAnsi="Aptos" w:eastAsia="Aptos"/>
          <w:b w:val="0"/>
          <w:i w:val="0"/>
          <w:color w:val="0A1628"/>
          <w:sz w:val="20"/>
        </w:rPr>
        <w:t xml:space="preserve">Example for </w:t>
      </w:r>
      <w:r>
        <w:rPr>
          <w:rFonts w:ascii="Consolas" w:hAnsi="Consolas" w:eastAsia="Consolas"/>
          <w:b w:val="0"/>
          <w:i w:val="0"/>
          <w:color w:val="0A1628"/>
          <w:sz w:val="17"/>
          <w:shd w:fill="EEF2F6"/>
        </w:rPr>
        <w:t>D = 6,000 MMK</w:t>
      </w:r>
      <w:r>
        <w:rPr>
          <w:rFonts w:ascii="Aptos" w:hAnsi="Aptos" w:eastAsia="Aptos"/>
          <w:b w:val="0"/>
          <w:i w:val="0"/>
          <w:color w:val="0A1628"/>
          <w:sz w:val="20"/>
        </w:rPr>
        <w:t>:</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NPT sender gross share      = 3,300</w:t>
              <w:br/>
              <w:t>HQ last-mile gross share    = 2,700</w:t>
              <w:br/>
              <w:t>NPT management fee          =   330</w:t>
              <w:br/>
              <w:t>NPT net share               = 2,970</w:t>
              <w:br/>
              <w:t>HQ settlement revenue       = 3,030</w:t>
              <w:br/>
              <w:t>Total                       = 6,000</w:t>
            </w:r>
          </w:p>
        </w:tc>
      </w:tr>
    </w:tbl>
    <w:p>
      <w:pPr>
        <w:spacing w:after="0"/>
      </w:pPr>
    </w:p>
    <w:p>
      <w:pPr>
        <w:pStyle w:val="Heading4"/>
        <w:keepNext/>
      </w:pPr>
      <w:r>
        <w:rPr>
          <w:rFonts w:ascii="Aptos" w:hAnsi="Aptos" w:eastAsia="Aptos"/>
          <w:b w:val="0"/>
          <w:i w:val="0"/>
          <w:color w:val="0A1628"/>
          <w:sz w:val="20"/>
        </w:rPr>
        <w:t>9.3.3 Future branch-to-branch scenario</w:t>
      </w:r>
    </w:p>
    <w:p>
      <w:r>
        <w:rPr>
          <w:rFonts w:ascii="Aptos" w:hAnsi="Aptos" w:eastAsia="Aptos"/>
          <w:b w:val="0"/>
          <w:i w:val="0"/>
          <w:color w:val="0A1628"/>
          <w:sz w:val="20"/>
        </w:rPr>
        <w:t>When two non-HQ branches participate, both branch shares incur the 10% management fee.</w:t>
      </w:r>
    </w:p>
    <w:p>
      <w:r>
        <w:rPr>
          <w:rFonts w:ascii="Aptos" w:hAnsi="Aptos" w:eastAsia="Aptos"/>
          <w:b w:val="0"/>
          <w:i w:val="0"/>
          <w:color w:val="0A1628"/>
          <w:sz w:val="20"/>
        </w:rPr>
        <w:t xml:space="preserve">For delivery charge </w:t>
      </w:r>
      <w:r>
        <w:rPr>
          <w:rFonts w:ascii="Consolas" w:hAnsi="Consolas" w:eastAsia="Consolas"/>
          <w:b w:val="0"/>
          <w:i w:val="0"/>
          <w:color w:val="0A1628"/>
          <w:sz w:val="17"/>
          <w:shd w:fill="EEF2F6"/>
        </w:rPr>
        <w:t>D</w:t>
      </w:r>
      <w:r>
        <w:rPr>
          <w:rFonts w:ascii="Aptos" w:hAnsi="Aptos" w:eastAsia="Aptos"/>
          <w:b w:val="0"/>
          <w:i w:val="0"/>
          <w:color w:val="0A1628"/>
          <w:sz w:val="20"/>
        </w:rPr>
        <w:t>:</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sender branch net     = 55% x D x 90%</w:t>
              <w:br/>
              <w:t>receiver branch net   = 45% x D x 90%</w:t>
              <w:br/>
              <w:t>HQ management fee     = 10% x (55% x D) + 10% x (45% x D)</w:t>
              <w:br/>
              <w:t xml:space="preserve">                      = 10% x D</w:t>
            </w:r>
          </w:p>
        </w:tc>
      </w:tr>
    </w:tbl>
    <w:p>
      <w:pPr>
        <w:spacing w:after="0"/>
      </w:pPr>
    </w:p>
    <w:p>
      <w:r>
        <w:rPr>
          <w:rFonts w:ascii="Aptos" w:hAnsi="Aptos" w:eastAsia="Aptos"/>
          <w:b w:val="0"/>
          <w:i w:val="0"/>
          <w:color w:val="0A1628"/>
          <w:sz w:val="20"/>
        </w:rPr>
        <w:t>This rule must be available in the engine but disabled from production selection until another branch settlement agreement is approved.</w:t>
      </w:r>
    </w:p>
    <w:p>
      <w:pPr>
        <w:pStyle w:val="Heading3"/>
        <w:keepNext/>
      </w:pPr>
      <w:r>
        <w:rPr>
          <w:rFonts w:ascii="Aptos" w:hAnsi="Aptos" w:eastAsia="Aptos"/>
          <w:b w:val="0"/>
          <w:i w:val="0"/>
          <w:color w:val="0A1628"/>
          <w:sz w:val="20"/>
        </w:rPr>
        <w:t>9.4 Revenue Basis</w:t>
      </w:r>
    </w:p>
    <w:p>
      <w:r>
        <w:rPr>
          <w:rFonts w:ascii="Aptos" w:hAnsi="Aptos" w:eastAsia="Aptos"/>
          <w:b w:val="0"/>
          <w:i w:val="0"/>
          <w:color w:val="0A1628"/>
          <w:sz w:val="20"/>
        </w:rPr>
        <w:t xml:space="preserve">The 55/45 split must use the approved </w:t>
      </w:r>
      <w:r>
        <w:rPr>
          <w:rFonts w:ascii="Aptos" w:hAnsi="Aptos" w:eastAsia="Aptos"/>
          <w:b/>
          <w:i w:val="0"/>
          <w:color w:val="0A1628"/>
          <w:sz w:val="20"/>
        </w:rPr>
        <w:t>branch-shareable delivery revenue</w:t>
      </w:r>
      <w:r>
        <w:rPr>
          <w:rFonts w:ascii="Aptos" w:hAnsi="Aptos" w:eastAsia="Aptos"/>
          <w:b w:val="0"/>
          <w:i w:val="0"/>
          <w:color w:val="0A1628"/>
          <w:sz w:val="20"/>
        </w:rPr>
        <w:t>, not the full receiver collection and not the item price.</w:t>
      </w:r>
    </w:p>
    <w:p>
      <w:r>
        <w:rPr>
          <w:rFonts w:ascii="Aptos" w:hAnsi="Aptos" w:eastAsia="Aptos"/>
          <w:b w:val="0"/>
          <w:i w:val="0"/>
          <w:color w:val="0A1628"/>
          <w:sz w:val="20"/>
        </w:rPr>
        <w:t>Recommended field:</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shareable_delivery_revenue_mmk</w:t>
            </w:r>
          </w:p>
        </w:tc>
      </w:tr>
    </w:tbl>
    <w:p>
      <w:pPr>
        <w:spacing w:after="0"/>
      </w:pPr>
    </w:p>
    <w:p>
      <w:r>
        <w:rPr>
          <w:rFonts w:ascii="Aptos" w:hAnsi="Aptos" w:eastAsia="Aptos"/>
          <w:b w:val="0"/>
          <w:i w:val="0"/>
          <w:color w:val="0A1628"/>
          <w:sz w:val="20"/>
        </w:rPr>
        <w:t>Default calculation:</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shareable_delivery_revenue_mmk =</w:t>
              <w:br/>
              <w:t xml:space="preserve">  net_system_delivery_charge</w:t>
              <w:br/>
              <w:t xml:space="preserve">  + branch_shareable_surcharges</w:t>
            </w:r>
          </w:p>
        </w:tc>
      </w:tr>
    </w:tbl>
    <w:p>
      <w:pPr>
        <w:spacing w:after="0"/>
      </w:pPr>
    </w:p>
    <w:p>
      <w:r>
        <w:rPr>
          <w:rFonts w:ascii="Aptos" w:hAnsi="Aptos" w:eastAsia="Aptos"/>
          <w:b w:val="0"/>
          <w:i w:val="0"/>
          <w:color w:val="0A1628"/>
          <w:sz w:val="20"/>
        </w:rPr>
        <w:t>The following must be explicitly configured as shareable or non-shareable:</w:t>
      </w:r>
    </w:p>
    <w:p>
      <w:pPr>
        <w:pStyle w:val="ListBullet"/>
        <w:ind w:left="0"/>
      </w:pPr>
      <w:r>
        <w:rPr>
          <w:rFonts w:ascii="Aptos" w:hAnsi="Aptos" w:eastAsia="Aptos"/>
          <w:b w:val="0"/>
          <w:i w:val="0"/>
          <w:color w:val="0A1628"/>
          <w:sz w:val="20"/>
        </w:rPr>
        <w:t>Extra-weight surcharge.</w:t>
      </w:r>
    </w:p>
    <w:p>
      <w:pPr>
        <w:pStyle w:val="ListBullet"/>
        <w:ind w:left="0"/>
      </w:pPr>
      <w:r>
        <w:rPr>
          <w:rFonts w:ascii="Aptos" w:hAnsi="Aptos" w:eastAsia="Aptos"/>
          <w:b w:val="0"/>
          <w:i w:val="0"/>
          <w:color w:val="0A1628"/>
          <w:sz w:val="20"/>
        </w:rPr>
        <w:t>CBM surcharge.</w:t>
      </w:r>
    </w:p>
    <w:p>
      <w:pPr>
        <w:pStyle w:val="ListBullet"/>
        <w:ind w:left="0"/>
      </w:pPr>
      <w:r>
        <w:rPr>
          <w:rFonts w:ascii="Aptos" w:hAnsi="Aptos" w:eastAsia="Aptos"/>
          <w:b w:val="0"/>
          <w:i w:val="0"/>
          <w:color w:val="0A1628"/>
          <w:sz w:val="20"/>
        </w:rPr>
        <w:t>Remote-area surcharge.</w:t>
      </w:r>
    </w:p>
    <w:p>
      <w:pPr>
        <w:pStyle w:val="ListBullet"/>
        <w:ind w:left="0"/>
      </w:pPr>
      <w:r>
        <w:rPr>
          <w:rFonts w:ascii="Aptos" w:hAnsi="Aptos" w:eastAsia="Aptos"/>
          <w:b w:val="0"/>
          <w:i w:val="0"/>
          <w:color w:val="0A1628"/>
          <w:sz w:val="20"/>
        </w:rPr>
        <w:t>Redelivery charge.</w:t>
      </w:r>
    </w:p>
    <w:p>
      <w:pPr>
        <w:pStyle w:val="ListBullet"/>
        <w:ind w:left="0"/>
      </w:pPr>
      <w:r>
        <w:rPr>
          <w:rFonts w:ascii="Aptos" w:hAnsi="Aptos" w:eastAsia="Aptos"/>
          <w:b w:val="0"/>
          <w:i w:val="0"/>
          <w:color w:val="0A1628"/>
          <w:sz w:val="20"/>
        </w:rPr>
        <w:t>Return charge.</w:t>
      </w:r>
    </w:p>
    <w:p>
      <w:pPr>
        <w:pStyle w:val="ListBullet"/>
        <w:ind w:left="0"/>
      </w:pPr>
      <w:r>
        <w:rPr>
          <w:rFonts w:ascii="Aptos" w:hAnsi="Aptos" w:eastAsia="Aptos"/>
          <w:b w:val="0"/>
          <w:i w:val="0"/>
          <w:color w:val="0A1628"/>
          <w:sz w:val="20"/>
        </w:rPr>
        <w:t>Handling charge.</w:t>
      </w:r>
    </w:p>
    <w:p>
      <w:pPr>
        <w:pStyle w:val="ListBullet"/>
        <w:ind w:left="0"/>
      </w:pPr>
      <w:r>
        <w:rPr>
          <w:rFonts w:ascii="Aptos" w:hAnsi="Aptos" w:eastAsia="Aptos"/>
          <w:b w:val="0"/>
          <w:i w:val="0"/>
          <w:color w:val="0A1628"/>
          <w:sz w:val="20"/>
        </w:rPr>
        <w:t>Insurance.</w:t>
      </w:r>
    </w:p>
    <w:p>
      <w:pPr>
        <w:pStyle w:val="ListBullet"/>
        <w:ind w:left="0"/>
      </w:pPr>
      <w:r>
        <w:rPr>
          <w:rFonts w:ascii="Aptos" w:hAnsi="Aptos" w:eastAsia="Aptos"/>
          <w:b w:val="0"/>
          <w:i w:val="0"/>
          <w:color w:val="0A1628"/>
          <w:sz w:val="20"/>
        </w:rPr>
        <w:t>Merchant-declared delivery excess.</w:t>
      </w:r>
    </w:p>
    <w:p>
      <w:pPr>
        <w:pStyle w:val="ListBullet"/>
        <w:ind w:left="0"/>
      </w:pPr>
      <w:r>
        <w:rPr>
          <w:rFonts w:ascii="Aptos" w:hAnsi="Aptos" w:eastAsia="Aptos"/>
          <w:b w:val="0"/>
          <w:i w:val="0"/>
          <w:color w:val="0A1628"/>
          <w:sz w:val="20"/>
        </w:rPr>
        <w:t>Company-owned additional customer charge.</w:t>
      </w:r>
    </w:p>
    <w:p>
      <w:r>
        <w:rPr>
          <w:rFonts w:ascii="Aptos" w:hAnsi="Aptos" w:eastAsia="Aptos"/>
          <w:b w:val="0"/>
          <w:i w:val="0"/>
          <w:color w:val="0A1628"/>
          <w:sz w:val="20"/>
        </w:rPr>
        <w:t xml:space="preserve">Until configuration is approved, only </w:t>
      </w:r>
      <w:r>
        <w:rPr>
          <w:rFonts w:ascii="Consolas" w:hAnsi="Consolas" w:eastAsia="Consolas"/>
          <w:b w:val="0"/>
          <w:i w:val="0"/>
          <w:color w:val="0A1628"/>
          <w:sz w:val="17"/>
          <w:shd w:fill="EEF2F6"/>
        </w:rPr>
        <w:t>net_system_delivery_charge</w:t>
      </w:r>
      <w:r>
        <w:rPr>
          <w:rFonts w:ascii="Aptos" w:hAnsi="Aptos" w:eastAsia="Aptos"/>
          <w:b w:val="0"/>
          <w:i w:val="0"/>
          <w:color w:val="0A1628"/>
          <w:sz w:val="20"/>
        </w:rPr>
        <w:t xml:space="preserve"> is shareable.</w:t>
      </w:r>
    </w:p>
    <w:p>
      <w:r>
        <w:rPr>
          <w:rFonts w:ascii="Aptos" w:hAnsi="Aptos" w:eastAsia="Aptos"/>
          <w:b w:val="0"/>
          <w:i w:val="0"/>
          <w:color w:val="0A1628"/>
          <w:sz w:val="20"/>
        </w:rPr>
        <w:t>Merchant-declared delivery excess or shortfall remains part of merchant settlement and must not automatically enter the branch 55/45 revenue split.</w:t>
      </w:r>
    </w:p>
    <w:p>
      <w:pPr>
        <w:pStyle w:val="Heading3"/>
        <w:keepNext/>
      </w:pPr>
      <w:r>
        <w:rPr>
          <w:rFonts w:ascii="Aptos" w:hAnsi="Aptos" w:eastAsia="Aptos"/>
          <w:b w:val="0"/>
          <w:i w:val="0"/>
          <w:color w:val="0A1628"/>
          <w:sz w:val="20"/>
        </w:rPr>
        <w:t>9.5 COD Settlement</w:t>
      </w:r>
    </w:p>
    <w:p>
      <w:r>
        <w:rPr>
          <w:rFonts w:ascii="Aptos" w:hAnsi="Aptos" w:eastAsia="Aptos"/>
          <w:b w:val="0"/>
          <w:i w:val="0"/>
          <w:color w:val="0A1628"/>
          <w:sz w:val="20"/>
        </w:rPr>
        <w:t>COD settlement and delivery-revenue sharing are separate calculations.</w:t>
      </w:r>
    </w:p>
    <w:p>
      <w:pPr>
        <w:pStyle w:val="Heading4"/>
        <w:keepNext/>
      </w:pPr>
      <w:r>
        <w:rPr>
          <w:rFonts w:ascii="Aptos" w:hAnsi="Aptos" w:eastAsia="Aptos"/>
          <w:b w:val="0"/>
          <w:i w:val="0"/>
          <w:color w:val="0A1628"/>
          <w:sz w:val="20"/>
        </w:rPr>
        <w:t>9.5.1 Gross COD custody</w:t>
      </w:r>
    </w:p>
    <w:p>
      <w:r>
        <w:rPr>
          <w:rFonts w:ascii="Aptos" w:hAnsi="Aptos" w:eastAsia="Aptos"/>
          <w:b w:val="0"/>
          <w:i w:val="0"/>
          <w:color w:val="0A1628"/>
          <w:sz w:val="20"/>
        </w:rPr>
        <w:t>Store:</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customer_total_collected</w:t>
              <w:br/>
              <w:t>item_price_component</w:t>
              <w:br/>
              <w:t>merchant_delivery_component</w:t>
              <w:br/>
              <w:t>additional_customer_charge</w:t>
              <w:br/>
              <w:t>cod_custody_holder</w:t>
              <w:br/>
              <w:t>cod_collected_at</w:t>
              <w:br/>
              <w:t>cod_remitted_amount</w:t>
              <w:br/>
              <w:t>cod_remitted_at</w:t>
              <w:br/>
              <w:t>cod_remittance_reference</w:t>
              <w:br/>
              <w:t>cod_shortage</w:t>
              <w:br/>
              <w:t>cod_overage</w:t>
            </w:r>
          </w:p>
        </w:tc>
      </w:tr>
    </w:tbl>
    <w:p>
      <w:pPr>
        <w:spacing w:after="0"/>
      </w:pPr>
    </w:p>
    <w:p>
      <w:pPr>
        <w:pStyle w:val="Heading4"/>
        <w:keepNext/>
      </w:pPr>
      <w:r>
        <w:rPr>
          <w:rFonts w:ascii="Aptos" w:hAnsi="Aptos" w:eastAsia="Aptos"/>
          <w:b w:val="0"/>
          <w:i w:val="0"/>
          <w:color w:val="0A1628"/>
          <w:sz w:val="20"/>
        </w:rPr>
        <w:t>9.5.2 Merchant payable</w:t>
      </w:r>
    </w:p>
    <w:p>
      <w:r>
        <w:rPr>
          <w:rFonts w:ascii="Aptos" w:hAnsi="Aptos" w:eastAsia="Aptos"/>
          <w:b w:val="0"/>
          <w:i w:val="0"/>
          <w:color w:val="0A1628"/>
          <w:sz w:val="20"/>
        </w:rPr>
        <w:t>Use the existing backend merchant-settlement result:</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merchant_final_settlement_amount</w:t>
            </w:r>
          </w:p>
        </w:tc>
      </w:tr>
    </w:tbl>
    <w:p>
      <w:pPr>
        <w:spacing w:after="0"/>
      </w:pPr>
    </w:p>
    <w:p>
      <w:r>
        <w:rPr>
          <w:rFonts w:ascii="Aptos" w:hAnsi="Aptos" w:eastAsia="Aptos"/>
          <w:b w:val="0"/>
          <w:i w:val="0"/>
          <w:color w:val="0A1628"/>
          <w:sz w:val="20"/>
        </w:rPr>
        <w:t>The branch share must never be deducted from the merchant's item amount.</w:t>
      </w:r>
    </w:p>
    <w:p>
      <w:pPr>
        <w:pStyle w:val="Heading4"/>
        <w:keepNext/>
      </w:pPr>
      <w:r>
        <w:rPr>
          <w:rFonts w:ascii="Aptos" w:hAnsi="Aptos" w:eastAsia="Aptos"/>
          <w:b w:val="0"/>
          <w:i w:val="0"/>
          <w:color w:val="0A1628"/>
          <w:sz w:val="20"/>
        </w:rPr>
        <w:t>9.5.3 COD remittance requirement</w:t>
      </w:r>
    </w:p>
    <w:p>
      <w:r>
        <w:rPr>
          <w:rFonts w:ascii="Aptos" w:hAnsi="Aptos" w:eastAsia="Aptos"/>
          <w:b w:val="0"/>
          <w:i w:val="0"/>
          <w:color w:val="0A1628"/>
          <w:sz w:val="20"/>
        </w:rPr>
        <w:t>A branch settlement batch cannot be finalized unless:</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branch_recorded_customer_collection</w:t>
              <w:br/>
              <w:t>= head_office_confirmed_remittance</w:t>
              <w:br/>
              <w:t>+ approved_refunds</w:t>
              <w:br/>
              <w:t>+ approved_shortages</w:t>
              <w:br/>
              <w:t>- approved_overages</w:t>
            </w:r>
          </w:p>
        </w:tc>
      </w:tr>
    </w:tbl>
    <w:p>
      <w:pPr>
        <w:spacing w:after="0"/>
      </w:pPr>
    </w:p>
    <w:p>
      <w:r>
        <w:rPr>
          <w:rFonts w:ascii="Aptos" w:hAnsi="Aptos" w:eastAsia="Aptos"/>
          <w:b w:val="0"/>
          <w:i w:val="0"/>
          <w:color w:val="0A1628"/>
          <w:sz w:val="20"/>
        </w:rPr>
        <w:t xml:space="preserve">Any difference opens </w:t>
      </w:r>
      <w:r>
        <w:rPr>
          <w:rFonts w:ascii="Consolas" w:hAnsi="Consolas" w:eastAsia="Consolas"/>
          <w:b w:val="0"/>
          <w:i w:val="0"/>
          <w:color w:val="0A1628"/>
          <w:sz w:val="17"/>
          <w:shd w:fill="EEF2F6"/>
        </w:rPr>
        <w:t>COD_REMITTANCE_MISMATCH</w:t>
      </w:r>
      <w:r>
        <w:rPr>
          <w:rFonts w:ascii="Aptos" w:hAnsi="Aptos" w:eastAsia="Aptos"/>
          <w:b w:val="0"/>
          <w:i w:val="0"/>
          <w:color w:val="0A1628"/>
          <w:sz w:val="20"/>
        </w:rPr>
        <w:t>.</w:t>
      </w:r>
    </w:p>
    <w:p>
      <w:pPr>
        <w:pStyle w:val="Heading4"/>
        <w:keepNext/>
      </w:pPr>
      <w:r>
        <w:rPr>
          <w:rFonts w:ascii="Aptos" w:hAnsi="Aptos" w:eastAsia="Aptos"/>
          <w:b w:val="0"/>
          <w:i w:val="0"/>
          <w:color w:val="0A1628"/>
          <w:sz w:val="20"/>
        </w:rPr>
        <w:t>9.5.4 Netting policy</w:t>
      </w:r>
    </w:p>
    <w:p>
      <w:r>
        <w:rPr>
          <w:rFonts w:ascii="Aptos" w:hAnsi="Aptos" w:eastAsia="Aptos"/>
          <w:b w:val="0"/>
          <w:i w:val="0"/>
          <w:color w:val="0A1628"/>
          <w:sz w:val="20"/>
        </w:rPr>
        <w:t>Phase 1 should use gross accounting:</w:t>
      </w:r>
    </w:p>
    <w:p>
      <w:pPr>
        <w:pStyle w:val="ListBullet"/>
        <w:ind w:left="0"/>
      </w:pPr>
      <w:r>
        <w:rPr>
          <w:rFonts w:ascii="Aptos" w:hAnsi="Aptos" w:eastAsia="Aptos"/>
          <w:b w:val="0"/>
          <w:i w:val="0"/>
          <w:color w:val="0A1628"/>
          <w:sz w:val="20"/>
        </w:rPr>
        <w:t>Branch remits the full COD/customer collection owed to Head Office.</w:t>
      </w:r>
    </w:p>
    <w:p>
      <w:pPr>
        <w:pStyle w:val="ListBullet"/>
        <w:ind w:left="0"/>
      </w:pPr>
      <w:r>
        <w:rPr>
          <w:rFonts w:ascii="Aptos" w:hAnsi="Aptos" w:eastAsia="Aptos"/>
          <w:b w:val="0"/>
          <w:i w:val="0"/>
          <w:color w:val="0A1628"/>
          <w:sz w:val="20"/>
        </w:rPr>
        <w:t>Head Office separately pays the approved branch net revenue share.</w:t>
      </w:r>
    </w:p>
    <w:p>
      <w:r>
        <w:rPr>
          <w:rFonts w:ascii="Aptos" w:hAnsi="Aptos" w:eastAsia="Aptos"/>
          <w:b w:val="0"/>
          <w:i w:val="0"/>
          <w:color w:val="0A1628"/>
          <w:sz w:val="20"/>
        </w:rPr>
        <w:t>Do not silently net branch revenue against COD remittance.</w:t>
      </w:r>
    </w:p>
    <w:p>
      <w:r>
        <w:rPr>
          <w:rFonts w:ascii="Aptos" w:hAnsi="Aptos" w:eastAsia="Aptos"/>
          <w:b w:val="0"/>
          <w:i w:val="0"/>
          <w:color w:val="0A1628"/>
          <w:sz w:val="20"/>
        </w:rPr>
        <w:t>If net settlement is introduced later, it must be an explicit batch-level method with separate gross ledger entries.</w:t>
      </w:r>
    </w:p>
    <w:p>
      <w:pPr>
        <w:pStyle w:val="Heading3"/>
        <w:keepNext/>
      </w:pPr>
      <w:r>
        <w:rPr>
          <w:rFonts w:ascii="Aptos" w:hAnsi="Aptos" w:eastAsia="Aptos"/>
          <w:b w:val="0"/>
          <w:i w:val="0"/>
          <w:color w:val="0A1628"/>
          <w:sz w:val="20"/>
        </w:rPr>
        <w:t>9.6 Prepaid Settlement</w:t>
      </w:r>
    </w:p>
    <w:p>
      <w:r>
        <w:rPr>
          <w:rFonts w:ascii="Aptos" w:hAnsi="Aptos" w:eastAsia="Aptos"/>
          <w:b w:val="0"/>
          <w:i w:val="0"/>
          <w:color w:val="0A1628"/>
          <w:sz w:val="20"/>
        </w:rPr>
        <w:t>For prepaid parcels:</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customer_total_collected_at_delivery = 0</w:t>
            </w:r>
          </w:p>
        </w:tc>
      </w:tr>
    </w:tbl>
    <w:p>
      <w:pPr>
        <w:spacing w:after="0"/>
      </w:pPr>
    </w:p>
    <w:p>
      <w:r>
        <w:rPr>
          <w:rFonts w:ascii="Aptos" w:hAnsi="Aptos" w:eastAsia="Aptos"/>
          <w:b w:val="0"/>
          <w:i w:val="0"/>
          <w:color w:val="0A1628"/>
          <w:sz w:val="20"/>
        </w:rPr>
        <w:t>The delivery fee remains eligible for the 55/45 split when:</w:t>
      </w:r>
    </w:p>
    <w:p>
      <w:pPr>
        <w:pStyle w:val="ListBullet"/>
        <w:ind w:left="0"/>
      </w:pPr>
      <w:r>
        <w:rPr>
          <w:rFonts w:ascii="Aptos" w:hAnsi="Aptos" w:eastAsia="Aptos"/>
          <w:b w:val="0"/>
          <w:i w:val="0"/>
          <w:color w:val="0A1628"/>
          <w:sz w:val="20"/>
        </w:rPr>
        <w:t>The parcel is delivered.</w:t>
      </w:r>
    </w:p>
    <w:p>
      <w:pPr>
        <w:pStyle w:val="ListBullet"/>
        <w:ind w:left="0"/>
      </w:pPr>
      <w:r>
        <w:rPr>
          <w:rFonts w:ascii="Aptos" w:hAnsi="Aptos" w:eastAsia="Aptos"/>
          <w:b w:val="0"/>
          <w:i w:val="0"/>
          <w:color w:val="0A1628"/>
          <w:sz w:val="20"/>
        </w:rPr>
        <w:t>The fee was successfully collected or recognized by Britium.</w:t>
      </w:r>
    </w:p>
    <w:p>
      <w:pPr>
        <w:pStyle w:val="ListBullet"/>
        <w:ind w:left="0"/>
      </w:pPr>
      <w:r>
        <w:rPr>
          <w:rFonts w:ascii="Aptos" w:hAnsi="Aptos" w:eastAsia="Aptos"/>
          <w:b w:val="0"/>
          <w:i w:val="0"/>
          <w:color w:val="0A1628"/>
          <w:sz w:val="20"/>
        </w:rPr>
        <w:t>The parcel has valid route-side assignments.</w:t>
      </w:r>
    </w:p>
    <w:p>
      <w:pPr>
        <w:pStyle w:val="ListBullet"/>
        <w:ind w:left="0"/>
      </w:pPr>
      <w:r>
        <w:rPr>
          <w:rFonts w:ascii="Aptos" w:hAnsi="Aptos" w:eastAsia="Aptos"/>
          <w:b w:val="0"/>
          <w:i w:val="0"/>
          <w:color w:val="0A1628"/>
          <w:sz w:val="20"/>
        </w:rPr>
        <w:t>No financial hold is open.</w:t>
      </w:r>
    </w:p>
    <w:p>
      <w:r>
        <w:rPr>
          <w:rFonts w:ascii="Aptos" w:hAnsi="Aptos" w:eastAsia="Aptos"/>
          <w:b w:val="0"/>
          <w:i w:val="0"/>
          <w:color w:val="0A1628"/>
          <w:sz w:val="20"/>
        </w:rPr>
        <w:t>The settlement screen must show:</w:t>
      </w:r>
    </w:p>
    <w:p>
      <w:pPr>
        <w:pStyle w:val="ListBullet"/>
        <w:ind w:left="0"/>
      </w:pPr>
      <w:r>
        <w:rPr>
          <w:rFonts w:ascii="Aptos" w:hAnsi="Aptos" w:eastAsia="Aptos"/>
          <w:b w:val="0"/>
          <w:i w:val="0"/>
          <w:color w:val="0A1628"/>
          <w:sz w:val="20"/>
        </w:rPr>
        <w:t>Prepaid delivery revenue.</w:t>
      </w:r>
    </w:p>
    <w:p>
      <w:pPr>
        <w:pStyle w:val="ListBullet"/>
        <w:ind w:left="0"/>
      </w:pPr>
      <w:r>
        <w:rPr>
          <w:rFonts w:ascii="Aptos" w:hAnsi="Aptos" w:eastAsia="Aptos"/>
          <w:b w:val="0"/>
          <w:i w:val="0"/>
          <w:color w:val="0A1628"/>
          <w:sz w:val="20"/>
        </w:rPr>
        <w:t>Sender gross share.</w:t>
      </w:r>
    </w:p>
    <w:p>
      <w:pPr>
        <w:pStyle w:val="ListBullet"/>
        <w:ind w:left="0"/>
      </w:pPr>
      <w:r>
        <w:rPr>
          <w:rFonts w:ascii="Aptos" w:hAnsi="Aptos" w:eastAsia="Aptos"/>
          <w:b w:val="0"/>
          <w:i w:val="0"/>
          <w:color w:val="0A1628"/>
          <w:sz w:val="20"/>
        </w:rPr>
        <w:t>Receiver gross share.</w:t>
      </w:r>
    </w:p>
    <w:p>
      <w:pPr>
        <w:pStyle w:val="ListBullet"/>
        <w:ind w:left="0"/>
      </w:pPr>
      <w:r>
        <w:rPr>
          <w:rFonts w:ascii="Aptos" w:hAnsi="Aptos" w:eastAsia="Aptos"/>
          <w:b w:val="0"/>
          <w:i w:val="0"/>
          <w:color w:val="0A1628"/>
          <w:sz w:val="20"/>
        </w:rPr>
        <w:t>Branch management fee.</w:t>
      </w:r>
    </w:p>
    <w:p>
      <w:pPr>
        <w:pStyle w:val="ListBullet"/>
        <w:ind w:left="0"/>
      </w:pPr>
      <w:r>
        <w:rPr>
          <w:rFonts w:ascii="Aptos" w:hAnsi="Aptos" w:eastAsia="Aptos"/>
          <w:b w:val="0"/>
          <w:i w:val="0"/>
          <w:color w:val="0A1628"/>
          <w:sz w:val="20"/>
        </w:rPr>
        <w:t>Branch net share.</w:t>
      </w:r>
    </w:p>
    <w:p>
      <w:pPr>
        <w:pStyle w:val="ListBullet"/>
        <w:ind w:left="0"/>
      </w:pPr>
      <w:r>
        <w:rPr>
          <w:rFonts w:ascii="Aptos" w:hAnsi="Aptos" w:eastAsia="Aptos"/>
          <w:b w:val="0"/>
          <w:i w:val="0"/>
          <w:color w:val="0A1628"/>
          <w:sz w:val="20"/>
        </w:rPr>
        <w:t>Penalties and adjustments.</w:t>
      </w:r>
    </w:p>
    <w:p>
      <w:pPr>
        <w:pStyle w:val="ListBullet"/>
        <w:ind w:left="0"/>
      </w:pPr>
      <w:r>
        <w:rPr>
          <w:rFonts w:ascii="Aptos" w:hAnsi="Aptos" w:eastAsia="Aptos"/>
          <w:b w:val="0"/>
          <w:i w:val="0"/>
          <w:color w:val="0A1628"/>
          <w:sz w:val="20"/>
        </w:rPr>
        <w:t>Final Head Office payable or receivable.</w:t>
      </w:r>
    </w:p>
    <w:p>
      <w:pPr>
        <w:pStyle w:val="Heading3"/>
        <w:keepNext/>
      </w:pPr>
      <w:r>
        <w:rPr>
          <w:rFonts w:ascii="Aptos" w:hAnsi="Aptos" w:eastAsia="Aptos"/>
          <w:b w:val="0"/>
          <w:i w:val="0"/>
          <w:color w:val="0A1628"/>
          <w:sz w:val="20"/>
        </w:rPr>
        <w:t>9.7 Penalties</w:t>
      </w:r>
    </w:p>
    <w:p>
      <w:r>
        <w:rPr>
          <w:rFonts w:ascii="Aptos" w:hAnsi="Aptos" w:eastAsia="Aptos"/>
          <w:b w:val="0"/>
          <w:i w:val="0"/>
          <w:color w:val="0A1628"/>
          <w:sz w:val="20"/>
        </w:rPr>
        <w:t>Supported penalty types:</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CARGO_DAMAGE</w:t>
              <w:br/>
              <w:t>CARGO_LOSS</w:t>
              <w:br/>
              <w:t>WRONG_HANDOFF</w:t>
              <w:br/>
              <w:t>MISSING_POD</w:t>
              <w:br/>
              <w:t>LATE_COD_REMITTANCE</w:t>
              <w:br/>
              <w:t>COD_SHORTAGE</w:t>
              <w:br/>
              <w:t>UNAUTHORIZED_CHARGE</w:t>
              <w:br/>
              <w:t>SLA_BREACH</w:t>
              <w:br/>
              <w:t>RETURN_PROCESS_FAILURE</w:t>
              <w:br/>
              <w:t>OTHER</w:t>
            </w:r>
          </w:p>
        </w:tc>
      </w:tr>
    </w:tbl>
    <w:p>
      <w:pPr>
        <w:spacing w:after="0"/>
      </w:pPr>
    </w:p>
    <w:p>
      <w:r>
        <w:rPr>
          <w:rFonts w:ascii="Aptos" w:hAnsi="Aptos" w:eastAsia="Aptos"/>
          <w:b w:val="0"/>
          <w:i w:val="0"/>
          <w:color w:val="0A1628"/>
          <w:sz w:val="20"/>
        </w:rPr>
        <w:t>Each penalty requires:</w:t>
      </w:r>
    </w:p>
    <w:p>
      <w:pPr>
        <w:pStyle w:val="ListBullet"/>
        <w:ind w:left="0"/>
      </w:pPr>
      <w:r>
        <w:rPr>
          <w:rFonts w:ascii="Aptos" w:hAnsi="Aptos" w:eastAsia="Aptos"/>
          <w:b w:val="0"/>
          <w:i w:val="0"/>
          <w:color w:val="0A1628"/>
          <w:sz w:val="20"/>
        </w:rPr>
        <w:t>Responsible party.</w:t>
      </w:r>
    </w:p>
    <w:p>
      <w:pPr>
        <w:pStyle w:val="ListBullet"/>
        <w:ind w:left="0"/>
      </w:pPr>
      <w:r>
        <w:rPr>
          <w:rFonts w:ascii="Aptos" w:hAnsi="Aptos" w:eastAsia="Aptos"/>
          <w:b w:val="0"/>
          <w:i w:val="0"/>
          <w:color w:val="0A1628"/>
          <w:sz w:val="20"/>
        </w:rPr>
        <w:t>Way ID.</w:t>
      </w:r>
    </w:p>
    <w:p>
      <w:pPr>
        <w:pStyle w:val="ListBullet"/>
        <w:ind w:left="0"/>
      </w:pPr>
      <w:r>
        <w:rPr>
          <w:rFonts w:ascii="Aptos" w:hAnsi="Aptos" w:eastAsia="Aptos"/>
          <w:b w:val="0"/>
          <w:i w:val="0"/>
          <w:color w:val="0A1628"/>
          <w:sz w:val="20"/>
        </w:rPr>
        <w:t>Settlement batch or period.</w:t>
      </w:r>
    </w:p>
    <w:p>
      <w:pPr>
        <w:pStyle w:val="ListBullet"/>
        <w:ind w:left="0"/>
      </w:pPr>
      <w:r>
        <w:rPr>
          <w:rFonts w:ascii="Aptos" w:hAnsi="Aptos" w:eastAsia="Aptos"/>
          <w:b w:val="0"/>
          <w:i w:val="0"/>
          <w:color w:val="0A1628"/>
          <w:sz w:val="20"/>
        </w:rPr>
        <w:t>Penalty type.</w:t>
      </w:r>
    </w:p>
    <w:p>
      <w:pPr>
        <w:pStyle w:val="ListBullet"/>
        <w:ind w:left="0"/>
      </w:pPr>
      <w:r>
        <w:rPr>
          <w:rFonts w:ascii="Aptos" w:hAnsi="Aptos" w:eastAsia="Aptos"/>
          <w:b w:val="0"/>
          <w:i w:val="0"/>
          <w:color w:val="0A1628"/>
          <w:sz w:val="20"/>
        </w:rPr>
        <w:t>Claimed amount.</w:t>
      </w:r>
    </w:p>
    <w:p>
      <w:pPr>
        <w:pStyle w:val="ListBullet"/>
        <w:ind w:left="0"/>
      </w:pPr>
      <w:r>
        <w:rPr>
          <w:rFonts w:ascii="Aptos" w:hAnsi="Aptos" w:eastAsia="Aptos"/>
          <w:b w:val="0"/>
          <w:i w:val="0"/>
          <w:color w:val="0A1628"/>
          <w:sz w:val="20"/>
        </w:rPr>
        <w:t>Approved amount.</w:t>
      </w:r>
    </w:p>
    <w:p>
      <w:pPr>
        <w:pStyle w:val="ListBullet"/>
        <w:ind w:left="0"/>
      </w:pPr>
      <w:r>
        <w:rPr>
          <w:rFonts w:ascii="Aptos" w:hAnsi="Aptos" w:eastAsia="Aptos"/>
          <w:b w:val="0"/>
          <w:i w:val="0"/>
          <w:color w:val="0A1628"/>
          <w:sz w:val="20"/>
        </w:rPr>
        <w:t>Reason.</w:t>
      </w:r>
    </w:p>
    <w:p>
      <w:pPr>
        <w:pStyle w:val="ListBullet"/>
        <w:ind w:left="0"/>
      </w:pPr>
      <w:r>
        <w:rPr>
          <w:rFonts w:ascii="Aptos" w:hAnsi="Aptos" w:eastAsia="Aptos"/>
          <w:b w:val="0"/>
          <w:i w:val="0"/>
          <w:color w:val="0A1628"/>
          <w:sz w:val="20"/>
        </w:rPr>
        <w:t>Evidence.</w:t>
      </w:r>
    </w:p>
    <w:p>
      <w:pPr>
        <w:pStyle w:val="ListBullet"/>
        <w:ind w:left="0"/>
      </w:pPr>
      <w:r>
        <w:rPr>
          <w:rFonts w:ascii="Aptos" w:hAnsi="Aptos" w:eastAsia="Aptos"/>
          <w:b w:val="0"/>
          <w:i w:val="0"/>
          <w:color w:val="0A1628"/>
          <w:sz w:val="20"/>
        </w:rPr>
        <w:t>Requested by.</w:t>
      </w:r>
    </w:p>
    <w:p>
      <w:pPr>
        <w:pStyle w:val="ListBullet"/>
        <w:ind w:left="0"/>
      </w:pPr>
      <w:r>
        <w:rPr>
          <w:rFonts w:ascii="Aptos" w:hAnsi="Aptos" w:eastAsia="Aptos"/>
          <w:b w:val="0"/>
          <w:i w:val="0"/>
          <w:color w:val="0A1628"/>
          <w:sz w:val="20"/>
        </w:rPr>
        <w:t>Approved by.</w:t>
      </w:r>
    </w:p>
    <w:p>
      <w:pPr>
        <w:pStyle w:val="ListBullet"/>
        <w:ind w:left="0"/>
      </w:pPr>
      <w:r>
        <w:rPr>
          <w:rFonts w:ascii="Aptos" w:hAnsi="Aptos" w:eastAsia="Aptos"/>
          <w:b w:val="0"/>
          <w:i w:val="0"/>
          <w:color w:val="0A1628"/>
          <w:sz w:val="20"/>
        </w:rPr>
        <w:t>Dispute status.</w:t>
      </w:r>
    </w:p>
    <w:p>
      <w:pPr>
        <w:pStyle w:val="ListBullet"/>
        <w:ind w:left="0"/>
      </w:pPr>
      <w:r>
        <w:rPr>
          <w:rFonts w:ascii="Aptos" w:hAnsi="Aptos" w:eastAsia="Aptos"/>
          <w:b w:val="0"/>
          <w:i w:val="0"/>
          <w:color w:val="0A1628"/>
          <w:sz w:val="20"/>
        </w:rPr>
        <w:t>Effective date.</w:t>
      </w:r>
    </w:p>
    <w:p>
      <w:r>
        <w:rPr>
          <w:rFonts w:ascii="Aptos" w:hAnsi="Aptos" w:eastAsia="Aptos"/>
          <w:b w:val="0"/>
          <w:i w:val="0"/>
          <w:color w:val="0A1628"/>
          <w:sz w:val="20"/>
        </w:rPr>
        <w:t>A penalty must not overwrite the original shipment or revenue-share calculation. It must be a separate ledger adjustment.</w:t>
      </w:r>
    </w:p>
    <w:p>
      <w:pPr>
        <w:pStyle w:val="Heading3"/>
        <w:keepNext/>
      </w:pPr>
      <w:r>
        <w:rPr>
          <w:rFonts w:ascii="Aptos" w:hAnsi="Aptos" w:eastAsia="Aptos"/>
          <w:b w:val="0"/>
          <w:i w:val="0"/>
          <w:color w:val="0A1628"/>
          <w:sz w:val="20"/>
        </w:rPr>
        <w:t>9.8 Settlement Eligibility</w:t>
      </w:r>
    </w:p>
    <w:p>
      <w:r>
        <w:rPr>
          <w:rFonts w:ascii="Aptos" w:hAnsi="Aptos" w:eastAsia="Aptos"/>
          <w:b w:val="0"/>
          <w:i w:val="0"/>
          <w:color w:val="0A1628"/>
          <w:sz w:val="20"/>
        </w:rPr>
        <w:t>A parcel is eligible only when:</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branch_code = NPT</w:t>
              <w:br/>
              <w:t>parcel_status = DELIVERED</w:t>
              <w:br/>
              <w:t>financial_validation_status = OK</w:t>
              <w:br/>
              <w:t>lineage_valid = true</w:t>
              <w:br/>
              <w:t>shareable_delivery_revenue_mmk is not null</w:t>
              <w:br/>
              <w:t>sender_party_code is not null</w:t>
              <w:br/>
              <w:t>receiver_party_code is not null</w:t>
              <w:br/>
              <w:t>pod_status = VERIFIED</w:t>
              <w:br/>
              <w:t>financial_hold = false</w:t>
              <w:br/>
              <w:t>branch_settlement_batch_id is null</w:t>
            </w:r>
          </w:p>
        </w:tc>
      </w:tr>
    </w:tbl>
    <w:p>
      <w:pPr>
        <w:spacing w:after="0"/>
      </w:pPr>
    </w:p>
    <w:p>
      <w:r>
        <w:rPr>
          <w:rFonts w:ascii="Aptos" w:hAnsi="Aptos" w:eastAsia="Aptos"/>
          <w:b w:val="0"/>
          <w:i w:val="0"/>
          <w:color w:val="0A1628"/>
          <w:sz w:val="20"/>
        </w:rPr>
        <w:t>For COD parcels also require:</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cod_custody_status in (</w:t>
              <w:br/>
              <w:t xml:space="preserve">  BRANCH_CONFIRMED,</w:t>
              <w:br/>
              <w:t xml:space="preserve">  REMITTED_TO_HQ,</w:t>
              <w:br/>
              <w:t xml:space="preserve">  HQ_CONFIRMED</w:t>
              <w:br/>
              <w:t>)</w:t>
            </w:r>
          </w:p>
        </w:tc>
      </w:tr>
    </w:tbl>
    <w:p>
      <w:pPr>
        <w:spacing w:after="0"/>
      </w:pPr>
    </w:p>
    <w:p>
      <w:pPr>
        <w:pStyle w:val="Heading3"/>
        <w:keepNext/>
      </w:pPr>
      <w:r>
        <w:rPr>
          <w:rFonts w:ascii="Aptos" w:hAnsi="Aptos" w:eastAsia="Aptos"/>
          <w:b w:val="0"/>
          <w:i w:val="0"/>
          <w:color w:val="0A1628"/>
          <w:sz w:val="20"/>
        </w:rPr>
        <w:t>9.9 Settlement Batch</w:t>
      </w:r>
    </w:p>
    <w:p>
      <w:r>
        <w:rPr>
          <w:rFonts w:ascii="Aptos" w:hAnsi="Aptos" w:eastAsia="Aptos"/>
          <w:b w:val="0"/>
          <w:i w:val="0"/>
          <w:color w:val="0A1628"/>
          <w:sz w:val="20"/>
        </w:rPr>
        <w:t>Create one batch per branch and settlement period.</w:t>
      </w:r>
    </w:p>
    <w:p>
      <w:r>
        <w:rPr>
          <w:rFonts w:ascii="Aptos" w:hAnsi="Aptos" w:eastAsia="Aptos"/>
          <w:b w:val="0"/>
          <w:i w:val="0"/>
          <w:color w:val="0A1628"/>
          <w:sz w:val="20"/>
        </w:rPr>
        <w:t>Recommended batch number:</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NPT-SET-YYYYMMDD-####</w:t>
            </w:r>
          </w:p>
        </w:tc>
      </w:tr>
    </w:tbl>
    <w:p>
      <w:pPr>
        <w:spacing w:after="0"/>
      </w:pPr>
    </w:p>
    <w:p>
      <w:r>
        <w:rPr>
          <w:rFonts w:ascii="Aptos" w:hAnsi="Aptos" w:eastAsia="Aptos"/>
          <w:b w:val="0"/>
          <w:i w:val="0"/>
          <w:color w:val="0A1628"/>
          <w:sz w:val="20"/>
        </w:rPr>
        <w:t>Statuses:</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DRAFT</w:t>
              <w:br/>
              <w:t>UNDER_REVIEW</w:t>
              <w:br/>
              <w:t>PENDING_BRANCH_CONFIRMATION</w:t>
              <w:br/>
              <w:t>PENDING_HQ_APPROVAL</w:t>
              <w:br/>
              <w:t>APPROVED</w:t>
              <w:br/>
              <w:t>PAYMENT_PROCESSING</w:t>
              <w:br/>
              <w:t>PARTIALLY_SETTLED</w:t>
              <w:br/>
              <w:t>SETTLED</w:t>
              <w:br/>
              <w:t>DISPUTED</w:t>
              <w:br/>
              <w:t>REJECTED</w:t>
              <w:br/>
              <w:t>CANCELLED</w:t>
              <w:br/>
              <w:t>REOPENED</w:t>
            </w:r>
          </w:p>
        </w:tc>
      </w:tr>
    </w:tbl>
    <w:p>
      <w:pPr>
        <w:spacing w:after="0"/>
      </w:pPr>
    </w:p>
    <w:p>
      <w:r>
        <w:rPr>
          <w:rFonts w:ascii="Aptos" w:hAnsi="Aptos" w:eastAsia="Aptos"/>
          <w:b w:val="0"/>
          <w:i w:val="0"/>
          <w:color w:val="0A1628"/>
          <w:sz w:val="20"/>
        </w:rPr>
        <w:t>Batch totals:</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total_parcels</w:t>
              <w:br/>
              <w:t>total_cod_collected</w:t>
              <w:br/>
              <w:t>total_cod_remitted</w:t>
              <w:br/>
              <w:t>total_prepaid_revenue</w:t>
              <w:br/>
              <w:t>total_shareable_delivery_revenue</w:t>
              <w:br/>
              <w:t>sender_gross_share</w:t>
              <w:br/>
              <w:t>receiver_gross_share</w:t>
              <w:br/>
              <w:t>branch_gross_share</w:t>
              <w:br/>
              <w:t>branch_management_fee</w:t>
              <w:br/>
              <w:t>branch_penalties</w:t>
              <w:br/>
              <w:t>branch_credits</w:t>
              <w:br/>
              <w:t>branch_deductions</w:t>
              <w:br/>
              <w:t>branch_net_share</w:t>
              <w:br/>
              <w:t>hq_operational_share</w:t>
              <w:br/>
              <w:t>hq_management_fee_revenue</w:t>
              <w:br/>
              <w:t>hq_net_receivable_or_payable</w:t>
            </w:r>
          </w:p>
        </w:tc>
      </w:tr>
    </w:tbl>
    <w:p>
      <w:pPr>
        <w:spacing w:after="0"/>
      </w:pPr>
    </w:p>
    <w:p>
      <w:pPr>
        <w:pStyle w:val="Heading3"/>
        <w:keepNext/>
      </w:pPr>
      <w:r>
        <w:rPr>
          <w:rFonts w:ascii="Aptos" w:hAnsi="Aptos" w:eastAsia="Aptos"/>
          <w:b w:val="0"/>
          <w:i w:val="0"/>
          <w:color w:val="0A1628"/>
          <w:sz w:val="20"/>
        </w:rPr>
        <w:t>9.10 Settlement Direction</w:t>
      </w:r>
    </w:p>
    <w:p>
      <w:r>
        <w:rPr>
          <w:rFonts w:ascii="Aptos" w:hAnsi="Aptos" w:eastAsia="Aptos"/>
          <w:b w:val="0"/>
          <w:i w:val="0"/>
          <w:color w:val="0A1628"/>
          <w:sz w:val="20"/>
        </w:rPr>
        <w:t>From Head Office's perspective:</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if branch_net_share &gt; branch_cash_due_to_hq_adjustments:</w:t>
              <w:br/>
              <w:t xml:space="preserve">  settlement_direction = HQ_PAYS_BRANCH</w:t>
              <w:br/>
              <w:br/>
              <w:t>if branch_net_share &lt; branch_cash_due_to_hq_adjustments:</w:t>
              <w:br/>
              <w:t xml:space="preserve">  settlement_direction = BRANCH_PAYS_HQ</w:t>
              <w:br/>
              <w:br/>
              <w:t>if equal:</w:t>
              <w:br/>
              <w:t xml:space="preserve">  settlement_direction = NO_NET_PAYMENT</w:t>
            </w:r>
          </w:p>
        </w:tc>
      </w:tr>
    </w:tbl>
    <w:p>
      <w:pPr>
        <w:spacing w:after="0"/>
      </w:pPr>
    </w:p>
    <w:p>
      <w:r>
        <w:rPr>
          <w:rFonts w:ascii="Aptos" w:hAnsi="Aptos" w:eastAsia="Aptos"/>
          <w:b w:val="0"/>
          <w:i w:val="0"/>
          <w:color w:val="0A1628"/>
          <w:sz w:val="20"/>
        </w:rPr>
        <w:t>Gross COD remittance must still remain visible independently from this net direction.</w:t>
      </w:r>
    </w:p>
    <w:p>
      <w:pPr>
        <w:pStyle w:val="Heading3"/>
        <w:keepNext/>
      </w:pPr>
      <w:r>
        <w:rPr>
          <w:rFonts w:ascii="Aptos" w:hAnsi="Aptos" w:eastAsia="Aptos"/>
          <w:b w:val="0"/>
          <w:i w:val="0"/>
          <w:color w:val="0A1628"/>
          <w:sz w:val="20"/>
        </w:rPr>
        <w:t>9.11 Required Database Models</w:t>
      </w:r>
    </w:p>
    <w:p>
      <w:pPr>
        <w:pStyle w:val="Heading4"/>
        <w:keepNext/>
      </w:pPr>
      <w:r>
        <w:rPr>
          <w:rFonts w:ascii="Aptos" w:hAnsi="Aptos" w:eastAsia="Aptos"/>
          <w:b w:val="0"/>
          <w:i w:val="0"/>
          <w:color w:val="0A1628"/>
          <w:sz w:val="20"/>
        </w:rPr>
        <w:t>9.11.1 Rule master</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be_branch_settlement_rule_master</w:t>
            </w:r>
          </w:p>
        </w:tc>
      </w:tr>
    </w:tbl>
    <w:p>
      <w:pPr>
        <w:spacing w:after="0"/>
      </w:pPr>
    </w:p>
    <w:p>
      <w:r>
        <w:rPr>
          <w:rFonts w:ascii="Aptos" w:hAnsi="Aptos" w:eastAsia="Aptos"/>
          <w:b w:val="0"/>
          <w:i w:val="0"/>
          <w:color w:val="0A1628"/>
          <w:sz w:val="20"/>
        </w:rPr>
        <w:t>Fields:</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rule_id</w:t>
              <w:br/>
              <w:t>rule_code</w:t>
              <w:br/>
              <w:t>branch_code</w:t>
              <w:br/>
              <w:t>origin_party_type</w:t>
              <w:br/>
              <w:t>origin_party_code</w:t>
              <w:br/>
              <w:t>destination_party_type</w:t>
              <w:br/>
              <w:t>destination_party_code</w:t>
              <w:br/>
              <w:t>sender_share_percent</w:t>
              <w:br/>
              <w:t>receiver_share_percent</w:t>
              <w:br/>
              <w:t>branch_management_fee_percent</w:t>
              <w:br/>
              <w:t>share_extra_weight</w:t>
              <w:br/>
              <w:t>share_cbm</w:t>
              <w:br/>
              <w:t>share_other_surcharge</w:t>
              <w:br/>
              <w:t>effective_from</w:t>
              <w:br/>
              <w:t>effective_to</w:t>
              <w:br/>
              <w:t>status</w:t>
              <w:br/>
              <w:t>version</w:t>
              <w:br/>
              <w:t>approved_by</w:t>
              <w:br/>
              <w:t>approved_at</w:t>
            </w:r>
          </w:p>
        </w:tc>
      </w:tr>
    </w:tbl>
    <w:p>
      <w:pPr>
        <w:spacing w:after="0"/>
      </w:pPr>
    </w:p>
    <w:p>
      <w:r>
        <w:rPr>
          <w:rFonts w:ascii="Aptos" w:hAnsi="Aptos" w:eastAsia="Aptos"/>
          <w:b w:val="0"/>
          <w:i w:val="0"/>
          <w:color w:val="0A1628"/>
          <w:sz w:val="20"/>
        </w:rPr>
        <w:t>Seed only:</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rule_code = NPT_INTEROFFICE_55_45_MGMT10_V1</w:t>
              <w:br/>
              <w:t>branch_code = NPT</w:t>
              <w:br/>
              <w:t>sender_share_percent = 55</w:t>
              <w:br/>
              <w:t>receiver_share_percent = 45</w:t>
              <w:br/>
              <w:t>branch_management_fee_percent = 10</w:t>
              <w:br/>
              <w:t>status = ACTIVE</w:t>
            </w:r>
          </w:p>
        </w:tc>
      </w:tr>
    </w:tbl>
    <w:p>
      <w:pPr>
        <w:spacing w:after="0"/>
      </w:pPr>
    </w:p>
    <w:p>
      <w:pPr>
        <w:pStyle w:val="Heading4"/>
        <w:keepNext/>
      </w:pPr>
      <w:r>
        <w:rPr>
          <w:rFonts w:ascii="Aptos" w:hAnsi="Aptos" w:eastAsia="Aptos"/>
          <w:b w:val="0"/>
          <w:i w:val="0"/>
          <w:color w:val="0A1628"/>
          <w:sz w:val="20"/>
        </w:rPr>
        <w:t>9.11.2 Parcel calculation snapshot</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be_branch_settlement_parcel_snapshot</w:t>
            </w:r>
          </w:p>
        </w:tc>
      </w:tr>
    </w:tbl>
    <w:p>
      <w:pPr>
        <w:spacing w:after="0"/>
      </w:pPr>
    </w:p>
    <w:p>
      <w:r>
        <w:rPr>
          <w:rFonts w:ascii="Aptos" w:hAnsi="Aptos" w:eastAsia="Aptos"/>
          <w:b w:val="0"/>
          <w:i w:val="0"/>
          <w:color w:val="0A1628"/>
          <w:sz w:val="20"/>
        </w:rPr>
        <w:t>Fields:</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way_id</w:t>
              <w:br/>
              <w:t>branch_code</w:t>
              <w:br/>
              <w:t>rule_id</w:t>
              <w:br/>
              <w:t>rule_version</w:t>
              <w:br/>
              <w:t>shareable_delivery_revenue_mmk</w:t>
              <w:br/>
              <w:t>sender_party_type</w:t>
              <w:br/>
              <w:t>sender_party_code</w:t>
              <w:br/>
              <w:t>receiver_party_type</w:t>
              <w:br/>
              <w:t>receiver_party_code</w:t>
              <w:br/>
              <w:t>sender_gross_share</w:t>
              <w:br/>
              <w:t>receiver_gross_share</w:t>
              <w:br/>
              <w:t>sender_management_fee</w:t>
              <w:br/>
              <w:t>receiver_management_fee</w:t>
              <w:br/>
              <w:t>branch_gross_share</w:t>
              <w:br/>
              <w:t>branch_management_fee</w:t>
              <w:br/>
              <w:t>branch_net_share_before_adjustments</w:t>
              <w:br/>
              <w:t>calculated_at</w:t>
            </w:r>
          </w:p>
        </w:tc>
      </w:tr>
    </w:tbl>
    <w:p>
      <w:pPr>
        <w:spacing w:after="0"/>
      </w:pPr>
    </w:p>
    <w:p>
      <w:pPr>
        <w:pStyle w:val="Heading4"/>
        <w:keepNext/>
      </w:pPr>
      <w:r>
        <w:rPr>
          <w:rFonts w:ascii="Aptos" w:hAnsi="Aptos" w:eastAsia="Aptos"/>
          <w:b w:val="0"/>
          <w:i w:val="0"/>
          <w:color w:val="0A1628"/>
          <w:sz w:val="20"/>
        </w:rPr>
        <w:t>9.11.3 Batch and lines</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be_branch_settlement_batches</w:t>
              <w:br/>
              <w:t>be_branch_settlement_batch_lines</w:t>
              <w:br/>
              <w:t>be_branch_settlement_adjustments</w:t>
              <w:br/>
              <w:t>be_branch_cod_remittances</w:t>
              <w:br/>
              <w:t>be_branch_settlement_payments</w:t>
            </w:r>
          </w:p>
        </w:tc>
      </w:tr>
    </w:tbl>
    <w:p>
      <w:pPr>
        <w:spacing w:after="0"/>
      </w:pPr>
    </w:p>
    <w:p>
      <w:pPr>
        <w:pStyle w:val="Heading3"/>
        <w:keepNext/>
      </w:pPr>
      <w:r>
        <w:rPr>
          <w:rFonts w:ascii="Aptos" w:hAnsi="Aptos" w:eastAsia="Aptos"/>
          <w:b w:val="0"/>
          <w:i w:val="0"/>
          <w:color w:val="0A1628"/>
          <w:sz w:val="20"/>
        </w:rPr>
        <w:t>9.12 Required RPCs</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be_branch_settlement_snapshot_v1</w:t>
              <w:br/>
              <w:t>be_branch_settlement_calculate_parcel_v1</w:t>
              <w:br/>
              <w:t>be_branch_settlement_create_batch_v1</w:t>
              <w:br/>
              <w:t>be_branch_settlement_add_parcels_v1</w:t>
              <w:br/>
              <w:t>be_branch_settlement_remove_parcel_v1</w:t>
              <w:br/>
              <w:t>be_branch_settlement_submit_v1</w:t>
              <w:br/>
              <w:t>be_branch_settlement_branch_confirm_v1</w:t>
              <w:br/>
              <w:t>be_branch_settlement_hq_approve_v1</w:t>
              <w:br/>
              <w:t>be_branch_settlement_reject_v1</w:t>
              <w:br/>
              <w:t>be_branch_settlement_record_cod_remittance_v1</w:t>
              <w:br/>
              <w:t>be_branch_settlement_confirm_cod_remittance_v1</w:t>
              <w:br/>
              <w:t>be_branch_settlement_add_adjustment_v1</w:t>
              <w:br/>
              <w:t>be_branch_settlement_record_payment_v1</w:t>
              <w:br/>
              <w:t>be_branch_settlement_reopen_v1</w:t>
            </w:r>
          </w:p>
        </w:tc>
      </w:tr>
    </w:tbl>
    <w:p>
      <w:pPr>
        <w:spacing w:after="0"/>
      </w:pPr>
    </w:p>
    <w:p>
      <w:r>
        <w:rPr>
          <w:rFonts w:ascii="Aptos" w:hAnsi="Aptos" w:eastAsia="Aptos"/>
          <w:b w:val="0"/>
          <w:i w:val="0"/>
          <w:color w:val="0A1628"/>
          <w:sz w:val="20"/>
        </w:rPr>
        <w:t>All mutations must be security-definer RPCs with authenticated role checks, branch scope, maker-checker controls and audit logging.</w:t>
      </w:r>
    </w:p>
    <w:p>
      <w:pPr>
        <w:pStyle w:val="Heading3"/>
        <w:keepNext/>
      </w:pPr>
      <w:r>
        <w:rPr>
          <w:rFonts w:ascii="Aptos" w:hAnsi="Aptos" w:eastAsia="Aptos"/>
          <w:b w:val="0"/>
          <w:i w:val="0"/>
          <w:color w:val="0A1628"/>
          <w:sz w:val="20"/>
        </w:rPr>
        <w:t>9.13 Screen Requirements</w:t>
      </w:r>
    </w:p>
    <w:p>
      <w:r>
        <w:rPr>
          <w:rFonts w:ascii="Aptos" w:hAnsi="Aptos" w:eastAsia="Aptos"/>
          <w:b w:val="0"/>
          <w:i w:val="0"/>
          <w:color w:val="0A1628"/>
          <w:sz w:val="20"/>
        </w:rPr>
        <w:t>Replace the current basic COD and Finance tabs with a dedicated screen:</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Branch &lt;-&gt; Head Office Settlement</w:t>
            </w:r>
          </w:p>
        </w:tc>
      </w:tr>
    </w:tbl>
    <w:p>
      <w:pPr>
        <w:spacing w:after="0"/>
      </w:pPr>
    </w:p>
    <w:p>
      <w:r>
        <w:rPr>
          <w:rFonts w:ascii="Aptos" w:hAnsi="Aptos" w:eastAsia="Aptos"/>
          <w:b w:val="0"/>
          <w:i w:val="0"/>
          <w:color w:val="0A1628"/>
          <w:sz w:val="20"/>
        </w:rPr>
        <w:t>Phase 1 branch selector must be fixed to:</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Naypyitaw Branch (NPT)</w:t>
            </w:r>
          </w:p>
        </w:tc>
      </w:tr>
    </w:tbl>
    <w:p>
      <w:pPr>
        <w:spacing w:after="0"/>
      </w:pPr>
    </w:p>
    <w:p>
      <w:r>
        <w:rPr>
          <w:rFonts w:ascii="Aptos" w:hAnsi="Aptos" w:eastAsia="Aptos"/>
          <w:b w:val="0"/>
          <w:i w:val="0"/>
          <w:color w:val="0A1628"/>
          <w:sz w:val="20"/>
        </w:rPr>
        <w:t>Do not allow Mandalay or other branches to create settlement batches until an active rule exists.</w:t>
      </w:r>
    </w:p>
    <w:p>
      <w:r>
        <w:rPr>
          <w:rFonts w:ascii="Aptos" w:hAnsi="Aptos" w:eastAsia="Aptos"/>
          <w:b w:val="0"/>
          <w:i w:val="0"/>
          <w:color w:val="0A1628"/>
          <w:sz w:val="20"/>
        </w:rPr>
        <w:t>Tabs:</w:t>
      </w:r>
    </w:p>
    <w:p>
      <w:pPr>
        <w:pStyle w:val="ListBullet"/>
        <w:ind w:left="0"/>
      </w:pPr>
      <w:r>
        <w:rPr>
          <w:rFonts w:ascii="Aptos" w:hAnsi="Aptos" w:eastAsia="Aptos"/>
          <w:b w:val="0"/>
          <w:i w:val="0"/>
          <w:color w:val="0A1628"/>
          <w:sz w:val="20"/>
        </w:rPr>
        <w:t>Overview</w:t>
      </w:r>
    </w:p>
    <w:p>
      <w:pPr>
        <w:pStyle w:val="ListBullet"/>
        <w:ind w:left="0"/>
      </w:pPr>
      <w:r>
        <w:rPr>
          <w:rFonts w:ascii="Aptos" w:hAnsi="Aptos" w:eastAsia="Aptos"/>
          <w:b w:val="0"/>
          <w:i w:val="0"/>
          <w:color w:val="0A1628"/>
          <w:sz w:val="20"/>
        </w:rPr>
        <w:t>Eligible Parcels</w:t>
      </w:r>
    </w:p>
    <w:p>
      <w:pPr>
        <w:pStyle w:val="ListBullet"/>
        <w:ind w:left="0"/>
      </w:pPr>
      <w:r>
        <w:rPr>
          <w:rFonts w:ascii="Aptos" w:hAnsi="Aptos" w:eastAsia="Aptos"/>
          <w:b w:val="0"/>
          <w:i w:val="0"/>
          <w:color w:val="0A1628"/>
          <w:sz w:val="20"/>
        </w:rPr>
        <w:t>COD Remittance</w:t>
      </w:r>
    </w:p>
    <w:p>
      <w:pPr>
        <w:pStyle w:val="ListBullet"/>
        <w:ind w:left="0"/>
      </w:pPr>
      <w:r>
        <w:rPr>
          <w:rFonts w:ascii="Aptos" w:hAnsi="Aptos" w:eastAsia="Aptos"/>
          <w:b w:val="0"/>
          <w:i w:val="0"/>
          <w:color w:val="0A1628"/>
          <w:sz w:val="20"/>
        </w:rPr>
        <w:t>Prepaid Revenue</w:t>
      </w:r>
    </w:p>
    <w:p>
      <w:pPr>
        <w:pStyle w:val="ListBullet"/>
        <w:ind w:left="0"/>
      </w:pPr>
      <w:r>
        <w:rPr>
          <w:rFonts w:ascii="Aptos" w:hAnsi="Aptos" w:eastAsia="Aptos"/>
          <w:b w:val="0"/>
          <w:i w:val="0"/>
          <w:color w:val="0A1628"/>
          <w:sz w:val="20"/>
        </w:rPr>
        <w:t>Settlement Batches</w:t>
      </w:r>
    </w:p>
    <w:p>
      <w:pPr>
        <w:pStyle w:val="ListBullet"/>
        <w:ind w:left="0"/>
      </w:pPr>
      <w:r>
        <w:rPr>
          <w:rFonts w:ascii="Aptos" w:hAnsi="Aptos" w:eastAsia="Aptos"/>
          <w:b w:val="0"/>
          <w:i w:val="0"/>
          <w:color w:val="0A1628"/>
          <w:sz w:val="20"/>
        </w:rPr>
        <w:t>Penalties &amp; Adjustments</w:t>
      </w:r>
    </w:p>
    <w:p>
      <w:pPr>
        <w:pStyle w:val="ListBullet"/>
        <w:ind w:left="0"/>
      </w:pPr>
      <w:r>
        <w:rPr>
          <w:rFonts w:ascii="Aptos" w:hAnsi="Aptos" w:eastAsia="Aptos"/>
          <w:b w:val="0"/>
          <w:i w:val="0"/>
          <w:color w:val="0A1628"/>
          <w:sz w:val="20"/>
        </w:rPr>
        <w:t>Payments</w:t>
      </w:r>
    </w:p>
    <w:p>
      <w:pPr>
        <w:pStyle w:val="ListBullet"/>
        <w:ind w:left="0"/>
      </w:pPr>
      <w:r>
        <w:rPr>
          <w:rFonts w:ascii="Aptos" w:hAnsi="Aptos" w:eastAsia="Aptos"/>
          <w:b w:val="0"/>
          <w:i w:val="0"/>
          <w:color w:val="0A1628"/>
          <w:sz w:val="20"/>
        </w:rPr>
        <w:t>Disputes</w:t>
      </w:r>
    </w:p>
    <w:p>
      <w:pPr>
        <w:pStyle w:val="ListBullet"/>
        <w:ind w:left="0"/>
      </w:pPr>
      <w:r>
        <w:rPr>
          <w:rFonts w:ascii="Aptos" w:hAnsi="Aptos" w:eastAsia="Aptos"/>
          <w:b w:val="0"/>
          <w:i w:val="0"/>
          <w:color w:val="0A1628"/>
          <w:sz w:val="20"/>
        </w:rPr>
        <w:t>Audit Log</w:t>
      </w:r>
    </w:p>
    <w:p>
      <w:pPr>
        <w:pStyle w:val="ListBullet"/>
        <w:ind w:left="0"/>
      </w:pPr>
      <w:r>
        <w:rPr>
          <w:rFonts w:ascii="Aptos" w:hAnsi="Aptos" w:eastAsia="Aptos"/>
          <w:b w:val="0"/>
          <w:i w:val="0"/>
          <w:color w:val="0A1628"/>
          <w:sz w:val="20"/>
        </w:rPr>
        <w:t>Rule Configuration - HQ only</w:t>
      </w:r>
    </w:p>
    <w:p>
      <w:r>
        <w:rPr>
          <w:rFonts w:ascii="Aptos" w:hAnsi="Aptos" w:eastAsia="Aptos"/>
          <w:b w:val="0"/>
          <w:i w:val="0"/>
          <w:color w:val="0A1628"/>
          <w:sz w:val="20"/>
        </w:rPr>
        <w:t>KPIs:</w:t>
      </w:r>
    </w:p>
    <w:p>
      <w:pPr>
        <w:pStyle w:val="ListBullet"/>
        <w:ind w:left="0"/>
      </w:pPr>
      <w:r>
        <w:rPr>
          <w:rFonts w:ascii="Aptos" w:hAnsi="Aptos" w:eastAsia="Aptos"/>
          <w:b w:val="0"/>
          <w:i w:val="0"/>
          <w:color w:val="0A1628"/>
          <w:sz w:val="20"/>
        </w:rPr>
        <w:t>Delivered eligible ways</w:t>
      </w:r>
    </w:p>
    <w:p>
      <w:pPr>
        <w:pStyle w:val="ListBullet"/>
        <w:ind w:left="0"/>
      </w:pPr>
      <w:r>
        <w:rPr>
          <w:rFonts w:ascii="Aptos" w:hAnsi="Aptos" w:eastAsia="Aptos"/>
          <w:b w:val="0"/>
          <w:i w:val="0"/>
          <w:color w:val="0A1628"/>
          <w:sz w:val="20"/>
        </w:rPr>
        <w:t>Total COD collected</w:t>
      </w:r>
    </w:p>
    <w:p>
      <w:pPr>
        <w:pStyle w:val="ListBullet"/>
        <w:ind w:left="0"/>
      </w:pPr>
      <w:r>
        <w:rPr>
          <w:rFonts w:ascii="Aptos" w:hAnsi="Aptos" w:eastAsia="Aptos"/>
          <w:b w:val="0"/>
          <w:i w:val="0"/>
          <w:color w:val="0A1628"/>
          <w:sz w:val="20"/>
        </w:rPr>
        <w:t>COD remitted</w:t>
      </w:r>
    </w:p>
    <w:p>
      <w:pPr>
        <w:pStyle w:val="ListBullet"/>
        <w:ind w:left="0"/>
      </w:pPr>
      <w:r>
        <w:rPr>
          <w:rFonts w:ascii="Aptos" w:hAnsi="Aptos" w:eastAsia="Aptos"/>
          <w:b w:val="0"/>
          <w:i w:val="0"/>
          <w:color w:val="0A1628"/>
          <w:sz w:val="20"/>
        </w:rPr>
        <w:t>COD outstanding</w:t>
      </w:r>
    </w:p>
    <w:p>
      <w:pPr>
        <w:pStyle w:val="ListBullet"/>
        <w:ind w:left="0"/>
      </w:pPr>
      <w:r>
        <w:rPr>
          <w:rFonts w:ascii="Aptos" w:hAnsi="Aptos" w:eastAsia="Aptos"/>
          <w:b w:val="0"/>
          <w:i w:val="0"/>
          <w:color w:val="0A1628"/>
          <w:sz w:val="20"/>
        </w:rPr>
        <w:t>Shareable delivery revenue</w:t>
      </w:r>
    </w:p>
    <w:p>
      <w:pPr>
        <w:pStyle w:val="ListBullet"/>
        <w:ind w:left="0"/>
      </w:pPr>
      <w:r>
        <w:rPr>
          <w:rFonts w:ascii="Aptos" w:hAnsi="Aptos" w:eastAsia="Aptos"/>
          <w:b w:val="0"/>
          <w:i w:val="0"/>
          <w:color w:val="0A1628"/>
          <w:sz w:val="20"/>
        </w:rPr>
        <w:t>NPT gross share</w:t>
      </w:r>
    </w:p>
    <w:p>
      <w:pPr>
        <w:pStyle w:val="ListBullet"/>
        <w:ind w:left="0"/>
      </w:pPr>
      <w:r>
        <w:rPr>
          <w:rFonts w:ascii="Aptos" w:hAnsi="Aptos" w:eastAsia="Aptos"/>
          <w:b w:val="0"/>
          <w:i w:val="0"/>
          <w:color w:val="0A1628"/>
          <w:sz w:val="20"/>
        </w:rPr>
        <w:t>NPT management fee</w:t>
      </w:r>
    </w:p>
    <w:p>
      <w:pPr>
        <w:pStyle w:val="ListBullet"/>
        <w:ind w:left="0"/>
      </w:pPr>
      <w:r>
        <w:rPr>
          <w:rFonts w:ascii="Aptos" w:hAnsi="Aptos" w:eastAsia="Aptos"/>
          <w:b w:val="0"/>
          <w:i w:val="0"/>
          <w:color w:val="0A1628"/>
          <w:sz w:val="20"/>
        </w:rPr>
        <w:t>NPT penalties</w:t>
      </w:r>
    </w:p>
    <w:p>
      <w:pPr>
        <w:pStyle w:val="ListBullet"/>
        <w:ind w:left="0"/>
      </w:pPr>
      <w:r>
        <w:rPr>
          <w:rFonts w:ascii="Aptos" w:hAnsi="Aptos" w:eastAsia="Aptos"/>
          <w:b w:val="0"/>
          <w:i w:val="0"/>
          <w:color w:val="0A1628"/>
          <w:sz w:val="20"/>
        </w:rPr>
        <w:t>NPT net payable</w:t>
      </w:r>
    </w:p>
    <w:p>
      <w:pPr>
        <w:pStyle w:val="ListBullet"/>
        <w:ind w:left="0"/>
      </w:pPr>
      <w:r>
        <w:rPr>
          <w:rFonts w:ascii="Aptos" w:hAnsi="Aptos" w:eastAsia="Aptos"/>
          <w:b w:val="0"/>
          <w:i w:val="0"/>
          <w:color w:val="0A1628"/>
          <w:sz w:val="20"/>
        </w:rPr>
        <w:t>Head Office revenue</w:t>
      </w:r>
    </w:p>
    <w:p>
      <w:pPr>
        <w:pStyle w:val="ListBullet"/>
        <w:ind w:left="0"/>
      </w:pPr>
      <w:r>
        <w:rPr>
          <w:rFonts w:ascii="Aptos" w:hAnsi="Aptos" w:eastAsia="Aptos"/>
          <w:b w:val="0"/>
          <w:i w:val="0"/>
          <w:color w:val="0A1628"/>
          <w:sz w:val="20"/>
        </w:rPr>
        <w:t>Open exceptions</w:t>
      </w:r>
    </w:p>
    <w:p>
      <w:r>
        <w:rPr>
          <w:rFonts w:ascii="Aptos" w:hAnsi="Aptos" w:eastAsia="Aptos"/>
          <w:b w:val="0"/>
          <w:i w:val="0"/>
          <w:color w:val="0A1628"/>
          <w:sz w:val="20"/>
        </w:rPr>
        <w:t>Parcel table columns:</w:t>
      </w:r>
    </w:p>
    <w:p>
      <w:pPr>
        <w:pStyle w:val="ListBullet"/>
        <w:ind w:left="0"/>
      </w:pPr>
      <w:r>
        <w:rPr>
          <w:rFonts w:ascii="Aptos" w:hAnsi="Aptos" w:eastAsia="Aptos"/>
          <w:b w:val="0"/>
          <w:i w:val="0"/>
          <w:color w:val="0A1628"/>
          <w:sz w:val="20"/>
        </w:rPr>
        <w:t>Way ID</w:t>
      </w:r>
    </w:p>
    <w:p>
      <w:pPr>
        <w:pStyle w:val="ListBullet"/>
        <w:ind w:left="0"/>
      </w:pPr>
      <w:r>
        <w:rPr>
          <w:rFonts w:ascii="Aptos" w:hAnsi="Aptos" w:eastAsia="Aptos"/>
          <w:b w:val="0"/>
          <w:i w:val="0"/>
          <w:color w:val="0A1628"/>
          <w:sz w:val="20"/>
        </w:rPr>
        <w:t>Delivery date</w:t>
      </w:r>
    </w:p>
    <w:p>
      <w:pPr>
        <w:pStyle w:val="ListBullet"/>
        <w:ind w:left="0"/>
      </w:pPr>
      <w:r>
        <w:rPr>
          <w:rFonts w:ascii="Aptos" w:hAnsi="Aptos" w:eastAsia="Aptos"/>
          <w:b w:val="0"/>
          <w:i w:val="0"/>
          <w:color w:val="0A1628"/>
          <w:sz w:val="20"/>
        </w:rPr>
        <w:t>Payment type</w:t>
      </w:r>
    </w:p>
    <w:p>
      <w:pPr>
        <w:pStyle w:val="ListBullet"/>
        <w:ind w:left="0"/>
      </w:pPr>
      <w:r>
        <w:rPr>
          <w:rFonts w:ascii="Aptos" w:hAnsi="Aptos" w:eastAsia="Aptos"/>
          <w:b w:val="0"/>
          <w:i w:val="0"/>
          <w:color w:val="0A1628"/>
          <w:sz w:val="20"/>
        </w:rPr>
        <w:t>Direction</w:t>
      </w:r>
    </w:p>
    <w:p>
      <w:pPr>
        <w:pStyle w:val="ListBullet"/>
        <w:ind w:left="0"/>
      </w:pPr>
      <w:r>
        <w:rPr>
          <w:rFonts w:ascii="Aptos" w:hAnsi="Aptos" w:eastAsia="Aptos"/>
          <w:b w:val="0"/>
          <w:i w:val="0"/>
          <w:color w:val="0A1628"/>
          <w:sz w:val="20"/>
        </w:rPr>
        <w:t>Sender side</w:t>
      </w:r>
    </w:p>
    <w:p>
      <w:pPr>
        <w:pStyle w:val="ListBullet"/>
        <w:ind w:left="0"/>
      </w:pPr>
      <w:r>
        <w:rPr>
          <w:rFonts w:ascii="Aptos" w:hAnsi="Aptos" w:eastAsia="Aptos"/>
          <w:b w:val="0"/>
          <w:i w:val="0"/>
          <w:color w:val="0A1628"/>
          <w:sz w:val="20"/>
        </w:rPr>
        <w:t>Last-mile side</w:t>
      </w:r>
    </w:p>
    <w:p>
      <w:pPr>
        <w:pStyle w:val="ListBullet"/>
        <w:ind w:left="0"/>
      </w:pPr>
      <w:r>
        <w:rPr>
          <w:rFonts w:ascii="Aptos" w:hAnsi="Aptos" w:eastAsia="Aptos"/>
          <w:b w:val="0"/>
          <w:i w:val="0"/>
          <w:color w:val="0A1628"/>
          <w:sz w:val="20"/>
        </w:rPr>
        <w:t>Customer collection</w:t>
      </w:r>
    </w:p>
    <w:p>
      <w:pPr>
        <w:pStyle w:val="ListBullet"/>
        <w:ind w:left="0"/>
      </w:pPr>
      <w:r>
        <w:rPr>
          <w:rFonts w:ascii="Aptos" w:hAnsi="Aptos" w:eastAsia="Aptos"/>
          <w:b w:val="0"/>
          <w:i w:val="0"/>
          <w:color w:val="0A1628"/>
          <w:sz w:val="20"/>
        </w:rPr>
        <w:t>Shareable delivery revenue</w:t>
      </w:r>
    </w:p>
    <w:p>
      <w:pPr>
        <w:pStyle w:val="ListBullet"/>
        <w:ind w:left="0"/>
      </w:pPr>
      <w:r>
        <w:rPr>
          <w:rFonts w:ascii="Aptos" w:hAnsi="Aptos" w:eastAsia="Aptos"/>
          <w:b w:val="0"/>
          <w:i w:val="0"/>
          <w:color w:val="0A1628"/>
          <w:sz w:val="20"/>
        </w:rPr>
        <w:t>Sender 55% share</w:t>
      </w:r>
    </w:p>
    <w:p>
      <w:pPr>
        <w:pStyle w:val="ListBullet"/>
        <w:ind w:left="0"/>
      </w:pPr>
      <w:r>
        <w:rPr>
          <w:rFonts w:ascii="Aptos" w:hAnsi="Aptos" w:eastAsia="Aptos"/>
          <w:b w:val="0"/>
          <w:i w:val="0"/>
          <w:color w:val="0A1628"/>
          <w:sz w:val="20"/>
        </w:rPr>
        <w:t>Receiver 45% share</w:t>
      </w:r>
    </w:p>
    <w:p>
      <w:pPr>
        <w:pStyle w:val="ListBullet"/>
        <w:ind w:left="0"/>
      </w:pPr>
      <w:r>
        <w:rPr>
          <w:rFonts w:ascii="Aptos" w:hAnsi="Aptos" w:eastAsia="Aptos"/>
          <w:b w:val="0"/>
          <w:i w:val="0"/>
          <w:color w:val="0A1628"/>
          <w:sz w:val="20"/>
        </w:rPr>
        <w:t>NPT gross share</w:t>
      </w:r>
    </w:p>
    <w:p>
      <w:pPr>
        <w:pStyle w:val="ListBullet"/>
        <w:ind w:left="0"/>
      </w:pPr>
      <w:r>
        <w:rPr>
          <w:rFonts w:ascii="Aptos" w:hAnsi="Aptos" w:eastAsia="Aptos"/>
          <w:b w:val="0"/>
          <w:i w:val="0"/>
          <w:color w:val="0A1628"/>
          <w:sz w:val="20"/>
        </w:rPr>
        <w:t>NPT management fee</w:t>
      </w:r>
    </w:p>
    <w:p>
      <w:pPr>
        <w:pStyle w:val="ListBullet"/>
        <w:ind w:left="0"/>
      </w:pPr>
      <w:r>
        <w:rPr>
          <w:rFonts w:ascii="Aptos" w:hAnsi="Aptos" w:eastAsia="Aptos"/>
          <w:b w:val="0"/>
          <w:i w:val="0"/>
          <w:color w:val="0A1628"/>
          <w:sz w:val="20"/>
        </w:rPr>
        <w:t>Penalty</w:t>
      </w:r>
    </w:p>
    <w:p>
      <w:pPr>
        <w:pStyle w:val="ListBullet"/>
        <w:ind w:left="0"/>
      </w:pPr>
      <w:r>
        <w:rPr>
          <w:rFonts w:ascii="Aptos" w:hAnsi="Aptos" w:eastAsia="Aptos"/>
          <w:b w:val="0"/>
          <w:i w:val="0"/>
          <w:color w:val="0A1628"/>
          <w:sz w:val="20"/>
        </w:rPr>
        <w:t>NPT net share</w:t>
      </w:r>
    </w:p>
    <w:p>
      <w:pPr>
        <w:pStyle w:val="ListBullet"/>
        <w:ind w:left="0"/>
      </w:pPr>
      <w:r>
        <w:rPr>
          <w:rFonts w:ascii="Aptos" w:hAnsi="Aptos" w:eastAsia="Aptos"/>
          <w:b w:val="0"/>
          <w:i w:val="0"/>
          <w:color w:val="0A1628"/>
          <w:sz w:val="20"/>
        </w:rPr>
        <w:t>COD custody status</w:t>
      </w:r>
    </w:p>
    <w:p>
      <w:pPr>
        <w:pStyle w:val="ListBullet"/>
        <w:ind w:left="0"/>
      </w:pPr>
      <w:r>
        <w:rPr>
          <w:rFonts w:ascii="Aptos" w:hAnsi="Aptos" w:eastAsia="Aptos"/>
          <w:b w:val="0"/>
          <w:i w:val="0"/>
          <w:color w:val="0A1628"/>
          <w:sz w:val="20"/>
        </w:rPr>
        <w:t>Settlement status</w:t>
      </w:r>
    </w:p>
    <w:p>
      <w:pPr>
        <w:pStyle w:val="Heading3"/>
        <w:keepNext/>
      </w:pPr>
      <w:r>
        <w:rPr>
          <w:rFonts w:ascii="Aptos" w:hAnsi="Aptos" w:eastAsia="Aptos"/>
          <w:b w:val="0"/>
          <w:i w:val="0"/>
          <w:color w:val="0A1628"/>
          <w:sz w:val="20"/>
        </w:rPr>
        <w:t>9.14 Current Page Changes</w:t>
      </w:r>
    </w:p>
    <w:p>
      <w:r>
        <w:rPr>
          <w:rFonts w:ascii="Aptos" w:hAnsi="Aptos" w:eastAsia="Aptos"/>
          <w:b w:val="0"/>
          <w:i w:val="0"/>
          <w:color w:val="0A1628"/>
          <w:sz w:val="20"/>
        </w:rPr>
        <w:t>The existing page currently:</w:t>
      </w:r>
    </w:p>
    <w:p>
      <w:pPr>
        <w:pStyle w:val="ListBullet"/>
        <w:ind w:left="0"/>
      </w:pPr>
      <w:r>
        <w:rPr>
          <w:rFonts w:ascii="Aptos" w:hAnsi="Aptos" w:eastAsia="Aptos"/>
          <w:b w:val="0"/>
          <w:i w:val="0"/>
          <w:color w:val="0A1628"/>
          <w:sz w:val="20"/>
        </w:rPr>
        <w:t xml:space="preserve">Loads shipments directly from </w:t>
      </w:r>
      <w:r>
        <w:rPr>
          <w:rFonts w:ascii="Consolas" w:hAnsi="Consolas" w:eastAsia="Consolas"/>
          <w:b w:val="0"/>
          <w:i w:val="0"/>
          <w:color w:val="0A1628"/>
          <w:sz w:val="17"/>
          <w:shd w:fill="EEF2F6"/>
        </w:rPr>
        <w:t>branch_shipments</w:t>
      </w:r>
      <w:r>
        <w:rPr>
          <w:rFonts w:ascii="Aptos" w:hAnsi="Aptos" w:eastAsia="Aptos"/>
          <w:b w:val="0"/>
          <w:i w:val="0"/>
          <w:color w:val="0A1628"/>
          <w:sz w:val="20"/>
        </w:rPr>
        <w:t>.</w:t>
      </w:r>
    </w:p>
    <w:p>
      <w:pPr>
        <w:pStyle w:val="ListBullet"/>
        <w:ind w:left="0"/>
      </w:pPr>
      <w:r>
        <w:rPr>
          <w:rFonts w:ascii="Aptos" w:hAnsi="Aptos" w:eastAsia="Aptos"/>
          <w:b w:val="0"/>
          <w:i w:val="0"/>
          <w:color w:val="0A1628"/>
          <w:sz w:val="20"/>
        </w:rPr>
        <w:t>Updates finance locks directly from the browser.</w:t>
      </w:r>
    </w:p>
    <w:p>
      <w:pPr>
        <w:pStyle w:val="ListBullet"/>
        <w:ind w:left="0"/>
      </w:pPr>
      <w:r>
        <w:rPr>
          <w:rFonts w:ascii="Aptos" w:hAnsi="Aptos" w:eastAsia="Aptos"/>
          <w:b w:val="0"/>
          <w:i w:val="0"/>
          <w:color w:val="0A1628"/>
          <w:sz w:val="20"/>
        </w:rPr>
        <w:t xml:space="preserve">Treats </w:t>
      </w:r>
      <w:r>
        <w:rPr>
          <w:rFonts w:ascii="Consolas" w:hAnsi="Consolas" w:eastAsia="Consolas"/>
          <w:b w:val="0"/>
          <w:i w:val="0"/>
          <w:color w:val="0A1628"/>
          <w:sz w:val="17"/>
          <w:shd w:fill="EEF2F6"/>
        </w:rPr>
        <w:t>finance_locked = 1</w:t>
      </w:r>
      <w:r>
        <w:rPr>
          <w:rFonts w:ascii="Aptos" w:hAnsi="Aptos" w:eastAsia="Aptos"/>
          <w:b w:val="0"/>
          <w:i w:val="0"/>
          <w:color w:val="0A1628"/>
          <w:sz w:val="20"/>
        </w:rPr>
        <w:t xml:space="preserve"> as settled.</w:t>
      </w:r>
    </w:p>
    <w:p>
      <w:pPr>
        <w:pStyle w:val="ListBullet"/>
        <w:ind w:left="0"/>
      </w:pPr>
      <w:r>
        <w:rPr>
          <w:rFonts w:ascii="Aptos" w:hAnsi="Aptos" w:eastAsia="Aptos"/>
          <w:b w:val="0"/>
          <w:i w:val="0"/>
          <w:color w:val="0A1628"/>
          <w:sz w:val="20"/>
        </w:rPr>
        <w:t>Calculates finance totals from all branch shipment rows.</w:t>
      </w:r>
    </w:p>
    <w:p>
      <w:pPr>
        <w:pStyle w:val="ListBullet"/>
        <w:ind w:left="0"/>
      </w:pPr>
      <w:r>
        <w:rPr>
          <w:rFonts w:ascii="Aptos" w:hAnsi="Aptos" w:eastAsia="Aptos"/>
          <w:b w:val="0"/>
          <w:i w:val="0"/>
          <w:color w:val="0A1628"/>
          <w:sz w:val="20"/>
        </w:rPr>
        <w:t>Allows branch and HQ mode to be selected from browser session state.</w:t>
      </w:r>
    </w:p>
    <w:p>
      <w:r>
        <w:rPr>
          <w:rFonts w:ascii="Aptos" w:hAnsi="Aptos" w:eastAsia="Aptos"/>
          <w:b w:val="0"/>
          <w:i w:val="0"/>
          <w:color w:val="0A1628"/>
          <w:sz w:val="20"/>
        </w:rPr>
        <w:t>Required changes:</w:t>
      </w:r>
    </w:p>
    <w:p>
      <w:pPr>
        <w:pStyle w:val="ListNumber"/>
        <w:ind w:left="0"/>
      </w:pPr>
      <w:r>
        <w:rPr>
          <w:rFonts w:ascii="Consolas" w:hAnsi="Consolas" w:eastAsia="Consolas"/>
          <w:b w:val="0"/>
          <w:i w:val="0"/>
          <w:color w:val="0A1628"/>
          <w:sz w:val="17"/>
          <w:shd w:fill="EEF2F6"/>
        </w:rPr>
        <w:t>finance_locked</w:t>
      </w:r>
      <w:r>
        <w:rPr>
          <w:rFonts w:ascii="Aptos" w:hAnsi="Aptos" w:eastAsia="Aptos"/>
          <w:b w:val="0"/>
          <w:i w:val="0"/>
          <w:color w:val="0A1628"/>
          <w:sz w:val="20"/>
        </w:rPr>
        <w:t xml:space="preserve"> must remain only a legacy edit-lock indicator.</w:t>
      </w:r>
    </w:p>
    <w:p>
      <w:pPr>
        <w:pStyle w:val="ListNumber"/>
        <w:ind w:left="0"/>
      </w:pPr>
      <w:r>
        <w:rPr>
          <w:rFonts w:ascii="Aptos" w:hAnsi="Aptos" w:eastAsia="Aptos"/>
          <w:b w:val="0"/>
          <w:i w:val="0"/>
          <w:color w:val="0A1628"/>
          <w:sz w:val="20"/>
        </w:rPr>
        <w:t xml:space="preserve">Add a real </w:t>
      </w:r>
      <w:r>
        <w:rPr>
          <w:rFonts w:ascii="Consolas" w:hAnsi="Consolas" w:eastAsia="Consolas"/>
          <w:b w:val="0"/>
          <w:i w:val="0"/>
          <w:color w:val="0A1628"/>
          <w:sz w:val="17"/>
          <w:shd w:fill="EEF2F6"/>
        </w:rPr>
        <w:t>branch_settlement_status</w:t>
      </w:r>
      <w:r>
        <w:rPr>
          <w:rFonts w:ascii="Aptos" w:hAnsi="Aptos" w:eastAsia="Aptos"/>
          <w:b w:val="0"/>
          <w:i w:val="0"/>
          <w:color w:val="0A1628"/>
          <w:sz w:val="20"/>
        </w:rPr>
        <w:t xml:space="preserve"> and </w:t>
      </w:r>
      <w:r>
        <w:rPr>
          <w:rFonts w:ascii="Consolas" w:hAnsi="Consolas" w:eastAsia="Consolas"/>
          <w:b w:val="0"/>
          <w:i w:val="0"/>
          <w:color w:val="0A1628"/>
          <w:sz w:val="17"/>
          <w:shd w:fill="EEF2F6"/>
        </w:rPr>
        <w:t>branch_settlement_batch_id</w:t>
      </w:r>
      <w:r>
        <w:rPr>
          <w:rFonts w:ascii="Aptos" w:hAnsi="Aptos" w:eastAsia="Aptos"/>
          <w:b w:val="0"/>
          <w:i w:val="0"/>
          <w:color w:val="0A1628"/>
          <w:sz w:val="20"/>
        </w:rPr>
        <w:t>.</w:t>
      </w:r>
    </w:p>
    <w:p>
      <w:pPr>
        <w:pStyle w:val="ListNumber"/>
        <w:ind w:left="0"/>
      </w:pPr>
      <w:r>
        <w:rPr>
          <w:rFonts w:ascii="Aptos" w:hAnsi="Aptos" w:eastAsia="Aptos"/>
          <w:b w:val="0"/>
          <w:i w:val="0"/>
          <w:color w:val="0A1628"/>
          <w:sz w:val="20"/>
        </w:rPr>
        <w:t>Replace direct settlement table updates with secured RPCs.</w:t>
      </w:r>
    </w:p>
    <w:p>
      <w:pPr>
        <w:pStyle w:val="ListNumber"/>
        <w:ind w:left="0"/>
      </w:pPr>
      <w:r>
        <w:rPr>
          <w:rFonts w:ascii="Aptos" w:hAnsi="Aptos" w:eastAsia="Aptos"/>
          <w:b w:val="0"/>
          <w:i w:val="0"/>
          <w:color w:val="0A1628"/>
          <w:sz w:val="20"/>
        </w:rPr>
        <w:t xml:space="preserve">Derive user mode and branch scope from authenticated backend permissions, not </w:t>
      </w:r>
      <w:r>
        <w:rPr>
          <w:rFonts w:ascii="Consolas" w:hAnsi="Consolas" w:eastAsia="Consolas"/>
          <w:b w:val="0"/>
          <w:i w:val="0"/>
          <w:color w:val="0A1628"/>
          <w:sz w:val="17"/>
          <w:shd w:fill="EEF2F6"/>
        </w:rPr>
        <w:t>sessionStorage</w:t>
      </w:r>
      <w:r>
        <w:rPr>
          <w:rFonts w:ascii="Aptos" w:hAnsi="Aptos" w:eastAsia="Aptos"/>
          <w:b w:val="0"/>
          <w:i w:val="0"/>
          <w:color w:val="0A1628"/>
          <w:sz w:val="20"/>
        </w:rPr>
        <w:t>.</w:t>
      </w:r>
    </w:p>
    <w:p>
      <w:pPr>
        <w:pStyle w:val="ListNumber"/>
        <w:ind w:left="0"/>
      </w:pPr>
      <w:r>
        <w:rPr>
          <w:rFonts w:ascii="Aptos" w:hAnsi="Aptos" w:eastAsia="Aptos"/>
          <w:b w:val="0"/>
          <w:i w:val="0"/>
          <w:color w:val="0A1628"/>
          <w:sz w:val="20"/>
        </w:rPr>
        <w:t>Do not let the browser choose HQ authority.</w:t>
      </w:r>
    </w:p>
    <w:p>
      <w:pPr>
        <w:pStyle w:val="ListNumber"/>
        <w:ind w:left="0"/>
      </w:pPr>
      <w:r>
        <w:rPr>
          <w:rFonts w:ascii="Aptos" w:hAnsi="Aptos" w:eastAsia="Aptos"/>
          <w:b w:val="0"/>
          <w:i w:val="0"/>
          <w:color w:val="0A1628"/>
          <w:sz w:val="20"/>
        </w:rPr>
        <w:t>Do not calculate settlement from uncontrolled client-side sums.</w:t>
      </w:r>
    </w:p>
    <w:p>
      <w:pPr>
        <w:pStyle w:val="ListNumber"/>
        <w:ind w:left="0"/>
      </w:pPr>
      <w:r>
        <w:rPr>
          <w:rFonts w:ascii="Aptos" w:hAnsi="Aptos" w:eastAsia="Aptos"/>
          <w:b w:val="0"/>
          <w:i w:val="0"/>
          <w:color w:val="0A1628"/>
          <w:sz w:val="20"/>
        </w:rPr>
        <w:t>Continue to show shipment finance fields, but source official batch values from backend snapshots.</w:t>
      </w:r>
    </w:p>
    <w:p>
      <w:pPr>
        <w:pStyle w:val="Heading3"/>
        <w:keepNext/>
      </w:pPr>
      <w:r>
        <w:rPr>
          <w:rFonts w:ascii="Aptos" w:hAnsi="Aptos" w:eastAsia="Aptos"/>
          <w:b w:val="0"/>
          <w:i w:val="0"/>
          <w:color w:val="0A1628"/>
          <w:sz w:val="20"/>
        </w:rPr>
        <w:t>9.15 Mandalay and Third-Party Rate Placeholders</w:t>
      </w:r>
    </w:p>
    <w:p>
      <w:r>
        <w:rPr>
          <w:rFonts w:ascii="Aptos" w:hAnsi="Aptos" w:eastAsia="Aptos"/>
          <w:b w:val="0"/>
          <w:i w:val="0"/>
          <w:color w:val="0A1628"/>
          <w:sz w:val="20"/>
        </w:rPr>
        <w:t>Create inactive counterparties:</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DK_DELIVERY</w:t>
              <w:br/>
              <w:t>ROYAL_EXPRESS</w:t>
              <w:br/>
              <w:t>ARLU_POST</w:t>
              <w:br/>
              <w:t>NINJA_VAN</w:t>
              <w:br/>
              <w:t>SAFE_DELIVERY_SERVICES</w:t>
            </w:r>
          </w:p>
        </w:tc>
      </w:tr>
    </w:tbl>
    <w:p>
      <w:pPr>
        <w:spacing w:after="0"/>
      </w:pPr>
    </w:p>
    <w:p>
      <w:r>
        <w:rPr>
          <w:rFonts w:ascii="Aptos" w:hAnsi="Aptos" w:eastAsia="Aptos"/>
          <w:b w:val="0"/>
          <w:i w:val="0"/>
          <w:color w:val="0A1628"/>
          <w:sz w:val="20"/>
        </w:rPr>
        <w:t>Create draft routing defaults:</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Mandalay -&gt; DK_DELIVERY</w:t>
              <w:br/>
              <w:t>Other outsourced destinations -&gt; ROYAL_EXPRESS</w:t>
            </w:r>
          </w:p>
        </w:tc>
      </w:tr>
    </w:tbl>
    <w:p>
      <w:pPr>
        <w:spacing w:after="0"/>
      </w:pPr>
    </w:p>
    <w:p>
      <w:r>
        <w:rPr>
          <w:rFonts w:ascii="Aptos" w:hAnsi="Aptos" w:eastAsia="Aptos"/>
          <w:b w:val="0"/>
          <w:i w:val="0"/>
          <w:color w:val="0A1628"/>
          <w:sz w:val="20"/>
        </w:rPr>
        <w:t>These records must have:</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configuration_status = RATE_PENDING</w:t>
              <w:br/>
              <w:t>settlement_enabled = false</w:t>
            </w:r>
          </w:p>
        </w:tc>
      </w:tr>
    </w:tbl>
    <w:p>
      <w:pPr>
        <w:spacing w:after="0"/>
      </w:pPr>
    </w:p>
    <w:p>
      <w:r>
        <w:rPr>
          <w:rFonts w:ascii="Aptos" w:hAnsi="Aptos" w:eastAsia="Aptos"/>
          <w:b w:val="0"/>
          <w:i w:val="0"/>
          <w:color w:val="0A1628"/>
          <w:sz w:val="20"/>
        </w:rPr>
        <w:t>When no approved effective rate exists:</w:t>
      </w:r>
    </w:p>
    <w:p>
      <w:pPr>
        <w:pStyle w:val="ListBullet"/>
        <w:ind w:left="0"/>
      </w:pPr>
      <w:r>
        <w:rPr>
          <w:rFonts w:ascii="Aptos" w:hAnsi="Aptos" w:eastAsia="Aptos"/>
          <w:b w:val="0"/>
          <w:i w:val="0"/>
          <w:color w:val="0A1628"/>
          <w:sz w:val="20"/>
        </w:rPr>
        <w:t xml:space="preserve">Routing may show </w:t>
      </w:r>
      <w:r>
        <w:rPr>
          <w:rFonts w:ascii="Consolas" w:hAnsi="Consolas" w:eastAsia="Consolas"/>
          <w:b w:val="0"/>
          <w:i w:val="0"/>
          <w:color w:val="0A1628"/>
          <w:sz w:val="17"/>
          <w:shd w:fill="EEF2F6"/>
        </w:rPr>
        <w:t>PROPOSED_PROVIDER</w:t>
      </w:r>
      <w:r>
        <w:rPr>
          <w:rFonts w:ascii="Aptos" w:hAnsi="Aptos" w:eastAsia="Aptos"/>
          <w:b w:val="0"/>
          <w:i w:val="0"/>
          <w:color w:val="0A1628"/>
          <w:sz w:val="20"/>
        </w:rPr>
        <w:t xml:space="preserve"> only.</w:t>
      </w:r>
    </w:p>
    <w:p>
      <w:pPr>
        <w:pStyle w:val="ListBullet"/>
        <w:ind w:left="0"/>
      </w:pPr>
      <w:r>
        <w:rPr>
          <w:rFonts w:ascii="Aptos" w:hAnsi="Aptos" w:eastAsia="Aptos"/>
          <w:b w:val="0"/>
          <w:i w:val="0"/>
          <w:color w:val="0A1628"/>
          <w:sz w:val="20"/>
        </w:rPr>
        <w:t xml:space="preserve">The parcel must show </w:t>
      </w:r>
      <w:r>
        <w:rPr>
          <w:rFonts w:ascii="Consolas" w:hAnsi="Consolas" w:eastAsia="Consolas"/>
          <w:b w:val="0"/>
          <w:i w:val="0"/>
          <w:color w:val="0A1628"/>
          <w:sz w:val="17"/>
          <w:shd w:fill="EEF2F6"/>
        </w:rPr>
        <w:t>PARTNER_RATE_MISSING</w:t>
      </w:r>
      <w:r>
        <w:rPr>
          <w:rFonts w:ascii="Aptos" w:hAnsi="Aptos" w:eastAsia="Aptos"/>
          <w:b w:val="0"/>
          <w:i w:val="0"/>
          <w:color w:val="0A1628"/>
          <w:sz w:val="20"/>
        </w:rPr>
        <w:t>.</w:t>
      </w:r>
    </w:p>
    <w:p>
      <w:pPr>
        <w:pStyle w:val="ListBullet"/>
        <w:ind w:left="0"/>
      </w:pPr>
      <w:r>
        <w:rPr>
          <w:rFonts w:ascii="Aptos" w:hAnsi="Aptos" w:eastAsia="Aptos"/>
          <w:b w:val="0"/>
          <w:i w:val="0"/>
          <w:color w:val="0A1628"/>
          <w:sz w:val="20"/>
        </w:rPr>
        <w:t>Partner payable must remain null.</w:t>
      </w:r>
    </w:p>
    <w:p>
      <w:pPr>
        <w:pStyle w:val="ListBullet"/>
        <w:ind w:left="0"/>
      </w:pPr>
      <w:r>
        <w:rPr>
          <w:rFonts w:ascii="Aptos" w:hAnsi="Aptos" w:eastAsia="Aptos"/>
          <w:b w:val="0"/>
          <w:i w:val="0"/>
          <w:color w:val="0A1628"/>
          <w:sz w:val="20"/>
        </w:rPr>
        <w:t>Partner settlement eligibility must be blocked.</w:t>
      </w:r>
    </w:p>
    <w:p>
      <w:pPr>
        <w:pStyle w:val="ListBullet"/>
        <w:ind w:left="0"/>
      </w:pPr>
      <w:r>
        <w:rPr>
          <w:rFonts w:ascii="Aptos" w:hAnsi="Aptos" w:eastAsia="Aptos"/>
          <w:b w:val="0"/>
          <w:i w:val="0"/>
          <w:color w:val="0A1628"/>
          <w:sz w:val="20"/>
        </w:rPr>
        <w:t>The system must not fall back to the Naypyitaw 55/45 branch rule.</w:t>
      </w:r>
    </w:p>
    <w:p>
      <w:pPr>
        <w:pStyle w:val="ListBullet"/>
        <w:ind w:left="0"/>
      </w:pPr>
      <w:r>
        <w:rPr>
          <w:rFonts w:ascii="Aptos" w:hAnsi="Aptos" w:eastAsia="Aptos"/>
          <w:b w:val="0"/>
          <w:i w:val="0"/>
          <w:color w:val="0A1628"/>
          <w:sz w:val="20"/>
        </w:rPr>
        <w:t>The system must not use Britium customer tariff as provider cost.</w:t>
      </w:r>
    </w:p>
    <w:p>
      <w:pPr>
        <w:pStyle w:val="Heading3"/>
        <w:keepNext/>
      </w:pPr>
      <w:r>
        <w:rPr>
          <w:rFonts w:ascii="Aptos" w:hAnsi="Aptos" w:eastAsia="Aptos"/>
          <w:b w:val="0"/>
          <w:i w:val="0"/>
          <w:color w:val="0A1628"/>
          <w:sz w:val="20"/>
        </w:rPr>
        <w:t>9.16 Acceptance Tests</w:t>
      </w:r>
    </w:p>
    <w:p>
      <w:pPr>
        <w:pStyle w:val="Heading4"/>
        <w:keepNext/>
      </w:pPr>
      <w:r>
        <w:rPr>
          <w:rFonts w:ascii="Aptos" w:hAnsi="Aptos" w:eastAsia="Aptos"/>
          <w:b w:val="0"/>
          <w:i w:val="0"/>
          <w:color w:val="0A1628"/>
          <w:sz w:val="20"/>
        </w:rPr>
        <w:t>Test A - HQ sends to NPT</w:t>
      </w:r>
    </w:p>
    <w:p>
      <w:r>
        <w:rPr>
          <w:rFonts w:ascii="Aptos" w:hAnsi="Aptos" w:eastAsia="Aptos"/>
          <w:b w:val="0"/>
          <w:i w:val="0"/>
          <w:color w:val="0A1628"/>
          <w:sz w:val="20"/>
        </w:rPr>
        <w:t>Input:</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delivery revenue = 6,000</w:t>
              <w:br/>
              <w:t>sender = YGN-HQ</w:t>
              <w:br/>
              <w:t>last mile = NPT</w:t>
              <w:br/>
              <w:t>penalty = 0</w:t>
            </w:r>
          </w:p>
        </w:tc>
      </w:tr>
    </w:tbl>
    <w:p>
      <w:pPr>
        <w:spacing w:after="0"/>
      </w:pPr>
    </w:p>
    <w:p>
      <w:r>
        <w:rPr>
          <w:rFonts w:ascii="Aptos" w:hAnsi="Aptos" w:eastAsia="Aptos"/>
          <w:b w:val="0"/>
          <w:i w:val="0"/>
          <w:color w:val="0A1628"/>
          <w:sz w:val="20"/>
        </w:rPr>
        <w:t>Expected:</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HQ sender share = 3,300</w:t>
              <w:br/>
              <w:t>NPT gross share = 2,700</w:t>
              <w:br/>
              <w:t>NPT management fee = 270</w:t>
              <w:br/>
              <w:t>NPT net share = 2,430</w:t>
              <w:br/>
              <w:t>HQ revenue = 3,570</w:t>
              <w:br/>
              <w:t>reconciliation difference = 0</w:t>
            </w:r>
          </w:p>
        </w:tc>
      </w:tr>
    </w:tbl>
    <w:p>
      <w:pPr>
        <w:spacing w:after="0"/>
      </w:pPr>
    </w:p>
    <w:p>
      <w:pPr>
        <w:pStyle w:val="Heading4"/>
        <w:keepNext/>
      </w:pPr>
      <w:r>
        <w:rPr>
          <w:rFonts w:ascii="Aptos" w:hAnsi="Aptos" w:eastAsia="Aptos"/>
          <w:b w:val="0"/>
          <w:i w:val="0"/>
          <w:color w:val="0A1628"/>
          <w:sz w:val="20"/>
        </w:rPr>
        <w:t>Test B - NPT sends to HQ</w:t>
      </w:r>
    </w:p>
    <w:p>
      <w:r>
        <w:rPr>
          <w:rFonts w:ascii="Aptos" w:hAnsi="Aptos" w:eastAsia="Aptos"/>
          <w:b w:val="0"/>
          <w:i w:val="0"/>
          <w:color w:val="0A1628"/>
          <w:sz w:val="20"/>
        </w:rPr>
        <w:t>Input:</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delivery revenue = 6,000</w:t>
              <w:br/>
              <w:t>sender = NPT</w:t>
              <w:br/>
              <w:t>last mile = YGN-HQ</w:t>
              <w:br/>
              <w:t>penalty = 0</w:t>
            </w:r>
          </w:p>
        </w:tc>
      </w:tr>
    </w:tbl>
    <w:p>
      <w:pPr>
        <w:spacing w:after="0"/>
      </w:pPr>
    </w:p>
    <w:p>
      <w:r>
        <w:rPr>
          <w:rFonts w:ascii="Aptos" w:hAnsi="Aptos" w:eastAsia="Aptos"/>
          <w:b w:val="0"/>
          <w:i w:val="0"/>
          <w:color w:val="0A1628"/>
          <w:sz w:val="20"/>
        </w:rPr>
        <w:t>Expected:</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NPT gross share = 3,300</w:t>
              <w:br/>
              <w:t>NPT management fee = 330</w:t>
              <w:br/>
              <w:t>NPT net share = 2,970</w:t>
              <w:br/>
              <w:t>HQ last-mile share = 2,700</w:t>
              <w:br/>
              <w:t>HQ revenue = 3,030</w:t>
              <w:br/>
              <w:t>reconciliation difference = 0</w:t>
            </w:r>
          </w:p>
        </w:tc>
      </w:tr>
    </w:tbl>
    <w:p>
      <w:pPr>
        <w:spacing w:after="0"/>
      </w:pPr>
    </w:p>
    <w:p>
      <w:pPr>
        <w:pStyle w:val="Heading4"/>
        <w:keepNext/>
      </w:pPr>
      <w:r>
        <w:rPr>
          <w:rFonts w:ascii="Aptos" w:hAnsi="Aptos" w:eastAsia="Aptos"/>
          <w:b w:val="0"/>
          <w:i w:val="0"/>
          <w:color w:val="0A1628"/>
          <w:sz w:val="20"/>
        </w:rPr>
        <w:t>Test C - NPT penalty</w:t>
      </w:r>
    </w:p>
    <w:p>
      <w:r>
        <w:rPr>
          <w:rFonts w:ascii="Aptos" w:hAnsi="Aptos" w:eastAsia="Aptos"/>
          <w:b w:val="0"/>
          <w:i w:val="0"/>
          <w:color w:val="0A1628"/>
          <w:sz w:val="20"/>
        </w:rPr>
        <w:t>Input:</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NPT gross share = 2,700</w:t>
              <w:br/>
              <w:t>management fee = 270</w:t>
              <w:br/>
              <w:t>approved cargo damage penalty = 500</w:t>
            </w:r>
          </w:p>
        </w:tc>
      </w:tr>
    </w:tbl>
    <w:p>
      <w:pPr>
        <w:spacing w:after="0"/>
      </w:pPr>
    </w:p>
    <w:p>
      <w:r>
        <w:rPr>
          <w:rFonts w:ascii="Aptos" w:hAnsi="Aptos" w:eastAsia="Aptos"/>
          <w:b w:val="0"/>
          <w:i w:val="0"/>
          <w:color w:val="0A1628"/>
          <w:sz w:val="20"/>
        </w:rPr>
        <w:t>Expected:</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NPT net share = 1,930</w:t>
            </w:r>
          </w:p>
        </w:tc>
      </w:tr>
    </w:tbl>
    <w:p>
      <w:pPr>
        <w:spacing w:after="0"/>
      </w:pPr>
    </w:p>
    <w:p>
      <w:pPr>
        <w:pStyle w:val="Heading4"/>
        <w:keepNext/>
      </w:pPr>
      <w:r>
        <w:rPr>
          <w:rFonts w:ascii="Aptos" w:hAnsi="Aptos" w:eastAsia="Aptos"/>
          <w:b w:val="0"/>
          <w:i w:val="0"/>
          <w:color w:val="0A1628"/>
          <w:sz w:val="20"/>
        </w:rPr>
        <w:t>Test D - COD remittance mismatch</w:t>
      </w:r>
    </w:p>
    <w:p>
      <w:r>
        <w:rPr>
          <w:rFonts w:ascii="Aptos" w:hAnsi="Aptos" w:eastAsia="Aptos"/>
          <w:b w:val="0"/>
          <w:i w:val="0"/>
          <w:color w:val="0A1628"/>
          <w:sz w:val="20"/>
        </w:rPr>
        <w:t>Input:</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customer collection = 30,000</w:t>
              <w:br/>
              <w:t>HQ confirmed remittance = 29,500</w:t>
              <w:br/>
              <w:t>no approved refund or shortage</w:t>
            </w:r>
          </w:p>
        </w:tc>
      </w:tr>
    </w:tbl>
    <w:p>
      <w:pPr>
        <w:spacing w:after="0"/>
      </w:pPr>
    </w:p>
    <w:p>
      <w:r>
        <w:rPr>
          <w:rFonts w:ascii="Aptos" w:hAnsi="Aptos" w:eastAsia="Aptos"/>
          <w:b w:val="0"/>
          <w:i w:val="0"/>
          <w:color w:val="0A1628"/>
          <w:sz w:val="20"/>
        </w:rPr>
        <w:t>Expected:</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exception = COD_REMITTANCE_MISMATCH</w:t>
              <w:br/>
              <w:t>batch approval blocked = true</w:t>
            </w:r>
          </w:p>
        </w:tc>
      </w:tr>
    </w:tbl>
    <w:p>
      <w:pPr>
        <w:spacing w:after="0"/>
      </w:pPr>
    </w:p>
    <w:p>
      <w:pPr>
        <w:pStyle w:val="Heading4"/>
        <w:keepNext/>
      </w:pPr>
      <w:r>
        <w:rPr>
          <w:rFonts w:ascii="Aptos" w:hAnsi="Aptos" w:eastAsia="Aptos"/>
          <w:b w:val="0"/>
          <w:i w:val="0"/>
          <w:color w:val="0A1628"/>
          <w:sz w:val="20"/>
        </w:rPr>
        <w:t>Test E - Mandalay before DK rate activation</w:t>
      </w:r>
    </w:p>
    <w:p>
      <w:r>
        <w:rPr>
          <w:rFonts w:ascii="Aptos" w:hAnsi="Aptos" w:eastAsia="Aptos"/>
          <w:b w:val="0"/>
          <w:i w:val="0"/>
          <w:color w:val="0A1628"/>
          <w:sz w:val="20"/>
        </w:rPr>
        <w:t>Input:</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branch = MDY</w:t>
              <w:br/>
              <w:t>provider = DK_DELIVERY</w:t>
              <w:br/>
              <w:t>approved provider rate = null</w:t>
            </w:r>
          </w:p>
        </w:tc>
      </w:tr>
    </w:tbl>
    <w:p>
      <w:pPr>
        <w:spacing w:after="0"/>
      </w:pPr>
    </w:p>
    <w:p>
      <w:r>
        <w:rPr>
          <w:rFonts w:ascii="Aptos" w:hAnsi="Aptos" w:eastAsia="Aptos"/>
          <w:b w:val="0"/>
          <w:i w:val="0"/>
          <w:color w:val="0A1628"/>
          <w:sz w:val="20"/>
        </w:rPr>
        <w:t>Expected:</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provider settlement = blocked</w:t>
              <w:br/>
              <w:t>exception = PARTNER_RATE_MISSING</w:t>
              <w:br/>
              <w:t>NPT 55/45 rule applied = false</w:t>
            </w:r>
          </w:p>
        </w:tc>
      </w:tr>
    </w:tbl>
    <w:p>
      <w:pPr>
        <w:spacing w:after="0"/>
      </w:pPr>
    </w:p>
    <w:p>
      <w:pPr>
        <w:pStyle w:val="Heading3"/>
        <w:keepNext/>
      </w:pPr>
      <w:r>
        <w:rPr>
          <w:rFonts w:ascii="Aptos" w:hAnsi="Aptos" w:eastAsia="Aptos"/>
          <w:b w:val="0"/>
          <w:i w:val="0"/>
          <w:color w:val="0A1628"/>
          <w:sz w:val="20"/>
        </w:rPr>
        <w:t>9.17 Deployment Requirements</w:t>
      </w:r>
    </w:p>
    <w:p>
      <w:r>
        <w:rPr>
          <w:rFonts w:ascii="Aptos" w:hAnsi="Aptos" w:eastAsia="Aptos"/>
          <w:b w:val="0"/>
          <w:i w:val="0"/>
          <w:color w:val="0A1628"/>
          <w:sz w:val="20"/>
        </w:rPr>
        <w:t>Before activation:</w:t>
      </w:r>
    </w:p>
    <w:p>
      <w:pPr>
        <w:pStyle w:val="ListNumber"/>
        <w:ind w:left="0"/>
      </w:pPr>
      <w:r>
        <w:rPr>
          <w:rFonts w:ascii="Aptos" w:hAnsi="Aptos" w:eastAsia="Aptos"/>
          <w:b w:val="0"/>
          <w:i w:val="0"/>
          <w:color w:val="0A1628"/>
          <w:sz w:val="20"/>
        </w:rPr>
        <w:t>Confirm whether extra-weight and other surcharges enter the 55/45 split.</w:t>
      </w:r>
    </w:p>
    <w:p>
      <w:pPr>
        <w:pStyle w:val="ListNumber"/>
        <w:ind w:left="0"/>
      </w:pPr>
      <w:r>
        <w:rPr>
          <w:rFonts w:ascii="Aptos" w:hAnsi="Aptos" w:eastAsia="Aptos"/>
          <w:b w:val="0"/>
          <w:i w:val="0"/>
          <w:color w:val="0A1628"/>
          <w:sz w:val="20"/>
        </w:rPr>
        <w:t>Confirm settlement frequency for NPT.</w:t>
      </w:r>
    </w:p>
    <w:p>
      <w:pPr>
        <w:pStyle w:val="ListNumber"/>
        <w:ind w:left="0"/>
      </w:pPr>
      <w:r>
        <w:rPr>
          <w:rFonts w:ascii="Aptos" w:hAnsi="Aptos" w:eastAsia="Aptos"/>
          <w:b w:val="0"/>
          <w:i w:val="0"/>
          <w:color w:val="0A1628"/>
          <w:sz w:val="20"/>
        </w:rPr>
        <w:t>Confirm COD remittance deadline.</w:t>
      </w:r>
    </w:p>
    <w:p>
      <w:pPr>
        <w:pStyle w:val="ListNumber"/>
        <w:ind w:left="0"/>
      </w:pPr>
      <w:r>
        <w:rPr>
          <w:rFonts w:ascii="Aptos" w:hAnsi="Aptos" w:eastAsia="Aptos"/>
          <w:b w:val="0"/>
          <w:i w:val="0"/>
          <w:color w:val="0A1628"/>
          <w:sz w:val="20"/>
        </w:rPr>
        <w:t>Confirm payment method and bank account ownership.</w:t>
      </w:r>
    </w:p>
    <w:p>
      <w:pPr>
        <w:pStyle w:val="ListNumber"/>
        <w:ind w:left="0"/>
      </w:pPr>
      <w:r>
        <w:rPr>
          <w:rFonts w:ascii="Aptos" w:hAnsi="Aptos" w:eastAsia="Aptos"/>
          <w:b w:val="0"/>
          <w:i w:val="0"/>
          <w:color w:val="0A1628"/>
          <w:sz w:val="20"/>
        </w:rPr>
        <w:t>Approve penalty matrix and limits.</w:t>
      </w:r>
    </w:p>
    <w:p>
      <w:pPr>
        <w:pStyle w:val="ListNumber"/>
        <w:ind w:left="0"/>
      </w:pPr>
      <w:r>
        <w:rPr>
          <w:rFonts w:ascii="Aptos" w:hAnsi="Aptos" w:eastAsia="Aptos"/>
          <w:b w:val="0"/>
          <w:i w:val="0"/>
          <w:color w:val="0A1628"/>
          <w:sz w:val="20"/>
        </w:rPr>
        <w:t>Backfill sender and last-mile roles for existing NPT delivered ways.</w:t>
      </w:r>
    </w:p>
    <w:p>
      <w:pPr>
        <w:pStyle w:val="ListNumber"/>
        <w:ind w:left="0"/>
      </w:pPr>
      <w:r>
        <w:rPr>
          <w:rFonts w:ascii="Aptos" w:hAnsi="Aptos" w:eastAsia="Aptos"/>
          <w:b w:val="0"/>
          <w:i w:val="0"/>
          <w:color w:val="0A1628"/>
          <w:sz w:val="20"/>
        </w:rPr>
        <w:t>Reconcile a sample period manually against the new calculations.</w:t>
      </w:r>
    </w:p>
    <w:p>
      <w:pPr>
        <w:pStyle w:val="ListNumber"/>
        <w:ind w:left="0"/>
      </w:pPr>
      <w:r>
        <w:rPr>
          <w:rFonts w:ascii="Aptos" w:hAnsi="Aptos" w:eastAsia="Aptos"/>
          <w:b w:val="0"/>
          <w:i w:val="0"/>
          <w:color w:val="0A1628"/>
          <w:sz w:val="20"/>
        </w:rPr>
        <w:t>Obtain Finance and Branch Manager sign-off.</w:t>
      </w:r>
    </w:p>
    <w:p>
      <w:r>
        <w:rPr>
          <w:rFonts w:ascii="Aptos" w:hAnsi="Aptos" w:eastAsia="Aptos"/>
          <w:b w:val="0"/>
          <w:i w:val="0"/>
          <w:color w:val="0A1628"/>
          <w:sz w:val="20"/>
        </w:rPr>
        <w:t>Mandalay/DK Delivery and Royal Express settlement must be deployed as a later effective-dated configuration after approved rate sheets are provided.</w:t>
      </w:r>
    </w:p>
    <w:p>
      <w:pPr>
        <w:pStyle w:val="Heading2"/>
        <w:keepNext/>
      </w:pPr>
      <w:r>
        <w:rPr>
          <w:rFonts w:ascii="Aptos" w:hAnsi="Aptos" w:eastAsia="Aptos"/>
          <w:b w:val="0"/>
          <w:i w:val="0"/>
          <w:color w:val="0A1628"/>
          <w:sz w:val="20"/>
        </w:rPr>
        <w:t>10. Mandalay DK Delivery and Royal Express Settlement</w:t>
      </w:r>
    </w:p>
    <w:p>
      <w:r>
        <w:rPr>
          <w:rFonts w:ascii="Aptos" w:hAnsi="Aptos" w:eastAsia="Aptos"/>
          <w:b w:val="0"/>
          <w:i w:val="0"/>
          <w:color w:val="0A1628"/>
          <w:sz w:val="20"/>
        </w:rPr>
      </w:r>
      <w:r>
        <w:rPr>
          <w:rFonts w:ascii="Aptos" w:hAnsi="Aptos" w:eastAsia="Aptos"/>
          <w:b/>
          <w:i w:val="0"/>
          <w:color w:val="0A1628"/>
          <w:sz w:val="20"/>
        </w:rPr>
        <w:t>Specification version:</w:t>
      </w:r>
      <w:r>
        <w:rPr>
          <w:rFonts w:ascii="Aptos" w:hAnsi="Aptos" w:eastAsia="Aptos"/>
          <w:b w:val="0"/>
          <w:i w:val="0"/>
          <w:color w:val="0A1628"/>
          <w:sz w:val="20"/>
        </w:rPr>
        <w:t xml:space="preserve"> </w:t>
      </w:r>
      <w:r>
        <w:rPr>
          <w:rFonts w:ascii="Consolas" w:hAnsi="Consolas" w:eastAsia="Consolas"/>
          <w:b w:val="0"/>
          <w:i w:val="0"/>
          <w:color w:val="0A1628"/>
          <w:sz w:val="17"/>
          <w:shd w:fill="EEF2F6"/>
        </w:rPr>
        <w:t>OUTSOURCE_SETTLEMENT_V1_2026_07_31</w:t>
      </w:r>
      <w:r>
        <w:br/>
      </w:r>
      <w:r>
        <w:rPr>
          <w:rFonts w:ascii="Aptos" w:hAnsi="Aptos" w:eastAsia="Aptos"/>
          <w:b w:val="0"/>
          <w:i w:val="0"/>
          <w:color w:val="0A1628"/>
          <w:sz w:val="20"/>
        </w:rPr>
      </w:r>
      <w:r>
        <w:rPr>
          <w:rFonts w:ascii="Aptos" w:hAnsi="Aptos" w:eastAsia="Aptos"/>
          <w:b/>
          <w:i w:val="0"/>
          <w:color w:val="0A1628"/>
          <w:sz w:val="20"/>
        </w:rPr>
        <w:t>Applies to:</w:t>
      </w:r>
      <w:r>
        <w:rPr>
          <w:rFonts w:ascii="Aptos" w:hAnsi="Aptos" w:eastAsia="Aptos"/>
          <w:b w:val="0"/>
          <w:i w:val="0"/>
          <w:color w:val="0A1628"/>
          <w:sz w:val="20"/>
        </w:rPr>
        <w:t xml:space="preserve"> Britium Express network fulfillment, Finance, Operations, Data Entry, Final Sync and partner settlement</w:t>
      </w:r>
      <w:r>
        <w:br/>
      </w:r>
      <w:r>
        <w:rPr>
          <w:rFonts w:ascii="Aptos" w:hAnsi="Aptos" w:eastAsia="Aptos"/>
          <w:b w:val="0"/>
          <w:i w:val="0"/>
          <w:color w:val="0A1628"/>
          <w:sz w:val="20"/>
        </w:rPr>
      </w:r>
      <w:r>
        <w:rPr>
          <w:rFonts w:ascii="Aptos" w:hAnsi="Aptos" w:eastAsia="Aptos"/>
          <w:b/>
          <w:i w:val="0"/>
          <w:color w:val="0A1628"/>
          <w:sz w:val="20"/>
        </w:rPr>
        <w:t>Source documents:</w:t>
      </w:r>
      <w:r>
        <w:rPr>
          <w:rFonts w:ascii="Aptos" w:hAnsi="Aptos" w:eastAsia="Aptos"/>
          <w:b w:val="0"/>
          <w:i w:val="0"/>
          <w:color w:val="0A1628"/>
          <w:sz w:val="20"/>
        </w:rPr>
      </w:r>
    </w:p>
    <w:p>
      <w:pPr>
        <w:pStyle w:val="ListBullet"/>
        <w:ind w:left="0"/>
      </w:pPr>
      <w:r>
        <w:rPr>
          <w:rFonts w:ascii="Aptos" w:hAnsi="Aptos" w:eastAsia="Aptos"/>
          <w:b w:val="0"/>
          <w:i w:val="0"/>
          <w:color w:val="0A1628"/>
          <w:sz w:val="20"/>
        </w:rPr>
        <w:t>DK Delivery Service Mandalay partnership fee map</w:t>
      </w:r>
    </w:p>
    <w:p>
      <w:pPr>
        <w:pStyle w:val="ListBullet"/>
        <w:ind w:left="0"/>
      </w:pPr>
      <w:r>
        <w:rPr>
          <w:rFonts w:ascii="Aptos" w:hAnsi="Aptos" w:eastAsia="Aptos"/>
          <w:b w:val="0"/>
          <w:i w:val="0"/>
          <w:color w:val="0A1628"/>
          <w:sz w:val="20"/>
        </w:rPr>
        <w:t xml:space="preserve">Royal Express quotation </w:t>
      </w:r>
      <w:r>
        <w:rPr>
          <w:rFonts w:ascii="Consolas" w:hAnsi="Consolas" w:eastAsia="Consolas"/>
          <w:b w:val="0"/>
          <w:i w:val="0"/>
          <w:color w:val="0A1628"/>
          <w:sz w:val="17"/>
          <w:shd w:fill="EEF2F6"/>
        </w:rPr>
        <w:t>Q-019-05-2026</w:t>
      </w:r>
      <w:r>
        <w:rPr>
          <w:rFonts w:ascii="Aptos" w:hAnsi="Aptos" w:eastAsia="Aptos"/>
          <w:b w:val="0"/>
          <w:i w:val="0"/>
          <w:color w:val="0A1628"/>
          <w:sz w:val="20"/>
        </w:rPr>
        <w:t>, dated 22 May 2026</w:t>
      </w:r>
    </w:p>
    <w:p>
      <w:pPr>
        <w:pBdr>
          <w:bottom w:val="single" w:sz="5" w:space="3" w:color="B8C4D1"/>
        </w:pBdr>
        <w:spacing w:after="100"/>
      </w:pPr>
    </w:p>
    <w:p>
      <w:pPr>
        <w:pStyle w:val="Heading3"/>
        <w:keepNext/>
      </w:pPr>
      <w:r>
        <w:rPr>
          <w:rFonts w:ascii="Aptos" w:hAnsi="Aptos" w:eastAsia="Aptos"/>
          <w:b w:val="0"/>
          <w:i w:val="0"/>
          <w:color w:val="0A1628"/>
          <w:sz w:val="20"/>
        </w:rPr>
        <w:t>10.1 Business Scope</w:t>
      </w:r>
    </w:p>
    <w:p>
      <w:r>
        <w:rPr>
          <w:rFonts w:ascii="Aptos" w:hAnsi="Aptos" w:eastAsia="Aptos"/>
          <w:b w:val="0"/>
          <w:i w:val="0"/>
          <w:color w:val="0A1628"/>
          <w:sz w:val="20"/>
        </w:rPr>
        <w:t>The production system must apply the following routing priority:</w:t>
      </w:r>
    </w:p>
    <w:p>
      <w:pPr>
        <w:pStyle w:val="ListNumber"/>
        <w:ind w:left="0"/>
      </w:pPr>
      <w:r>
        <w:rPr>
          <w:rFonts w:ascii="Aptos" w:hAnsi="Aptos" w:eastAsia="Aptos"/>
          <w:b w:val="0"/>
          <w:i w:val="0"/>
          <w:color w:val="0A1628"/>
          <w:sz w:val="20"/>
        </w:rPr>
      </w:r>
      <w:r>
        <w:rPr>
          <w:rFonts w:ascii="Aptos" w:hAnsi="Aptos" w:eastAsia="Aptos"/>
          <w:b/>
          <w:i w:val="0"/>
          <w:color w:val="0A1628"/>
          <w:sz w:val="20"/>
        </w:rPr>
        <w:t>Yangon destinations:</w:t>
      </w:r>
      <w:r>
        <w:rPr>
          <w:rFonts w:ascii="Aptos" w:hAnsi="Aptos" w:eastAsia="Aptos"/>
          <w:b w:val="0"/>
          <w:i w:val="0"/>
          <w:color w:val="0A1628"/>
          <w:sz w:val="20"/>
        </w:rPr>
        <w:t xml:space="preserve"> Britium direct delivery, unless an authorized exception applies.</w:t>
      </w:r>
    </w:p>
    <w:p>
      <w:pPr>
        <w:pStyle w:val="ListNumber"/>
        <w:ind w:left="0"/>
      </w:pPr>
      <w:r>
        <w:rPr>
          <w:rFonts w:ascii="Aptos" w:hAnsi="Aptos" w:eastAsia="Aptos"/>
          <w:b w:val="0"/>
          <w:i w:val="0"/>
          <w:color w:val="0A1628"/>
          <w:sz w:val="20"/>
        </w:rPr>
      </w:r>
      <w:r>
        <w:rPr>
          <w:rFonts w:ascii="Aptos" w:hAnsi="Aptos" w:eastAsia="Aptos"/>
          <w:b/>
          <w:i w:val="0"/>
          <w:color w:val="0A1628"/>
          <w:sz w:val="20"/>
        </w:rPr>
        <w:t>Naypyitaw destinations:</w:t>
      </w:r>
      <w:r>
        <w:rPr>
          <w:rFonts w:ascii="Aptos" w:hAnsi="Aptos" w:eastAsia="Aptos"/>
          <w:b w:val="0"/>
          <w:i w:val="0"/>
          <w:color w:val="0A1628"/>
          <w:sz w:val="20"/>
        </w:rPr>
        <w:t xml:space="preserve"> Naypyitaw branch workflow and the separate Branch &lt;-&gt; Head Office settlement rule.</w:t>
      </w:r>
    </w:p>
    <w:p>
      <w:pPr>
        <w:pStyle w:val="ListNumber"/>
        <w:ind w:left="0"/>
      </w:pPr>
      <w:r>
        <w:rPr>
          <w:rFonts w:ascii="Aptos" w:hAnsi="Aptos" w:eastAsia="Aptos"/>
          <w:b w:val="0"/>
          <w:i w:val="0"/>
          <w:color w:val="0A1628"/>
          <w:sz w:val="20"/>
        </w:rPr>
      </w:r>
      <w:r>
        <w:rPr>
          <w:rFonts w:ascii="Aptos" w:hAnsi="Aptos" w:eastAsia="Aptos"/>
          <w:b/>
          <w:i w:val="0"/>
          <w:color w:val="0A1628"/>
          <w:sz w:val="20"/>
        </w:rPr>
        <w:t>Mandalay destinations:</w:t>
      </w:r>
      <w:r>
        <w:rPr>
          <w:rFonts w:ascii="Aptos" w:hAnsi="Aptos" w:eastAsia="Aptos"/>
          <w:b w:val="0"/>
          <w:i w:val="0"/>
          <w:color w:val="0A1628"/>
          <w:sz w:val="20"/>
        </w:rPr>
        <w:t xml:space="preserve"> Britium charges the customer using the Britium Yangon-Mandalay tariff and outsources Mandalay last-mile delivery to DK Delivery Service.</w:t>
      </w:r>
    </w:p>
    <w:p>
      <w:pPr>
        <w:pStyle w:val="ListNumber"/>
        <w:ind w:left="0"/>
      </w:pPr>
      <w:r>
        <w:rPr>
          <w:rFonts w:ascii="Aptos" w:hAnsi="Aptos" w:eastAsia="Aptos"/>
          <w:b w:val="0"/>
          <w:i w:val="0"/>
          <w:color w:val="0A1628"/>
          <w:sz w:val="20"/>
        </w:rPr>
      </w:r>
      <w:r>
        <w:rPr>
          <w:rFonts w:ascii="Aptos" w:hAnsi="Aptos" w:eastAsia="Aptos"/>
          <w:b/>
          <w:i w:val="0"/>
          <w:color w:val="0A1628"/>
          <w:sz w:val="20"/>
        </w:rPr>
        <w:t>Other supported destinations:</w:t>
      </w:r>
      <w:r>
        <w:rPr>
          <w:rFonts w:ascii="Aptos" w:hAnsi="Aptos" w:eastAsia="Aptos"/>
          <w:b w:val="0"/>
          <w:i w:val="0"/>
          <w:color w:val="0A1628"/>
          <w:sz w:val="20"/>
        </w:rPr>
        <w:t xml:space="preserve"> Royal Express is the preferred outsourced delivery provider.</w:t>
      </w:r>
    </w:p>
    <w:p>
      <w:pPr>
        <w:pStyle w:val="ListNumber"/>
        <w:ind w:left="0"/>
      </w:pPr>
      <w:r>
        <w:rPr>
          <w:rFonts w:ascii="Aptos" w:hAnsi="Aptos" w:eastAsia="Aptos"/>
          <w:b w:val="0"/>
          <w:i w:val="0"/>
          <w:color w:val="0A1628"/>
          <w:sz w:val="20"/>
        </w:rPr>
        <w:t>Alternative providers such as Arlu Post, Ninja Van and Safe Delivery Services remain inactive until their approved rate cards are entered.</w:t>
      </w:r>
    </w:p>
    <w:p>
      <w:r>
        <w:rPr>
          <w:rFonts w:ascii="Aptos" w:hAnsi="Aptos" w:eastAsia="Aptos"/>
          <w:b w:val="0"/>
          <w:i w:val="0"/>
          <w:color w:val="0A1628"/>
          <w:sz w:val="20"/>
        </w:rPr>
        <w:t>The routing engine must not select Royal Express for Yangon, Mandalay or Naypyitaw under the current policy, even when the Royal Express quotation contains rates for those destinations.</w:t>
      </w:r>
    </w:p>
    <w:p>
      <w:r>
        <w:rPr>
          <w:rFonts w:ascii="Aptos" w:hAnsi="Aptos" w:eastAsia="Aptos"/>
          <w:b w:val="0"/>
          <w:i w:val="0"/>
          <w:color w:val="0A1628"/>
          <w:sz w:val="20"/>
        </w:rPr>
        <w:t>All routing policies must be effective-dated configuration. They must not be hardcoded in React components or SQL functions.</w:t>
      </w:r>
    </w:p>
    <w:p>
      <w:pPr>
        <w:pBdr>
          <w:bottom w:val="single" w:sz="5" w:space="3" w:color="B8C4D1"/>
        </w:pBdr>
        <w:spacing w:after="100"/>
      </w:pPr>
    </w:p>
    <w:p>
      <w:pPr>
        <w:pStyle w:val="Heading3"/>
        <w:keepNext/>
      </w:pPr>
      <w:r>
        <w:rPr>
          <w:rFonts w:ascii="Aptos" w:hAnsi="Aptos" w:eastAsia="Aptos"/>
          <w:b w:val="0"/>
          <w:i w:val="0"/>
          <w:color w:val="0A1628"/>
          <w:sz w:val="20"/>
        </w:rPr>
        <w:t>10.2 Required Separation of Financial Values</w:t>
      </w:r>
    </w:p>
    <w:p>
      <w:r>
        <w:rPr>
          <w:rFonts w:ascii="Aptos" w:hAnsi="Aptos" w:eastAsia="Aptos"/>
          <w:b w:val="0"/>
          <w:i w:val="0"/>
          <w:color w:val="0A1628"/>
          <w:sz w:val="20"/>
        </w:rPr>
        <w:t>The system must separately store and calculate:</w:t>
      </w:r>
    </w:p>
    <w:p>
      <w:pPr>
        <w:pStyle w:val="ListNumber"/>
        <w:ind w:left="0"/>
      </w:pPr>
      <w:r>
        <w:rPr>
          <w:rFonts w:ascii="Aptos" w:hAnsi="Aptos" w:eastAsia="Aptos"/>
          <w:b w:val="0"/>
          <w:i w:val="0"/>
          <w:color w:val="0A1628"/>
          <w:sz w:val="20"/>
        </w:rPr>
        <w:t>Customer-facing delivery charge.</w:t>
      </w:r>
    </w:p>
    <w:p>
      <w:pPr>
        <w:pStyle w:val="ListNumber"/>
        <w:ind w:left="0"/>
      </w:pPr>
      <w:r>
        <w:rPr>
          <w:rFonts w:ascii="Aptos" w:hAnsi="Aptos" w:eastAsia="Aptos"/>
          <w:b w:val="0"/>
          <w:i w:val="0"/>
          <w:color w:val="0A1628"/>
          <w:sz w:val="20"/>
        </w:rPr>
        <w:t>Britium recognized delivery revenue.</w:t>
      </w:r>
    </w:p>
    <w:p>
      <w:pPr>
        <w:pStyle w:val="ListNumber"/>
        <w:ind w:left="0"/>
      </w:pPr>
      <w:r>
        <w:rPr>
          <w:rFonts w:ascii="Aptos" w:hAnsi="Aptos" w:eastAsia="Aptos"/>
          <w:b w:val="0"/>
          <w:i w:val="0"/>
          <w:color w:val="0A1628"/>
          <w:sz w:val="20"/>
        </w:rPr>
        <w:t>Merchant settlement.</w:t>
      </w:r>
    </w:p>
    <w:p>
      <w:pPr>
        <w:pStyle w:val="ListNumber"/>
        <w:ind w:left="0"/>
      </w:pPr>
      <w:r>
        <w:rPr>
          <w:rFonts w:ascii="Aptos" w:hAnsi="Aptos" w:eastAsia="Aptos"/>
          <w:b w:val="0"/>
          <w:i w:val="0"/>
          <w:color w:val="0A1628"/>
          <w:sz w:val="20"/>
        </w:rPr>
        <w:t>Highway line-haul cost.</w:t>
      </w:r>
    </w:p>
    <w:p>
      <w:pPr>
        <w:pStyle w:val="ListNumber"/>
        <w:ind w:left="0"/>
      </w:pPr>
      <w:r>
        <w:rPr>
          <w:rFonts w:ascii="Aptos" w:hAnsi="Aptos" w:eastAsia="Aptos"/>
          <w:b w:val="0"/>
          <w:i w:val="0"/>
          <w:color w:val="0A1628"/>
          <w:sz w:val="20"/>
        </w:rPr>
        <w:t>External last-mile delivery cost.</w:t>
      </w:r>
    </w:p>
    <w:p>
      <w:pPr>
        <w:pStyle w:val="ListNumber"/>
        <w:ind w:left="0"/>
      </w:pPr>
      <w:r>
        <w:rPr>
          <w:rFonts w:ascii="Aptos" w:hAnsi="Aptos" w:eastAsia="Aptos"/>
          <w:b w:val="0"/>
          <w:i w:val="0"/>
          <w:color w:val="0A1628"/>
          <w:sz w:val="20"/>
        </w:rPr>
        <w:t>External COD service fee.</w:t>
      </w:r>
    </w:p>
    <w:p>
      <w:pPr>
        <w:pStyle w:val="ListNumber"/>
        <w:ind w:left="0"/>
      </w:pPr>
      <w:r>
        <w:rPr>
          <w:rFonts w:ascii="Aptos" w:hAnsi="Aptos" w:eastAsia="Aptos"/>
          <w:b w:val="0"/>
          <w:i w:val="0"/>
          <w:color w:val="0A1628"/>
          <w:sz w:val="20"/>
        </w:rPr>
        <w:t>Partner discount margin.</w:t>
      </w:r>
    </w:p>
    <w:p>
      <w:pPr>
        <w:pStyle w:val="ListNumber"/>
        <w:ind w:left="0"/>
      </w:pPr>
      <w:r>
        <w:rPr>
          <w:rFonts w:ascii="Aptos" w:hAnsi="Aptos" w:eastAsia="Aptos"/>
          <w:b w:val="0"/>
          <w:i w:val="0"/>
          <w:color w:val="0A1628"/>
          <w:sz w:val="20"/>
        </w:rPr>
        <w:t>Partner monthly rebate.</w:t>
      </w:r>
    </w:p>
    <w:p>
      <w:pPr>
        <w:pStyle w:val="ListNumber"/>
        <w:ind w:left="0"/>
      </w:pPr>
      <w:r>
        <w:rPr>
          <w:rFonts w:ascii="Aptos" w:hAnsi="Aptos" w:eastAsia="Aptos"/>
          <w:b w:val="0"/>
          <w:i w:val="0"/>
          <w:color w:val="0A1628"/>
          <w:sz w:val="20"/>
        </w:rPr>
        <w:t>Partner penalties, credits and adjustments.</w:t>
      </w:r>
    </w:p>
    <w:p>
      <w:pPr>
        <w:pStyle w:val="ListNumber"/>
        <w:ind w:left="0"/>
      </w:pPr>
      <w:r>
        <w:rPr>
          <w:rFonts w:ascii="Aptos" w:hAnsi="Aptos" w:eastAsia="Aptos"/>
          <w:b w:val="0"/>
          <w:i w:val="0"/>
          <w:color w:val="0A1628"/>
          <w:sz w:val="20"/>
        </w:rPr>
        <w:t>Final outsourced fulfillment margin.</w:t>
      </w:r>
    </w:p>
    <w:p>
      <w:r>
        <w:rPr>
          <w:rFonts w:ascii="Aptos" w:hAnsi="Aptos" w:eastAsia="Aptos"/>
          <w:b w:val="0"/>
          <w:i w:val="0"/>
          <w:color w:val="0A1628"/>
          <w:sz w:val="20"/>
        </w:rPr>
        <w:t>Partner costs must never overwrite the merchant-declared delivery charge or the Britium customer tariff.</w:t>
      </w:r>
    </w:p>
    <w:p>
      <w:r>
        <w:rPr>
          <w:rFonts w:ascii="Aptos" w:hAnsi="Aptos" w:eastAsia="Aptos"/>
          <w:b w:val="0"/>
          <w:i w:val="0"/>
          <w:color w:val="0A1628"/>
          <w:sz w:val="20"/>
        </w:rPr>
        <w:t>The existing merchant settlement rule remains:</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Merchant Delivery Difference</w:t>
              <w:br/>
              <w:t>= Effective Merchant-Declared Delivery Charge</w:t>
              <w:br/>
              <w:t>- Britium Net System Delivery Charge</w:t>
            </w:r>
          </w:p>
        </w:tc>
      </w:tr>
    </w:tbl>
    <w:p>
      <w:pPr>
        <w:spacing w:after="0"/>
      </w:pPr>
    </w:p>
    <w:p>
      <w:r>
        <w:rPr>
          <w:rFonts w:ascii="Aptos" w:hAnsi="Aptos" w:eastAsia="Aptos"/>
          <w:b w:val="0"/>
          <w:i w:val="0"/>
          <w:color w:val="0A1628"/>
          <w:sz w:val="20"/>
        </w:rPr>
        <w:t>Outsourced fulfillment profitability is a separate calculation.</w:t>
      </w:r>
    </w:p>
    <w:p>
      <w:pPr>
        <w:pBdr>
          <w:bottom w:val="single" w:sz="5" w:space="3" w:color="B8C4D1"/>
        </w:pBdr>
        <w:spacing w:after="100"/>
      </w:pPr>
    </w:p>
    <w:p>
      <w:pPr>
        <w:pStyle w:val="Heading3"/>
        <w:keepNext/>
      </w:pPr>
      <w:r>
        <w:rPr>
          <w:rFonts w:ascii="Aptos" w:hAnsi="Aptos" w:eastAsia="Aptos"/>
          <w:b w:val="0"/>
          <w:i w:val="0"/>
          <w:color w:val="0A1628"/>
          <w:sz w:val="20"/>
        </w:rPr>
        <w:t>10.3 Mandalay Fulfillment Model - DK Delivery Service</w:t>
      </w:r>
    </w:p>
    <w:p>
      <w:pPr>
        <w:pStyle w:val="Heading4"/>
        <w:keepNext/>
      </w:pPr>
      <w:r>
        <w:rPr>
          <w:rFonts w:ascii="Aptos" w:hAnsi="Aptos" w:eastAsia="Aptos"/>
          <w:b w:val="0"/>
          <w:i w:val="0"/>
          <w:color w:val="0A1628"/>
          <w:sz w:val="20"/>
        </w:rPr>
        <w:t>10.3.1 Customer Charge</w:t>
      </w:r>
    </w:p>
    <w:p>
      <w:r>
        <w:rPr>
          <w:rFonts w:ascii="Aptos" w:hAnsi="Aptos" w:eastAsia="Aptos"/>
          <w:b w:val="0"/>
          <w:i w:val="0"/>
          <w:color w:val="0A1628"/>
          <w:sz w:val="20"/>
        </w:rPr>
        <w:t>For a Mandalay parcel, Britium must charge according to its active Yangon-Mandalay tariff:</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Britium Customer Delivery Charge</w:t>
              <w:br/>
              <w:t>= Mandalay Base Tariff</w:t>
              <w:br/>
              <w:t>+ Britium Extra-Weight Surcharge</w:t>
              <w:br/>
              <w:t>+ Britium CBM Surcharge</w:t>
              <w:br/>
              <w:t>+ Other Approved Customer-Facing Surcharges</w:t>
            </w:r>
          </w:p>
        </w:tc>
      </w:tr>
    </w:tbl>
    <w:p>
      <w:pPr>
        <w:spacing w:after="0"/>
      </w:pPr>
    </w:p>
    <w:p>
      <w:r>
        <w:rPr>
          <w:rFonts w:ascii="Aptos" w:hAnsi="Aptos" w:eastAsia="Aptos"/>
          <w:b w:val="0"/>
          <w:i w:val="0"/>
          <w:color w:val="0A1628"/>
          <w:sz w:val="20"/>
        </w:rPr>
        <w:t>The current Mandalay base tariff is 6,000 MMK. Customer-tier included-weight and extra-weight rules continue to come from the Britium tariff master.</w:t>
      </w:r>
    </w:p>
    <w:p>
      <w:r>
        <w:rPr>
          <w:rFonts w:ascii="Aptos" w:hAnsi="Aptos" w:eastAsia="Aptos"/>
          <w:b w:val="0"/>
          <w:i w:val="0"/>
          <w:color w:val="0A1628"/>
          <w:sz w:val="20"/>
        </w:rPr>
        <w:t>The DK last-mile rate must not replace the 6,000 MMK Britium customer tariff.</w:t>
      </w:r>
    </w:p>
    <w:p>
      <w:pPr>
        <w:pStyle w:val="Heading4"/>
        <w:keepNext/>
      </w:pPr>
      <w:r>
        <w:rPr>
          <w:rFonts w:ascii="Aptos" w:hAnsi="Aptos" w:eastAsia="Aptos"/>
          <w:b w:val="0"/>
          <w:i w:val="0"/>
          <w:color w:val="0A1628"/>
          <w:sz w:val="20"/>
        </w:rPr>
        <w:t>10.3.2 Britium Cost Stack</w:t>
      </w:r>
    </w:p>
    <w:p>
      <w:r>
        <w:rPr>
          <w:rFonts w:ascii="Aptos" w:hAnsi="Aptos" w:eastAsia="Aptos"/>
          <w:b w:val="0"/>
          <w:i w:val="0"/>
          <w:color w:val="0A1628"/>
          <w:sz w:val="20"/>
        </w:rPr>
        <w:t>Britium bears two principal fulfillment costs:</w:t>
      </w:r>
    </w:p>
    <w:p>
      <w:pPr>
        <w:pStyle w:val="ListNumber"/>
        <w:ind w:left="0"/>
      </w:pPr>
      <w:r>
        <w:rPr>
          <w:rFonts w:ascii="Aptos" w:hAnsi="Aptos" w:eastAsia="Aptos"/>
          <w:b w:val="0"/>
          <w:i w:val="0"/>
          <w:color w:val="0A1628"/>
          <w:sz w:val="20"/>
        </w:rPr>
        <w:t>Yangon-to-Mandalay highway bus transportation.</w:t>
      </w:r>
    </w:p>
    <w:p>
      <w:pPr>
        <w:pStyle w:val="ListNumber"/>
        <w:ind w:left="0"/>
      </w:pPr>
      <w:r>
        <w:rPr>
          <w:rFonts w:ascii="Aptos" w:hAnsi="Aptos" w:eastAsia="Aptos"/>
          <w:b w:val="0"/>
          <w:i w:val="0"/>
          <w:color w:val="0A1628"/>
          <w:sz w:val="20"/>
        </w:rPr>
        <w:t>DK Delivery Service last-mile delivery within Mandalay.</w:t>
      </w:r>
    </w:p>
    <w:p>
      <w:r>
        <w:rPr>
          <w:rFonts w:ascii="Aptos" w:hAnsi="Aptos" w:eastAsia="Aptos"/>
          <w:b w:val="0"/>
          <w:i w:val="0"/>
          <w:color w:val="0A1628"/>
          <w:sz w:val="20"/>
        </w:rPr>
        <w:t>Calculate:</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Total Mandalay Fulfillment Cost</w:t>
              <w:br/>
              <w:t>= Allocated Highway Line-Haul Cost</w:t>
              <w:br/>
              <w:t>+ DK Base Last-Mile Fee</w:t>
              <w:br/>
              <w:t>+ DK Weight/Size Surcharge</w:t>
              <w:br/>
              <w:t>+ Other Approved DK Charges</w:t>
              <w:br/>
              <w:t>+ Other Approved Handling Costs</w:t>
              <w:br/>
              <w:t>- DK Credits</w:t>
              <w:br/>
              <w:t>- DK Penalties</w:t>
            </w:r>
          </w:p>
        </w:tc>
      </w:tr>
    </w:tbl>
    <w:p>
      <w:pPr>
        <w:spacing w:after="0"/>
      </w:pP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Mandalay Fulfillment Margin</w:t>
              <w:br/>
              <w:t>= Britium Recognized Delivery Revenue</w:t>
              <w:br/>
              <w:t>- Total Mandalay Fulfillment Cost</w:t>
            </w:r>
          </w:p>
        </w:tc>
      </w:tr>
    </w:tbl>
    <w:p>
      <w:pPr>
        <w:spacing w:after="0"/>
      </w:pPr>
    </w:p>
    <w:p>
      <w:r>
        <w:rPr>
          <w:rFonts w:ascii="Aptos" w:hAnsi="Aptos" w:eastAsia="Aptos"/>
          <w:b w:val="0"/>
          <w:i w:val="0"/>
          <w:color w:val="0A1628"/>
          <w:sz w:val="20"/>
        </w:rPr>
        <w:t>A negative margin must be shown as a company loss. It must not automatically be charged to the merchant or receiver.</w:t>
      </w:r>
    </w:p>
    <w:p>
      <w:pPr>
        <w:pStyle w:val="Heading4"/>
        <w:keepNext/>
      </w:pPr>
      <w:r>
        <w:rPr>
          <w:rFonts w:ascii="Aptos" w:hAnsi="Aptos" w:eastAsia="Aptos"/>
          <w:b w:val="0"/>
          <w:i w:val="0"/>
          <w:color w:val="0A1628"/>
          <w:sz w:val="20"/>
        </w:rPr>
        <w:t>10.3.3 DK Rate Bands</w:t>
      </w:r>
    </w:p>
    <w:p>
      <w:r>
        <w:rPr>
          <w:rFonts w:ascii="Aptos" w:hAnsi="Aptos" w:eastAsia="Aptos"/>
          <w:b w:val="0"/>
          <w:i w:val="0"/>
          <w:color w:val="0A1628"/>
          <w:sz w:val="20"/>
        </w:rPr>
        <w:t>The DK partnership map must be converted into an approved service-area rate master.</w:t>
      </w:r>
    </w:p>
    <w:p>
      <w:r>
        <w:rPr>
          <w:rFonts w:ascii="Aptos" w:hAnsi="Aptos" w:eastAsia="Aptos"/>
          <w:b w:val="0"/>
          <w:i w:val="0"/>
          <w:color w:val="0A1628"/>
          <w:sz w:val="20"/>
        </w:rPr>
        <w:t>Supported base fee bands shown in the source are:</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DK_INNER_AREA      2,000 MMK</w:t>
              <w:br/>
              <w:t>DK_OUTER_AREA      2,500 MMK</w:t>
              <w:br/>
              <w:t>DK_EXTENDED_AREA   3,000 MMK</w:t>
            </w:r>
          </w:p>
        </w:tc>
      </w:tr>
    </w:tbl>
    <w:p>
      <w:pPr>
        <w:spacing w:after="0"/>
      </w:pPr>
    </w:p>
    <w:p>
      <w:r>
        <w:rPr>
          <w:rFonts w:ascii="Aptos" w:hAnsi="Aptos" w:eastAsia="Aptos"/>
          <w:b w:val="0"/>
          <w:i w:val="0"/>
          <w:color w:val="0A1628"/>
          <w:sz w:val="20"/>
        </w:rPr>
        <w:t>The source also states an additional 500/1,000 MMK when the parcel exceeds 2 kg or the stated one-foot size condition. The exact rule that determines 500 versus 1,000 MMK is not sufficiently defined in the source and must remain configurable and unapproved until DK or Britium Finance confirms it.</w:t>
      </w:r>
    </w:p>
    <w:p>
      <w:r>
        <w:rPr>
          <w:rFonts w:ascii="Aptos" w:hAnsi="Aptos" w:eastAsia="Aptos"/>
          <w:b w:val="0"/>
          <w:i w:val="0"/>
          <w:color w:val="0A1628"/>
          <w:sz w:val="20"/>
        </w:rPr>
        <w:t>Required surcharge fields:</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overweight_threshold_kg = 2</w:t>
              <w:br/>
              <w:t>oversize_threshold_description = "1-foot size condition from DK quotation"</w:t>
              <w:br/>
              <w:t>surcharge_500_rule</w:t>
              <w:br/>
              <w:t>surcharge_1000_rule</w:t>
              <w:br/>
              <w:t>surcharge_status = PENDING_CONFIRMATION | ACTIVE | INACTIVE</w:t>
            </w:r>
          </w:p>
        </w:tc>
      </w:tr>
    </w:tbl>
    <w:p>
      <w:pPr>
        <w:spacing w:after="0"/>
      </w:pPr>
    </w:p>
    <w:p>
      <w:r>
        <w:rPr>
          <w:rFonts w:ascii="Aptos" w:hAnsi="Aptos" w:eastAsia="Aptos"/>
          <w:b w:val="0"/>
          <w:i w:val="0"/>
          <w:color w:val="0A1628"/>
          <w:sz w:val="20"/>
        </w:rPr>
        <w:t>The backend must not guess which surcharge applies.</w:t>
      </w:r>
    </w:p>
    <w:p>
      <w:pPr>
        <w:pStyle w:val="Heading4"/>
        <w:keepNext/>
      </w:pPr>
      <w:r>
        <w:rPr>
          <w:rFonts w:ascii="Aptos" w:hAnsi="Aptos" w:eastAsia="Aptos"/>
          <w:b w:val="0"/>
          <w:i w:val="0"/>
          <w:color w:val="0A1628"/>
          <w:sz w:val="20"/>
        </w:rPr>
        <w:t>10.3.4 DK Area Master</w:t>
      </w:r>
    </w:p>
    <w:p>
      <w:r>
        <w:rPr>
          <w:rFonts w:ascii="Aptos" w:hAnsi="Aptos" w:eastAsia="Aptos"/>
          <w:b w:val="0"/>
          <w:i w:val="0"/>
          <w:color w:val="0A1628"/>
          <w:sz w:val="20"/>
        </w:rPr>
        <w:t>Create:</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be_partner_service_areas</w:t>
            </w:r>
          </w:p>
        </w:tc>
      </w:tr>
    </w:tbl>
    <w:p>
      <w:pPr>
        <w:spacing w:after="0"/>
      </w:pPr>
    </w:p>
    <w:p>
      <w:r>
        <w:rPr>
          <w:rFonts w:ascii="Aptos" w:hAnsi="Aptos" w:eastAsia="Aptos"/>
          <w:b w:val="0"/>
          <w:i w:val="0"/>
          <w:color w:val="0A1628"/>
          <w:sz w:val="20"/>
        </w:rPr>
        <w:t>Required fields:</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id</w:t>
              <w:br/>
              <w:t>partner_code = DK_DELIVERY</w:t>
              <w:br/>
              <w:t>area_code</w:t>
              <w:br/>
              <w:t>area_name_en</w:t>
              <w:br/>
              <w:t>area_name_mm</w:t>
              <w:br/>
              <w:t>area_aliases</w:t>
              <w:br/>
              <w:t>city = Mandalay</w:t>
              <w:br/>
              <w:t>zone_band = INNER | OUTER | EXTENDED</w:t>
              <w:br/>
              <w:t>base_fee_mmk = 2000 | 2500 | 3000</w:t>
              <w:br/>
              <w:t>geo_polygon_or_boundary_reference</w:t>
              <w:br/>
              <w:t>source_document_id</w:t>
              <w:br/>
              <w:t>effective_from</w:t>
              <w:br/>
              <w:t>effective_to</w:t>
              <w:br/>
              <w:t>status</w:t>
              <w:br/>
              <w:t>approved_by</w:t>
              <w:br/>
              <w:t>approved_at</w:t>
            </w:r>
          </w:p>
        </w:tc>
      </w:tr>
    </w:tbl>
    <w:p>
      <w:pPr>
        <w:spacing w:after="0"/>
      </w:pPr>
    </w:p>
    <w:p>
      <w:r>
        <w:rPr>
          <w:rFonts w:ascii="Aptos" w:hAnsi="Aptos" w:eastAsia="Aptos"/>
          <w:b w:val="0"/>
          <w:i w:val="0"/>
          <w:color w:val="0A1628"/>
          <w:sz w:val="20"/>
        </w:rPr>
        <w:t>Every Mandalay parcel must resolve to one DK area row before partner settlement.</w:t>
      </w:r>
    </w:p>
    <w:p>
      <w:r>
        <w:rPr>
          <w:rFonts w:ascii="Aptos" w:hAnsi="Aptos" w:eastAsia="Aptos"/>
          <w:b w:val="0"/>
          <w:i w:val="0"/>
          <w:color w:val="0A1628"/>
          <w:sz w:val="20"/>
        </w:rPr>
        <w:t>If the area cannot be resolved, set:</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exception_code = DK_AREA_RATE_NOT_FOUND</w:t>
              <w:br/>
              <w:t>partner_settlement_eligible = false</w:t>
            </w:r>
          </w:p>
        </w:tc>
      </w:tr>
    </w:tbl>
    <w:p>
      <w:pPr>
        <w:spacing w:after="0"/>
      </w:pPr>
    </w:p>
    <w:p>
      <w:pPr>
        <w:pStyle w:val="Heading4"/>
        <w:keepNext/>
      </w:pPr>
      <w:r>
        <w:rPr>
          <w:rFonts w:ascii="Aptos" w:hAnsi="Aptos" w:eastAsia="Aptos"/>
          <w:b w:val="0"/>
          <w:i w:val="0"/>
          <w:color w:val="0A1628"/>
          <w:sz w:val="20"/>
        </w:rPr>
        <w:t>10.3.5 Highway Transportation Cost</w:t>
      </w:r>
    </w:p>
    <w:p>
      <w:r>
        <w:rPr>
          <w:rFonts w:ascii="Aptos" w:hAnsi="Aptos" w:eastAsia="Aptos"/>
          <w:b w:val="0"/>
          <w:i w:val="0"/>
          <w:color w:val="0A1628"/>
          <w:sz w:val="20"/>
        </w:rPr>
        <w:t>Highway bus cost must be recorded independently from DK cost.</w:t>
      </w:r>
    </w:p>
    <w:p>
      <w:r>
        <w:rPr>
          <w:rFonts w:ascii="Aptos" w:hAnsi="Aptos" w:eastAsia="Aptos"/>
          <w:b w:val="0"/>
          <w:i w:val="0"/>
          <w:color w:val="0A1628"/>
          <w:sz w:val="20"/>
        </w:rPr>
        <w:t>Create a line-haul manifest containing:</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manifest_id</w:t>
              <w:br/>
              <w:t>origin = YGN</w:t>
              <w:br/>
              <w:t>destination = MDY</w:t>
              <w:br/>
              <w:t>bus_operator</w:t>
              <w:br/>
              <w:t>bus_reference</w:t>
              <w:br/>
              <w:t>sent_at</w:t>
              <w:br/>
              <w:t>received_at</w:t>
              <w:br/>
              <w:t>total_parcels</w:t>
              <w:br/>
              <w:t>total_actual_weight</w:t>
              <w:br/>
              <w:t>total_volumetric_weight</w:t>
              <w:br/>
              <w:t>total_transport_cost_mmk</w:t>
              <w:br/>
              <w:t>loading_cost_mmk</w:t>
              <w:br/>
              <w:t>unloading_cost_mmk</w:t>
              <w:br/>
              <w:t>other_cost_mmk</w:t>
              <w:br/>
              <w:t>receipt_attachment</w:t>
              <w:br/>
              <w:t>status</w:t>
            </w:r>
          </w:p>
        </w:tc>
      </w:tr>
    </w:tbl>
    <w:p>
      <w:pPr>
        <w:spacing w:after="0"/>
      </w:pPr>
    </w:p>
    <w:p>
      <w:r>
        <w:rPr>
          <w:rFonts w:ascii="Aptos" w:hAnsi="Aptos" w:eastAsia="Aptos"/>
          <w:b w:val="0"/>
          <w:i w:val="0"/>
          <w:color w:val="0A1628"/>
          <w:sz w:val="20"/>
        </w:rPr>
        <w:t>Supported allocation methods:</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EQUAL_PER_WAY</w:t>
              <w:br/>
              <w:t>BY_ACTUAL_WEIGHT</w:t>
              <w:br/>
              <w:t>BY_CHARGEABLE_WEIGHT</w:t>
              <w:br/>
              <w:t>BY_VOLUMETRIC_WEIGHT</w:t>
              <w:br/>
              <w:t>MANUAL_APPROVED</w:t>
            </w:r>
          </w:p>
        </w:tc>
      </w:tr>
    </w:tbl>
    <w:p>
      <w:pPr>
        <w:spacing w:after="0"/>
      </w:pPr>
    </w:p>
    <w:p>
      <w:r>
        <w:rPr>
          <w:rFonts w:ascii="Aptos" w:hAnsi="Aptos" w:eastAsia="Aptos"/>
          <w:b w:val="0"/>
          <w:i w:val="0"/>
          <w:color w:val="0A1628"/>
          <w:sz w:val="20"/>
        </w:rPr>
        <w:t>The selected method must be stored on the manifest.</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Allocated Highway Cost per Parcel</w:t>
              <w:br/>
              <w:t>= Manifest Cost allocated using the saved allocation method</w:t>
            </w:r>
          </w:p>
        </w:tc>
      </w:tr>
    </w:tbl>
    <w:p>
      <w:pPr>
        <w:spacing w:after="0"/>
      </w:pPr>
    </w:p>
    <w:p>
      <w:r>
        <w:rPr>
          <w:rFonts w:ascii="Aptos" w:hAnsi="Aptos" w:eastAsia="Aptos"/>
          <w:b w:val="0"/>
          <w:i w:val="0"/>
          <w:color w:val="0A1628"/>
          <w:sz w:val="20"/>
        </w:rPr>
        <w:t>A settled parcel must retain its allocation snapshot even when the manifest is later corrected. Corrections must use adjustment entries.</w:t>
      </w:r>
    </w:p>
    <w:p>
      <w:pPr>
        <w:pStyle w:val="Heading4"/>
        <w:keepNext/>
      </w:pPr>
      <w:r>
        <w:rPr>
          <w:rFonts w:ascii="Aptos" w:hAnsi="Aptos" w:eastAsia="Aptos"/>
          <w:b w:val="0"/>
          <w:i w:val="0"/>
          <w:color w:val="0A1628"/>
          <w:sz w:val="20"/>
        </w:rPr>
        <w:t>10.3.6 DK Settlement Eligibility</w:t>
      </w:r>
    </w:p>
    <w:p>
      <w:r>
        <w:rPr>
          <w:rFonts w:ascii="Aptos" w:hAnsi="Aptos" w:eastAsia="Aptos"/>
          <w:b w:val="0"/>
          <w:i w:val="0"/>
          <w:color w:val="0A1628"/>
          <w:sz w:val="20"/>
        </w:rPr>
        <w:t>A DK parcel is eligible only when:</w:t>
      </w:r>
    </w:p>
    <w:p>
      <w:pPr>
        <w:pStyle w:val="ListBullet"/>
        <w:ind w:left="0"/>
      </w:pPr>
      <w:r>
        <w:rPr>
          <w:rFonts w:ascii="Aptos" w:hAnsi="Aptos" w:eastAsia="Aptos"/>
          <w:b w:val="0"/>
          <w:i w:val="0"/>
          <w:color w:val="0A1628"/>
          <w:sz w:val="20"/>
        </w:rPr>
        <w:t>Britium Way ID is valid.</w:t>
      </w:r>
    </w:p>
    <w:p>
      <w:pPr>
        <w:pStyle w:val="ListBullet"/>
        <w:ind w:left="0"/>
      </w:pPr>
      <w:r>
        <w:rPr>
          <w:rFonts w:ascii="Aptos" w:hAnsi="Aptos" w:eastAsia="Aptos"/>
          <w:b w:val="0"/>
          <w:i w:val="0"/>
          <w:color w:val="0A1628"/>
          <w:sz w:val="20"/>
        </w:rPr>
        <w:t>Mandalay routing is confirmed.</w:t>
      </w:r>
    </w:p>
    <w:p>
      <w:pPr>
        <w:pStyle w:val="ListBullet"/>
        <w:ind w:left="0"/>
      </w:pPr>
      <w:r>
        <w:rPr>
          <w:rFonts w:ascii="Aptos" w:hAnsi="Aptos" w:eastAsia="Aptos"/>
          <w:b w:val="0"/>
          <w:i w:val="0"/>
          <w:color w:val="0A1628"/>
          <w:sz w:val="20"/>
        </w:rPr>
        <w:t>Highway handover is confirmed.</w:t>
      </w:r>
    </w:p>
    <w:p>
      <w:pPr>
        <w:pStyle w:val="ListBullet"/>
        <w:ind w:left="0"/>
      </w:pPr>
      <w:r>
        <w:rPr>
          <w:rFonts w:ascii="Aptos" w:hAnsi="Aptos" w:eastAsia="Aptos"/>
          <w:b w:val="0"/>
          <w:i w:val="0"/>
          <w:color w:val="0A1628"/>
          <w:sz w:val="20"/>
        </w:rPr>
        <w:t>DK handover is accepted.</w:t>
      </w:r>
    </w:p>
    <w:p>
      <w:pPr>
        <w:pStyle w:val="ListBullet"/>
        <w:ind w:left="0"/>
      </w:pPr>
      <w:r>
        <w:rPr>
          <w:rFonts w:ascii="Aptos" w:hAnsi="Aptos" w:eastAsia="Aptos"/>
          <w:b w:val="0"/>
          <w:i w:val="0"/>
          <w:color w:val="0A1628"/>
          <w:sz w:val="20"/>
        </w:rPr>
        <w:t>DK area rate is resolved.</w:t>
      </w:r>
    </w:p>
    <w:p>
      <w:pPr>
        <w:pStyle w:val="ListBullet"/>
        <w:ind w:left="0"/>
      </w:pPr>
      <w:r>
        <w:rPr>
          <w:rFonts w:ascii="Aptos" w:hAnsi="Aptos" w:eastAsia="Aptos"/>
          <w:b w:val="0"/>
          <w:i w:val="0"/>
          <w:color w:val="0A1628"/>
          <w:sz w:val="20"/>
        </w:rPr>
        <w:t>Delivery status is completed.</w:t>
      </w:r>
    </w:p>
    <w:p>
      <w:pPr>
        <w:pStyle w:val="ListBullet"/>
        <w:ind w:left="0"/>
      </w:pPr>
      <w:r>
        <w:rPr>
          <w:rFonts w:ascii="Aptos" w:hAnsi="Aptos" w:eastAsia="Aptos"/>
          <w:b w:val="0"/>
          <w:i w:val="0"/>
          <w:color w:val="0A1628"/>
          <w:sz w:val="20"/>
        </w:rPr>
        <w:t>POD is verified.</w:t>
      </w:r>
    </w:p>
    <w:p>
      <w:pPr>
        <w:pStyle w:val="ListBullet"/>
        <w:ind w:left="0"/>
      </w:pPr>
      <w:r>
        <w:rPr>
          <w:rFonts w:ascii="Aptos" w:hAnsi="Aptos" w:eastAsia="Aptos"/>
          <w:b w:val="0"/>
          <w:i w:val="0"/>
          <w:color w:val="0A1628"/>
          <w:sz w:val="20"/>
        </w:rPr>
        <w:t>DK charge calculation is valid.</w:t>
      </w:r>
    </w:p>
    <w:p>
      <w:pPr>
        <w:pStyle w:val="ListBullet"/>
        <w:ind w:left="0"/>
      </w:pPr>
      <w:r>
        <w:rPr>
          <w:rFonts w:ascii="Aptos" w:hAnsi="Aptos" w:eastAsia="Aptos"/>
          <w:b w:val="0"/>
          <w:i w:val="0"/>
          <w:color w:val="0A1628"/>
          <w:sz w:val="20"/>
        </w:rPr>
        <w:t>No financial hold exists.</w:t>
      </w:r>
    </w:p>
    <w:p>
      <w:pPr>
        <w:pStyle w:val="ListBullet"/>
        <w:ind w:left="0"/>
      </w:pPr>
      <w:r>
        <w:rPr>
          <w:rFonts w:ascii="Aptos" w:hAnsi="Aptos" w:eastAsia="Aptos"/>
          <w:b w:val="0"/>
          <w:i w:val="0"/>
          <w:color w:val="0A1628"/>
          <w:sz w:val="20"/>
        </w:rPr>
        <w:t>The parcel is not already in a finalized partner batch.</w:t>
      </w:r>
    </w:p>
    <w:p>
      <w:pPr>
        <w:pBdr>
          <w:bottom w:val="single" w:sz="5" w:space="3" w:color="B8C4D1"/>
        </w:pBdr>
        <w:spacing w:after="100"/>
      </w:pPr>
    </w:p>
    <w:p>
      <w:pPr>
        <w:pStyle w:val="Heading3"/>
        <w:keepNext/>
      </w:pPr>
      <w:r>
        <w:rPr>
          <w:rFonts w:ascii="Aptos" w:hAnsi="Aptos" w:eastAsia="Aptos"/>
          <w:b w:val="0"/>
          <w:i w:val="0"/>
          <w:color w:val="0A1628"/>
          <w:sz w:val="20"/>
        </w:rPr>
        <w:t>10.4 Royal Express Fulfillment Model</w:t>
      </w:r>
    </w:p>
    <w:p>
      <w:pPr>
        <w:pStyle w:val="Heading4"/>
        <w:keepNext/>
      </w:pPr>
      <w:r>
        <w:rPr>
          <w:rFonts w:ascii="Aptos" w:hAnsi="Aptos" w:eastAsia="Aptos"/>
          <w:b w:val="0"/>
          <w:i w:val="0"/>
          <w:color w:val="0A1628"/>
          <w:sz w:val="20"/>
        </w:rPr>
        <w:t>10.4.1 Contract Components</w:t>
      </w:r>
    </w:p>
    <w:p>
      <w:r>
        <w:rPr>
          <w:rFonts w:ascii="Aptos" w:hAnsi="Aptos" w:eastAsia="Aptos"/>
          <w:b w:val="0"/>
          <w:i w:val="0"/>
          <w:color w:val="0A1628"/>
          <w:sz w:val="20"/>
        </w:rPr>
        <w:t>The Royal Express quotation contains distinct components:</w:t>
      </w:r>
    </w:p>
    <w:p>
      <w:pPr>
        <w:pStyle w:val="ListNumber"/>
        <w:ind w:left="0"/>
      </w:pPr>
      <w:r>
        <w:rPr>
          <w:rFonts w:ascii="Aptos" w:hAnsi="Aptos" w:eastAsia="Aptos"/>
          <w:b w:val="0"/>
          <w:i w:val="0"/>
          <w:color w:val="0A1628"/>
          <w:sz w:val="20"/>
        </w:rPr>
      </w:r>
      <w:r>
        <w:rPr>
          <w:rFonts w:ascii="Aptos" w:hAnsi="Aptos" w:eastAsia="Aptos"/>
          <w:b/>
          <w:i w:val="0"/>
          <w:color w:val="0A1628"/>
          <w:sz w:val="20"/>
        </w:rPr>
        <w:t>Normal Price:</w:t>
      </w:r>
      <w:r>
        <w:rPr>
          <w:rFonts w:ascii="Aptos" w:hAnsi="Aptos" w:eastAsia="Aptos"/>
          <w:b w:val="0"/>
          <w:i w:val="0"/>
          <w:color w:val="0A1628"/>
          <w:sz w:val="20"/>
        </w:rPr>
        <w:t xml:space="preserve"> customer-facing standard delivery rate.</w:t>
      </w:r>
    </w:p>
    <w:p>
      <w:pPr>
        <w:pStyle w:val="ListNumber"/>
        <w:ind w:left="0"/>
      </w:pPr>
      <w:r>
        <w:rPr>
          <w:rFonts w:ascii="Aptos" w:hAnsi="Aptos" w:eastAsia="Aptos"/>
          <w:b w:val="0"/>
          <w:i w:val="0"/>
          <w:color w:val="0A1628"/>
          <w:sz w:val="20"/>
        </w:rPr>
      </w:r>
      <w:r>
        <w:rPr>
          <w:rFonts w:ascii="Aptos" w:hAnsi="Aptos" w:eastAsia="Aptos"/>
          <w:b/>
          <w:i w:val="0"/>
          <w:color w:val="0A1628"/>
          <w:sz w:val="20"/>
        </w:rPr>
        <w:t>Discounted Rate:</w:t>
      </w:r>
      <w:r>
        <w:rPr>
          <w:rFonts w:ascii="Aptos" w:hAnsi="Aptos" w:eastAsia="Aptos"/>
          <w:b w:val="0"/>
          <w:i w:val="0"/>
          <w:color w:val="0A1628"/>
          <w:sz w:val="20"/>
        </w:rPr>
        <w:t xml:space="preserve"> Britium business-partner rate for 0.1-3 kg, reflecting a 15% discount.</w:t>
      </w:r>
    </w:p>
    <w:p>
      <w:pPr>
        <w:pStyle w:val="ListNumber"/>
        <w:ind w:left="0"/>
      </w:pPr>
      <w:r>
        <w:rPr>
          <w:rFonts w:ascii="Aptos" w:hAnsi="Aptos" w:eastAsia="Aptos"/>
          <w:b w:val="0"/>
          <w:i w:val="0"/>
          <w:color w:val="0A1628"/>
          <w:sz w:val="20"/>
        </w:rPr>
      </w:r>
      <w:r>
        <w:rPr>
          <w:rFonts w:ascii="Aptos" w:hAnsi="Aptos" w:eastAsia="Aptos"/>
          <w:b/>
          <w:i w:val="0"/>
          <w:color w:val="0A1628"/>
          <w:sz w:val="20"/>
        </w:rPr>
        <w:t>Next 1 Kg:</w:t>
      </w:r>
      <w:r>
        <w:rPr>
          <w:rFonts w:ascii="Aptos" w:hAnsi="Aptos" w:eastAsia="Aptos"/>
          <w:b w:val="0"/>
          <w:i w:val="0"/>
          <w:color w:val="0A1628"/>
          <w:sz w:val="20"/>
        </w:rPr>
        <w:t xml:space="preserve"> extra-weight rate by destination/zone.</w:t>
      </w:r>
    </w:p>
    <w:p>
      <w:pPr>
        <w:pStyle w:val="ListNumber"/>
        <w:ind w:left="0"/>
      </w:pPr>
      <w:r>
        <w:rPr>
          <w:rFonts w:ascii="Aptos" w:hAnsi="Aptos" w:eastAsia="Aptos"/>
          <w:b w:val="0"/>
          <w:i w:val="0"/>
          <w:color w:val="0A1628"/>
          <w:sz w:val="20"/>
        </w:rPr>
      </w:r>
      <w:r>
        <w:rPr>
          <w:rFonts w:ascii="Aptos" w:hAnsi="Aptos" w:eastAsia="Aptos"/>
          <w:b/>
          <w:i w:val="0"/>
          <w:color w:val="0A1628"/>
          <w:sz w:val="20"/>
        </w:rPr>
        <w:t>COD Service Fee.</w:t>
      </w:r>
      <w:r>
        <w:rPr>
          <w:rFonts w:ascii="Aptos" w:hAnsi="Aptos" w:eastAsia="Aptos"/>
          <w:b w:val="0"/>
          <w:i w:val="0"/>
          <w:color w:val="0A1628"/>
          <w:sz w:val="20"/>
        </w:rPr>
      </w:r>
    </w:p>
    <w:p>
      <w:pPr>
        <w:pStyle w:val="ListNumber"/>
        <w:ind w:left="0"/>
      </w:pPr>
      <w:r>
        <w:rPr>
          <w:rFonts w:ascii="Aptos" w:hAnsi="Aptos" w:eastAsia="Aptos"/>
          <w:b w:val="0"/>
          <w:i w:val="0"/>
          <w:color w:val="0A1628"/>
          <w:sz w:val="20"/>
        </w:rPr>
      </w:r>
      <w:r>
        <w:rPr>
          <w:rFonts w:ascii="Aptos" w:hAnsi="Aptos" w:eastAsia="Aptos"/>
          <w:b/>
          <w:i w:val="0"/>
          <w:color w:val="0A1628"/>
          <w:sz w:val="20"/>
        </w:rPr>
        <w:t>Monthly completed-waybill rebate tier.</w:t>
      </w:r>
      <w:r>
        <w:rPr>
          <w:rFonts w:ascii="Aptos" w:hAnsi="Aptos" w:eastAsia="Aptos"/>
          <w:b w:val="0"/>
          <w:i w:val="0"/>
          <w:color w:val="0A1628"/>
          <w:sz w:val="20"/>
        </w:rPr>
      </w:r>
    </w:p>
    <w:p>
      <w:pPr>
        <w:pStyle w:val="ListNumber"/>
        <w:ind w:left="0"/>
      </w:pPr>
      <w:r>
        <w:rPr>
          <w:rFonts w:ascii="Aptos" w:hAnsi="Aptos" w:eastAsia="Aptos"/>
          <w:b w:val="0"/>
          <w:i w:val="0"/>
          <w:color w:val="0A1628"/>
          <w:sz w:val="20"/>
        </w:rPr>
        <w:t>Operational and compensation terms.</w:t>
      </w:r>
    </w:p>
    <w:p>
      <w:r>
        <w:rPr>
          <w:rFonts w:ascii="Aptos" w:hAnsi="Aptos" w:eastAsia="Aptos"/>
          <w:b w:val="0"/>
          <w:i w:val="0"/>
          <w:color w:val="0A1628"/>
          <w:sz w:val="20"/>
        </w:rPr>
        <w:t xml:space="preserve">The backend must not store these as one amount called </w:t>
      </w:r>
      <w:r>
        <w:rPr>
          <w:rFonts w:ascii="Consolas" w:hAnsi="Consolas" w:eastAsia="Consolas"/>
          <w:b w:val="0"/>
          <w:i w:val="0"/>
          <w:color w:val="0A1628"/>
          <w:sz w:val="17"/>
          <w:shd w:fill="EEF2F6"/>
        </w:rPr>
        <w:t>commission</w:t>
      </w:r>
      <w:r>
        <w:rPr>
          <w:rFonts w:ascii="Aptos" w:hAnsi="Aptos" w:eastAsia="Aptos"/>
          <w:b w:val="0"/>
          <w:i w:val="0"/>
          <w:color w:val="0A1628"/>
          <w:sz w:val="20"/>
        </w:rPr>
        <w:t>.</w:t>
      </w:r>
    </w:p>
    <w:p>
      <w:pPr>
        <w:pStyle w:val="Heading4"/>
        <w:keepNext/>
      </w:pPr>
      <w:r>
        <w:rPr>
          <w:rFonts w:ascii="Aptos" w:hAnsi="Aptos" w:eastAsia="Aptos"/>
          <w:b w:val="0"/>
          <w:i w:val="0"/>
          <w:color w:val="0A1628"/>
          <w:sz w:val="20"/>
        </w:rPr>
        <w:t>10.4.2 Customer Delivery Charge</w:t>
      </w:r>
    </w:p>
    <w:p>
      <w:r>
        <w:rPr>
          <w:rFonts w:ascii="Aptos" w:hAnsi="Aptos" w:eastAsia="Aptos"/>
          <w:b w:val="0"/>
          <w:i w:val="0"/>
          <w:color w:val="0A1628"/>
          <w:sz w:val="20"/>
        </w:rPr>
        <w:t>Under the stated Britium policy, Britium collects Royal Express's normal rate from the customer.</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Royal Customer Delivery Charge</w:t>
              <w:br/>
              <w:t>= Royal Normal Base Rate</w:t>
              <w:br/>
              <w:t>+ Customer Extra-Weight Charge</w:t>
              <w:br/>
              <w:t>+ Customer-Payable Approved Surcharges</w:t>
            </w:r>
          </w:p>
        </w:tc>
      </w:tr>
    </w:tbl>
    <w:p>
      <w:pPr>
        <w:spacing w:after="0"/>
      </w:pPr>
    </w:p>
    <w:p>
      <w:r>
        <w:rPr>
          <w:rFonts w:ascii="Aptos" w:hAnsi="Aptos" w:eastAsia="Aptos"/>
          <w:b w:val="0"/>
          <w:i w:val="0"/>
          <w:color w:val="0A1628"/>
          <w:sz w:val="20"/>
        </w:rPr>
        <w:t xml:space="preserve">The customer base rate must come from the </w:t>
      </w:r>
      <w:r>
        <w:rPr>
          <w:rFonts w:ascii="Consolas" w:hAnsi="Consolas" w:eastAsia="Consolas"/>
          <w:b w:val="0"/>
          <w:i w:val="0"/>
          <w:color w:val="0A1628"/>
          <w:sz w:val="17"/>
          <w:shd w:fill="EEF2F6"/>
        </w:rPr>
        <w:t>Normal Price</w:t>
      </w:r>
      <w:r>
        <w:rPr>
          <w:rFonts w:ascii="Aptos" w:hAnsi="Aptos" w:eastAsia="Aptos"/>
          <w:b w:val="0"/>
          <w:i w:val="0"/>
          <w:color w:val="0A1628"/>
          <w:sz w:val="20"/>
        </w:rPr>
        <w:t xml:space="preserve"> column.</w:t>
      </w:r>
    </w:p>
    <w:p>
      <w:pPr>
        <w:pStyle w:val="Heading4"/>
        <w:keepNext/>
      </w:pPr>
      <w:r>
        <w:rPr>
          <w:rFonts w:ascii="Aptos" w:hAnsi="Aptos" w:eastAsia="Aptos"/>
          <w:b w:val="0"/>
          <w:i w:val="0"/>
          <w:color w:val="0A1628"/>
          <w:sz w:val="20"/>
        </w:rPr>
        <w:t>10.4.3 Royal Partner Payable</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Royal Base Partner Cost</w:t>
              <w:br/>
              <w:t>= Royal Discounted Rate for 0.1-3 kg</w:t>
            </w:r>
          </w:p>
        </w:tc>
      </w:tr>
    </w:tbl>
    <w:p>
      <w:pPr>
        <w:spacing w:after="0"/>
      </w:pP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Extra Weight Units</w:t>
              <w:br/>
              <w:t>= CEILING(MAX(0, Actual Weight - 3 kg))</w:t>
            </w:r>
          </w:p>
        </w:tc>
      </w:tr>
    </w:tbl>
    <w:p>
      <w:pPr>
        <w:spacing w:after="0"/>
      </w:pPr>
    </w:p>
    <w:p>
      <w:r>
        <w:rPr>
          <w:rFonts w:ascii="Aptos" w:hAnsi="Aptos" w:eastAsia="Aptos"/>
          <w:b w:val="0"/>
          <w:i w:val="0"/>
          <w:color w:val="0A1628"/>
          <w:sz w:val="20"/>
        </w:rPr>
        <w:t xml:space="preserve">The document lists one </w:t>
      </w:r>
      <w:r>
        <w:rPr>
          <w:rFonts w:ascii="Consolas" w:hAnsi="Consolas" w:eastAsia="Consolas"/>
          <w:b w:val="0"/>
          <w:i w:val="0"/>
          <w:color w:val="0A1628"/>
          <w:sz w:val="17"/>
          <w:shd w:fill="EEF2F6"/>
        </w:rPr>
        <w:t>Next 1 Kg</w:t>
      </w:r>
      <w:r>
        <w:rPr>
          <w:rFonts w:ascii="Aptos" w:hAnsi="Aptos" w:eastAsia="Aptos"/>
          <w:b w:val="0"/>
          <w:i w:val="0"/>
          <w:color w:val="0A1628"/>
          <w:sz w:val="20"/>
        </w:rPr>
        <w:t xml:space="preserve"> rate. Until Royal confirms a separate discounted extra-kg rate, store both customer and partner extra-kg rates as separate fields and initialize them to the quoted </w:t>
      </w:r>
      <w:r>
        <w:rPr>
          <w:rFonts w:ascii="Consolas" w:hAnsi="Consolas" w:eastAsia="Consolas"/>
          <w:b w:val="0"/>
          <w:i w:val="0"/>
          <w:color w:val="0A1628"/>
          <w:sz w:val="17"/>
          <w:shd w:fill="EEF2F6"/>
        </w:rPr>
        <w:t>Next 1 Kg</w:t>
      </w:r>
      <w:r>
        <w:rPr>
          <w:rFonts w:ascii="Aptos" w:hAnsi="Aptos" w:eastAsia="Aptos"/>
          <w:b w:val="0"/>
          <w:i w:val="0"/>
          <w:color w:val="0A1628"/>
          <w:sz w:val="20"/>
        </w:rPr>
        <w:t xml:space="preserve"> amount.</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Royal Partner Payable Before Rebate</w:t>
              <w:br/>
              <w:t>= Discounted Base Rate</w:t>
              <w:br/>
              <w:t>+ Partner Extra-Weight Charge</w:t>
              <w:br/>
              <w:t>+ Royal COD Service Fee</w:t>
              <w:br/>
              <w:t>+ Return/Redelivery/Other Approved Charges</w:t>
              <w:br/>
              <w:t>- SLA Credits</w:t>
              <w:br/>
              <w:t>- Other Partner Credits</w:t>
            </w:r>
          </w:p>
        </w:tc>
      </w:tr>
    </w:tbl>
    <w:p>
      <w:pPr>
        <w:spacing w:after="0"/>
      </w:pPr>
    </w:p>
    <w:p>
      <w:pPr>
        <w:pStyle w:val="Heading4"/>
        <w:keepNext/>
      </w:pPr>
      <w:r>
        <w:rPr>
          <w:rFonts w:ascii="Aptos" w:hAnsi="Aptos" w:eastAsia="Aptos"/>
          <w:b w:val="0"/>
          <w:i w:val="0"/>
          <w:color w:val="0A1628"/>
          <w:sz w:val="20"/>
        </w:rPr>
        <w:t>10.4.4 Immediate Discount Margin</w:t>
      </w:r>
    </w:p>
    <w:p>
      <w:r>
        <w:rPr>
          <w:rFonts w:ascii="Aptos" w:hAnsi="Aptos" w:eastAsia="Aptos"/>
          <w:b w:val="0"/>
          <w:i w:val="0"/>
          <w:color w:val="0A1628"/>
          <w:sz w:val="20"/>
        </w:rPr>
        <w:t>The 15% benefit is a contract discount, not a later commission receivable.</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Royal Base Discount Margin</w:t>
              <w:br/>
              <w:t>= Normal Base Price</w:t>
              <w:br/>
              <w:t>- Discounted Base Rate</w:t>
            </w:r>
          </w:p>
        </w:tc>
      </w:tr>
    </w:tbl>
    <w:p>
      <w:pPr>
        <w:spacing w:after="0"/>
      </w:pPr>
    </w:p>
    <w:p>
      <w:r>
        <w:rPr>
          <w:rFonts w:ascii="Aptos" w:hAnsi="Aptos" w:eastAsia="Aptos"/>
          <w:b w:val="0"/>
          <w:i w:val="0"/>
          <w:color w:val="0A1628"/>
          <w:sz w:val="20"/>
        </w:rPr>
        <w:t>Examples from the quotation:</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Normal 4,500 - Discounted 3,825 = 675 MMK</w:t>
              <w:br/>
              <w:t>Normal 5,000 - Discounted 4,250 = 750 MMK</w:t>
              <w:br/>
              <w:t>Normal 7,000 - Discounted 5,950 = 1,050 MMK</w:t>
              <w:br/>
              <w:t>Normal 10,500 - Discounted 8,925 = 1,575 MMK</w:t>
            </w:r>
          </w:p>
        </w:tc>
      </w:tr>
    </w:tbl>
    <w:p>
      <w:pPr>
        <w:spacing w:after="0"/>
      </w:pPr>
    </w:p>
    <w:p>
      <w:r>
        <w:rPr>
          <w:rFonts w:ascii="Aptos" w:hAnsi="Aptos" w:eastAsia="Aptos"/>
          <w:b w:val="0"/>
          <w:i w:val="0"/>
          <w:color w:val="0A1628"/>
          <w:sz w:val="20"/>
        </w:rPr>
        <w:t>The system may display this as:</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PARTNER_DISCOUNT_MARGIN</w:t>
            </w:r>
          </w:p>
        </w:tc>
      </w:tr>
    </w:tbl>
    <w:p>
      <w:pPr>
        <w:spacing w:after="0"/>
      </w:pPr>
    </w:p>
    <w:p>
      <w:r>
        <w:rPr>
          <w:rFonts w:ascii="Aptos" w:hAnsi="Aptos" w:eastAsia="Aptos"/>
          <w:b w:val="0"/>
          <w:i w:val="0"/>
          <w:color w:val="0A1628"/>
          <w:sz w:val="20"/>
        </w:rPr>
        <w:t>Do not label it as a Royal cash commission unless Finance explicitly wants that presentation.</w:t>
      </w:r>
    </w:p>
    <w:p>
      <w:pPr>
        <w:pStyle w:val="Heading4"/>
        <w:keepNext/>
      </w:pPr>
      <w:r>
        <w:rPr>
          <w:rFonts w:ascii="Aptos" w:hAnsi="Aptos" w:eastAsia="Aptos"/>
          <w:b w:val="0"/>
          <w:i w:val="0"/>
          <w:color w:val="0A1628"/>
          <w:sz w:val="20"/>
        </w:rPr>
        <w:t>10.4.5 COD Service Fee</w:t>
      </w:r>
    </w:p>
    <w:p>
      <w:r>
        <w:rPr>
          <w:rFonts w:ascii="Aptos" w:hAnsi="Aptos" w:eastAsia="Aptos"/>
          <w:b w:val="0"/>
          <w:i w:val="0"/>
          <w:color w:val="0A1628"/>
          <w:sz w:val="20"/>
        </w:rPr>
        <w:t>Royal COD service fee:</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If product_amount_mmk &lt;= 300,000:</w:t>
              <w:br/>
              <w:t xml:space="preserve">    royal_cod_fee_mmk = 195</w:t>
              <w:br/>
              <w:br/>
              <w:t>If product_amount_mmk &gt; 300,000:</w:t>
              <w:br/>
              <w:t xml:space="preserve">    royal_cod_fee_mmk = product_amount_mmk * 0.002</w:t>
            </w:r>
          </w:p>
        </w:tc>
      </w:tr>
    </w:tbl>
    <w:p>
      <w:pPr>
        <w:spacing w:after="0"/>
      </w:pPr>
    </w:p>
    <w:p>
      <w:r>
        <w:rPr>
          <w:rFonts w:ascii="Aptos" w:hAnsi="Aptos" w:eastAsia="Aptos"/>
          <w:b w:val="0"/>
          <w:i w:val="0"/>
          <w:color w:val="0A1628"/>
          <w:sz w:val="20"/>
        </w:rPr>
        <w:t xml:space="preserve">The quotation refers to </w:t>
      </w:r>
      <w:r>
        <w:rPr>
          <w:rFonts w:ascii="Consolas" w:hAnsi="Consolas" w:eastAsia="Consolas"/>
          <w:b w:val="0"/>
          <w:i w:val="0"/>
          <w:color w:val="0A1628"/>
          <w:sz w:val="17"/>
          <w:shd w:fill="EEF2F6"/>
        </w:rPr>
        <w:t>product amount</w:t>
      </w:r>
      <w:r>
        <w:rPr>
          <w:rFonts w:ascii="Aptos" w:hAnsi="Aptos" w:eastAsia="Aptos"/>
          <w:b w:val="0"/>
          <w:i w:val="0"/>
          <w:color w:val="0A1628"/>
          <w:sz w:val="20"/>
        </w:rPr>
        <w:t>. Use the Financial V2 item-price/product-amount field, not total customer collection, unless the contract is amended.</w:t>
      </w:r>
    </w:p>
    <w:p>
      <w:r>
        <w:rPr>
          <w:rFonts w:ascii="Aptos" w:hAnsi="Aptos" w:eastAsia="Aptos"/>
          <w:b w:val="0"/>
          <w:i w:val="0"/>
          <w:color w:val="0A1628"/>
          <w:sz w:val="20"/>
        </w:rPr>
        <w:t>The percentage calculation must use decimal arithmetic. The whole-MMK rounding policy must be configurable and approved before activation.</w:t>
      </w:r>
    </w:p>
    <w:p>
      <w:r>
        <w:rPr>
          <w:rFonts w:ascii="Aptos" w:hAnsi="Aptos" w:eastAsia="Aptos"/>
          <w:b w:val="0"/>
          <w:i w:val="0"/>
          <w:color w:val="0A1628"/>
          <w:sz w:val="20"/>
        </w:rPr>
        <w:t>Required field:</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cod_fee_billing_party = BRITIUM | CUSTOMER | MERCHANT</w:t>
            </w:r>
          </w:p>
        </w:tc>
      </w:tr>
    </w:tbl>
    <w:p>
      <w:pPr>
        <w:spacing w:after="0"/>
      </w:pPr>
    </w:p>
    <w:p>
      <w:r>
        <w:rPr>
          <w:rFonts w:ascii="Aptos" w:hAnsi="Aptos" w:eastAsia="Aptos"/>
          <w:b w:val="0"/>
          <w:i w:val="0"/>
          <w:color w:val="0A1628"/>
          <w:sz w:val="20"/>
        </w:rPr>
        <w:t>Do not automatically add the Royal COD fee to customer collection until this policy is configured.</w:t>
      </w:r>
    </w:p>
    <w:p>
      <w:pPr>
        <w:pStyle w:val="Heading4"/>
        <w:keepNext/>
      </w:pPr>
      <w:r>
        <w:rPr>
          <w:rFonts w:ascii="Aptos" w:hAnsi="Aptos" w:eastAsia="Aptos"/>
          <w:b w:val="0"/>
          <w:i w:val="0"/>
          <w:color w:val="0A1628"/>
          <w:sz w:val="20"/>
        </w:rPr>
        <w:t>10.4.6 Monthly Rebate</w:t>
      </w:r>
    </w:p>
    <w:p>
      <w:r>
        <w:rPr>
          <w:rFonts w:ascii="Aptos" w:hAnsi="Aptos" w:eastAsia="Aptos"/>
          <w:b w:val="0"/>
          <w:i w:val="0"/>
          <w:color w:val="0A1628"/>
          <w:sz w:val="20"/>
        </w:rPr>
        <w:t>The quotation provides access to:</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1,000+ completed waybills =&gt; 5%</w:t>
              <w:br/>
              <w:t>2,000+ completed waybills =&gt; 10%</w:t>
              <w:br/>
              <w:t>3,000+ completed waybills =&gt; 15%</w:t>
            </w:r>
          </w:p>
        </w:tc>
      </w:tr>
    </w:tbl>
    <w:p>
      <w:pPr>
        <w:spacing w:after="0"/>
      </w:pPr>
    </w:p>
    <w:p>
      <w:r>
        <w:rPr>
          <w:rFonts w:ascii="Aptos" w:hAnsi="Aptos" w:eastAsia="Aptos"/>
          <w:b w:val="0"/>
          <w:i w:val="0"/>
          <w:color w:val="0A1628"/>
          <w:sz w:val="20"/>
        </w:rPr>
        <w:t>Use the highest achieved non-stacking tier for the calendar month.</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monthly_completed_ways = count of eligible Royal completed waybills</w:t>
            </w:r>
          </w:p>
        </w:tc>
      </w:tr>
    </w:tbl>
    <w:p>
      <w:pPr>
        <w:spacing w:after="0"/>
      </w:pP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rebate_rate =</w:t>
              <w:br/>
              <w:t xml:space="preserve">  0%  when completed ways &lt; 1,000</w:t>
              <w:br/>
              <w:t xml:space="preserve">  5%  when completed ways &gt;= 1,000 and &lt; 2,000</w:t>
              <w:br/>
              <w:t xml:space="preserve">  10% when completed ways &gt;= 2,000 and &lt; 3,000</w:t>
              <w:br/>
              <w:t xml:space="preserve">  15% when completed ways &gt;= 3,000</w:t>
            </w:r>
          </w:p>
        </w:tc>
      </w:tr>
    </w:tbl>
    <w:p>
      <w:pPr>
        <w:spacing w:after="0"/>
      </w:pPr>
    </w:p>
    <w:p>
      <w:r>
        <w:rPr>
          <w:rFonts w:ascii="Aptos" w:hAnsi="Aptos" w:eastAsia="Aptos"/>
          <w:b w:val="0"/>
          <w:i w:val="0"/>
          <w:color w:val="0A1628"/>
          <w:sz w:val="20"/>
        </w:rPr>
        <w:t>The quotation does not define the rebate calculation base. Therefore:</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rebate_basis_status = REQUIRES_CONTRACT_CONFIRMATION</w:t>
            </w:r>
          </w:p>
        </w:tc>
      </w:tr>
    </w:tbl>
    <w:p>
      <w:pPr>
        <w:spacing w:after="0"/>
      </w:pPr>
    </w:p>
    <w:p>
      <w:r>
        <w:rPr>
          <w:rFonts w:ascii="Aptos" w:hAnsi="Aptos" w:eastAsia="Aptos"/>
          <w:b w:val="0"/>
          <w:i w:val="0"/>
          <w:color w:val="0A1628"/>
          <w:sz w:val="20"/>
        </w:rPr>
        <w:t>Possible configurable bases include:</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DISCOUNTED_BASE_FEES</w:t>
              <w:br/>
              <w:t>TOTAL_PARTNER_DELIVERY_FEES_EXCLUDING_COD</w:t>
              <w:br/>
              <w:t>TOTAL_PARTNER_FEES</w:t>
              <w:br/>
              <w:t>OTHER_CONTRACT_DEFINED_BASE</w:t>
            </w:r>
          </w:p>
        </w:tc>
      </w:tr>
    </w:tbl>
    <w:p>
      <w:pPr>
        <w:spacing w:after="0"/>
      </w:pPr>
    </w:p>
    <w:p>
      <w:r>
        <w:rPr>
          <w:rFonts w:ascii="Aptos" w:hAnsi="Aptos" w:eastAsia="Aptos"/>
          <w:b w:val="0"/>
          <w:i w:val="0"/>
          <w:color w:val="0A1628"/>
          <w:sz w:val="20"/>
        </w:rPr>
        <w:t>The system may estimate the rebate only after a basis is configured. It must not finalize or post the rebate until Royal confirms it by statement, credit note or approved reconciliation.</w:t>
      </w:r>
    </w:p>
    <w:p>
      <w:r>
        <w:rPr>
          <w:rFonts w:ascii="Aptos" w:hAnsi="Aptos" w:eastAsia="Aptos"/>
          <w:b w:val="0"/>
          <w:i w:val="0"/>
          <w:color w:val="0A1628"/>
          <w:sz w:val="20"/>
        </w:rPr>
        <w:t>Store:</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estimated_rebate_mmk</w:t>
              <w:br/>
              <w:t>confirmed_rebate_mmk</w:t>
              <w:br/>
              <w:t>rebate_confirmation_reference</w:t>
              <w:br/>
              <w:t>rebate_status = ESTIMATED | SUBMITTED | CONFIRMED | DISPUTED | POSTED</w:t>
            </w:r>
          </w:p>
        </w:tc>
      </w:tr>
    </w:tbl>
    <w:p>
      <w:pPr>
        <w:spacing w:after="0"/>
      </w:pPr>
    </w:p>
    <w:p>
      <w:pPr>
        <w:pStyle w:val="Heading4"/>
        <w:keepNext/>
      </w:pPr>
      <w:r>
        <w:rPr>
          <w:rFonts w:ascii="Aptos" w:hAnsi="Aptos" w:eastAsia="Aptos"/>
          <w:b w:val="0"/>
          <w:i w:val="0"/>
          <w:color w:val="0A1628"/>
          <w:sz w:val="20"/>
        </w:rPr>
        <w:t>10.4.7 Royal Net Margin</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Royal Outsourced Margin Before Rebate</w:t>
              <w:br/>
              <w:t>= Customer Delivery Charge</w:t>
              <w:br/>
              <w:t>- Royal Partner Payable Before Rebate</w:t>
              <w:br/>
              <w:t>- Britium Handover/Transport Costs</w:t>
            </w:r>
          </w:p>
        </w:tc>
      </w:tr>
    </w:tbl>
    <w:p>
      <w:pPr>
        <w:spacing w:after="0"/>
      </w:pP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Royal Final Outsourced Margin</w:t>
              <w:br/>
              <w:t>= Royal Outsourced Margin Before Rebate</w:t>
              <w:br/>
              <w:t>+ Confirmed Monthly Rebate Allocated to the Parcel or Month</w:t>
            </w:r>
          </w:p>
        </w:tc>
      </w:tr>
    </w:tbl>
    <w:p>
      <w:pPr>
        <w:spacing w:after="0"/>
      </w:pPr>
    </w:p>
    <w:p>
      <w:r>
        <w:rPr>
          <w:rFonts w:ascii="Aptos" w:hAnsi="Aptos" w:eastAsia="Aptos"/>
          <w:b w:val="0"/>
          <w:i w:val="0"/>
          <w:color w:val="0A1628"/>
          <w:sz w:val="20"/>
        </w:rPr>
        <w:t>Do not count the 15% base discount again as a monthly rebate.</w:t>
      </w:r>
    </w:p>
    <w:p>
      <w:pPr>
        <w:pStyle w:val="Heading4"/>
        <w:keepNext/>
      </w:pPr>
      <w:r>
        <w:rPr>
          <w:rFonts w:ascii="Aptos" w:hAnsi="Aptos" w:eastAsia="Aptos"/>
          <w:b w:val="0"/>
          <w:i w:val="0"/>
          <w:color w:val="0A1628"/>
          <w:sz w:val="20"/>
        </w:rPr>
        <w:t>10.4.8 COD Remittance</w:t>
      </w:r>
    </w:p>
    <w:p>
      <w:r>
        <w:rPr>
          <w:rFonts w:ascii="Aptos" w:hAnsi="Aptos" w:eastAsia="Aptos"/>
          <w:b w:val="0"/>
          <w:i w:val="0"/>
          <w:color w:val="0A1628"/>
          <w:sz w:val="20"/>
        </w:rPr>
        <w:t>Royal states that COD transfer will occur within 2-3 days after successful delivery.</w:t>
      </w:r>
    </w:p>
    <w:p>
      <w:r>
        <w:rPr>
          <w:rFonts w:ascii="Aptos" w:hAnsi="Aptos" w:eastAsia="Aptos"/>
          <w:b w:val="0"/>
          <w:i w:val="0"/>
          <w:color w:val="0A1628"/>
          <w:sz w:val="20"/>
        </w:rPr>
        <w:t>Track:</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delivered_at</w:t>
              <w:br/>
              <w:t>expected_cod_remittance_from</w:t>
              <w:br/>
              <w:t>expected_cod_remittance_to</w:t>
              <w:br/>
              <w:t>actual_cod_remitted_at</w:t>
              <w:br/>
              <w:t>cod_remitted_mmk</w:t>
              <w:br/>
              <w:t>cod_remittance_reference</w:t>
              <w:br/>
              <w:t>cod_remittance_status</w:t>
            </w:r>
          </w:p>
        </w:tc>
      </w:tr>
    </w:tbl>
    <w:p>
      <w:pPr>
        <w:spacing w:after="0"/>
      </w:pPr>
    </w:p>
    <w:p>
      <w:r>
        <w:rPr>
          <w:rFonts w:ascii="Aptos" w:hAnsi="Aptos" w:eastAsia="Aptos"/>
          <w:b w:val="0"/>
          <w:i w:val="0"/>
          <w:color w:val="0A1628"/>
          <w:sz w:val="20"/>
        </w:rPr>
        <w:t>Alert when the amount remains unremitted after the end of the configured SLA window.</w:t>
      </w:r>
    </w:p>
    <w:p>
      <w:r>
        <w:rPr>
          <w:rFonts w:ascii="Aptos" w:hAnsi="Aptos" w:eastAsia="Aptos"/>
          <w:b w:val="0"/>
          <w:i w:val="0"/>
          <w:color w:val="0A1628"/>
          <w:sz w:val="20"/>
        </w:rPr>
        <w:t>Gross COD custody must remain separate from Royal delivery fees. Even when Royal remits net cash, the system must record:</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gross_cod_collected</w:t>
              <w:br/>
              <w:t>partner_fees_netted</w:t>
              <w:br/>
              <w:t>net_cash_received</w:t>
            </w:r>
          </w:p>
        </w:tc>
      </w:tr>
    </w:tbl>
    <w:p>
      <w:pPr>
        <w:spacing w:after="0"/>
      </w:pPr>
    </w:p>
    <w:p>
      <w:r>
        <w:rPr>
          <w:rFonts w:ascii="Aptos" w:hAnsi="Aptos" w:eastAsia="Aptos"/>
          <w:b w:val="0"/>
          <w:i w:val="0"/>
          <w:color w:val="0A1628"/>
          <w:sz w:val="20"/>
        </w:rPr>
        <w:t>and reconcile:</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Gross COD Collected</w:t>
              <w:br/>
              <w:t>= Net Cash Received</w:t>
              <w:br/>
              <w:t>+ Approved Netted Partner Fees</w:t>
              <w:br/>
              <w:t>+ Approved Refunds/Adjustments</w:t>
            </w:r>
          </w:p>
        </w:tc>
      </w:tr>
    </w:tbl>
    <w:p>
      <w:pPr>
        <w:spacing w:after="0"/>
      </w:pPr>
    </w:p>
    <w:p>
      <w:pPr>
        <w:pStyle w:val="Heading4"/>
        <w:keepNext/>
      </w:pPr>
      <w:r>
        <w:rPr>
          <w:rFonts w:ascii="Aptos" w:hAnsi="Aptos" w:eastAsia="Aptos"/>
          <w:b w:val="0"/>
          <w:i w:val="0"/>
          <w:color w:val="0A1628"/>
          <w:sz w:val="20"/>
        </w:rPr>
        <w:t>10.4.9 Other Royal Terms to Monitor</w:t>
      </w:r>
    </w:p>
    <w:p>
      <w:r>
        <w:rPr>
          <w:rFonts w:ascii="Aptos" w:hAnsi="Aptos" w:eastAsia="Aptos"/>
          <w:b w:val="0"/>
          <w:i w:val="0"/>
          <w:color w:val="0A1628"/>
          <w:sz w:val="20"/>
        </w:rPr>
        <w:t>Store operational alerts for:</w:t>
      </w:r>
    </w:p>
    <w:p>
      <w:pPr>
        <w:pStyle w:val="ListBullet"/>
        <w:ind w:left="0"/>
      </w:pPr>
      <w:r>
        <w:rPr>
          <w:rFonts w:ascii="Aptos" w:hAnsi="Aptos" w:eastAsia="Aptos"/>
          <w:b w:val="0"/>
          <w:i w:val="0"/>
          <w:color w:val="0A1628"/>
          <w:sz w:val="20"/>
        </w:rPr>
        <w:t>Maximum loss/damage compensation: 250,000 MMK.</w:t>
      </w:r>
    </w:p>
    <w:p>
      <w:pPr>
        <w:pStyle w:val="ListBullet"/>
        <w:ind w:left="0"/>
      </w:pPr>
      <w:r>
        <w:rPr>
          <w:rFonts w:ascii="Aptos" w:hAnsi="Aptos" w:eastAsia="Aptos"/>
          <w:b w:val="0"/>
          <w:i w:val="0"/>
          <w:color w:val="0A1628"/>
          <w:sz w:val="20"/>
        </w:rPr>
        <w:t>Three delivery attempts within seven days for unsuccessful delivery.</w:t>
      </w:r>
    </w:p>
    <w:p>
      <w:pPr>
        <w:pStyle w:val="ListBullet"/>
        <w:ind w:left="0"/>
      </w:pPr>
      <w:r>
        <w:rPr>
          <w:rFonts w:ascii="Aptos" w:hAnsi="Aptos" w:eastAsia="Aptos"/>
          <w:b w:val="0"/>
          <w:i w:val="0"/>
          <w:color w:val="0A1628"/>
          <w:sz w:val="20"/>
        </w:rPr>
        <w:t>Britium/Customer drop-off to Royal Express branches.</w:t>
      </w:r>
    </w:p>
    <w:p>
      <w:pPr>
        <w:pStyle w:val="ListBullet"/>
        <w:ind w:left="0"/>
      </w:pPr>
      <w:r>
        <w:rPr>
          <w:rFonts w:ascii="Aptos" w:hAnsi="Aptos" w:eastAsia="Aptos"/>
          <w:b w:val="0"/>
          <w:i w:val="0"/>
          <w:color w:val="0A1628"/>
          <w:sz w:val="20"/>
        </w:rPr>
        <w:t>Service-area and rate changes.</w:t>
      </w:r>
    </w:p>
    <w:p>
      <w:pPr>
        <w:pStyle w:val="ListBullet"/>
        <w:ind w:left="0"/>
      </w:pPr>
      <w:r>
        <w:rPr>
          <w:rFonts w:ascii="Aptos" w:hAnsi="Aptos" w:eastAsia="Aptos"/>
          <w:b w:val="0"/>
          <w:i w:val="0"/>
          <w:color w:val="0A1628"/>
          <w:sz w:val="20"/>
        </w:rPr>
        <w:t>Force-majeure lead-time extension.</w:t>
      </w:r>
    </w:p>
    <w:p>
      <w:r>
        <w:rPr>
          <w:rFonts w:ascii="Aptos" w:hAnsi="Aptos" w:eastAsia="Aptos"/>
          <w:b w:val="0"/>
          <w:i w:val="0"/>
          <w:color w:val="0A1628"/>
          <w:sz w:val="20"/>
        </w:rPr>
        <w:t>The rate card must be versioned because the quotation states that service cities and prices may change.</w:t>
      </w:r>
    </w:p>
    <w:p>
      <w:pPr>
        <w:pBdr>
          <w:bottom w:val="single" w:sz="5" w:space="3" w:color="B8C4D1"/>
        </w:pBdr>
        <w:spacing w:after="100"/>
      </w:pPr>
    </w:p>
    <w:p>
      <w:pPr>
        <w:pStyle w:val="Heading3"/>
        <w:keepNext/>
      </w:pPr>
      <w:r>
        <w:rPr>
          <w:rFonts w:ascii="Aptos" w:hAnsi="Aptos" w:eastAsia="Aptos"/>
          <w:b w:val="0"/>
          <w:i w:val="0"/>
          <w:color w:val="0A1628"/>
          <w:sz w:val="20"/>
        </w:rPr>
        <w:t>10.5 Routing Precedence</w:t>
      </w:r>
    </w:p>
    <w:p>
      <w:r>
        <w:rPr>
          <w:rFonts w:ascii="Aptos" w:hAnsi="Aptos" w:eastAsia="Aptos"/>
          <w:b w:val="0"/>
          <w:i w:val="0"/>
          <w:color w:val="0A1628"/>
          <w:sz w:val="20"/>
        </w:rPr>
        <w:t>Create an effective-dated routing-policy table.</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priority 1: YGN -&gt; BRITIUM_DIRECT</w:t>
              <w:br/>
              <w:t>priority 2: NPT -&gt; NPT_BRANCH</w:t>
              <w:br/>
              <w:t>priority 3: MDY -&gt; DK_DELIVERY</w:t>
              <w:br/>
              <w:t>priority 4: all other Royal-supported destinations -&gt; ROYAL_EXPRESS</w:t>
              <w:br/>
              <w:t>priority 5: authorized manual fallback provider</w:t>
            </w:r>
          </w:p>
        </w:tc>
      </w:tr>
    </w:tbl>
    <w:p>
      <w:pPr>
        <w:spacing w:after="0"/>
      </w:pPr>
    </w:p>
    <w:p>
      <w:r>
        <w:rPr>
          <w:rFonts w:ascii="Aptos" w:hAnsi="Aptos" w:eastAsia="Aptos"/>
          <w:b w:val="0"/>
          <w:i w:val="0"/>
          <w:color w:val="0A1628"/>
          <w:sz w:val="20"/>
        </w:rPr>
        <w:t>Royal rate rows for Yangon, Mandalay and Naypyitaw may be imported for reference, but mark:</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routing_eligible = false</w:t>
            </w:r>
          </w:p>
        </w:tc>
      </w:tr>
    </w:tbl>
    <w:p>
      <w:pPr>
        <w:spacing w:after="0"/>
      </w:pPr>
    </w:p>
    <w:p>
      <w:r>
        <w:rPr>
          <w:rFonts w:ascii="Aptos" w:hAnsi="Aptos" w:eastAsia="Aptos"/>
          <w:b w:val="0"/>
          <w:i w:val="0"/>
          <w:color w:val="0A1628"/>
          <w:sz w:val="20"/>
        </w:rPr>
        <w:t>under the current policy.</w:t>
      </w:r>
    </w:p>
    <w:p>
      <w:r>
        <w:rPr>
          <w:rFonts w:ascii="Aptos" w:hAnsi="Aptos" w:eastAsia="Aptos"/>
          <w:b w:val="0"/>
          <w:i w:val="0"/>
          <w:color w:val="0A1628"/>
          <w:sz w:val="20"/>
        </w:rPr>
        <w:t>A manual override must require:</w:t>
      </w:r>
    </w:p>
    <w:p>
      <w:pPr>
        <w:pStyle w:val="ListBullet"/>
        <w:ind w:left="0"/>
      </w:pPr>
      <w:r>
        <w:rPr>
          <w:rFonts w:ascii="Aptos" w:hAnsi="Aptos" w:eastAsia="Aptos"/>
          <w:b w:val="0"/>
          <w:i w:val="0"/>
          <w:color w:val="0A1628"/>
          <w:sz w:val="20"/>
        </w:rPr>
        <w:t>Authorized Operations user.</w:t>
      </w:r>
    </w:p>
    <w:p>
      <w:pPr>
        <w:pStyle w:val="ListBullet"/>
        <w:ind w:left="0"/>
      </w:pPr>
      <w:r>
        <w:rPr>
          <w:rFonts w:ascii="Aptos" w:hAnsi="Aptos" w:eastAsia="Aptos"/>
          <w:b w:val="0"/>
          <w:i w:val="0"/>
          <w:color w:val="0A1628"/>
          <w:sz w:val="20"/>
        </w:rPr>
        <w:t>Override reason.</w:t>
      </w:r>
    </w:p>
    <w:p>
      <w:pPr>
        <w:pStyle w:val="ListBullet"/>
        <w:ind w:left="0"/>
      </w:pPr>
      <w:r>
        <w:rPr>
          <w:rFonts w:ascii="Aptos" w:hAnsi="Aptos" w:eastAsia="Aptos"/>
          <w:b w:val="0"/>
          <w:i w:val="0"/>
          <w:color w:val="0A1628"/>
          <w:sz w:val="20"/>
        </w:rPr>
        <w:t>Selected contract/rate version.</w:t>
      </w:r>
    </w:p>
    <w:p>
      <w:pPr>
        <w:pStyle w:val="ListBullet"/>
        <w:ind w:left="0"/>
      </w:pPr>
      <w:r>
        <w:rPr>
          <w:rFonts w:ascii="Aptos" w:hAnsi="Aptos" w:eastAsia="Aptos"/>
          <w:b w:val="0"/>
          <w:i w:val="0"/>
          <w:color w:val="0A1628"/>
          <w:sz w:val="20"/>
        </w:rPr>
        <w:t>Expected cost.</w:t>
      </w:r>
    </w:p>
    <w:p>
      <w:pPr>
        <w:pStyle w:val="ListBullet"/>
        <w:ind w:left="0"/>
      </w:pPr>
      <w:r>
        <w:rPr>
          <w:rFonts w:ascii="Aptos" w:hAnsi="Aptos" w:eastAsia="Aptos"/>
          <w:b w:val="0"/>
          <w:i w:val="0"/>
          <w:color w:val="0A1628"/>
          <w:sz w:val="20"/>
        </w:rPr>
        <w:t>Finance visibility.</w:t>
      </w:r>
    </w:p>
    <w:p>
      <w:pPr>
        <w:pStyle w:val="ListBullet"/>
        <w:ind w:left="0"/>
      </w:pPr>
      <w:r>
        <w:rPr>
          <w:rFonts w:ascii="Aptos" w:hAnsi="Aptos" w:eastAsia="Aptos"/>
          <w:b w:val="0"/>
          <w:i w:val="0"/>
          <w:color w:val="0A1628"/>
          <w:sz w:val="20"/>
        </w:rPr>
        <w:t>Audit entry.</w:t>
      </w:r>
    </w:p>
    <w:p>
      <w:pPr>
        <w:pBdr>
          <w:bottom w:val="single" w:sz="5" w:space="3" w:color="B8C4D1"/>
        </w:pBdr>
        <w:spacing w:after="100"/>
      </w:pPr>
    </w:p>
    <w:p>
      <w:pPr>
        <w:pStyle w:val="Heading3"/>
        <w:keepNext/>
      </w:pPr>
      <w:r>
        <w:rPr>
          <w:rFonts w:ascii="Aptos" w:hAnsi="Aptos" w:eastAsia="Aptos"/>
          <w:b w:val="0"/>
          <w:i w:val="0"/>
          <w:color w:val="0A1628"/>
          <w:sz w:val="20"/>
        </w:rPr>
        <w:t>10.6 Database Model</w:t>
      </w:r>
    </w:p>
    <w:p>
      <w:pPr>
        <w:pStyle w:val="Heading4"/>
        <w:keepNext/>
      </w:pPr>
      <w:r>
        <w:rPr>
          <w:rFonts w:ascii="Aptos" w:hAnsi="Aptos" w:eastAsia="Aptos"/>
          <w:b w:val="0"/>
          <w:i w:val="0"/>
          <w:color w:val="0A1628"/>
          <w:sz w:val="20"/>
        </w:rPr>
        <w:t>10.6.1 Partner Contracts</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be_partner_contracts</w:t>
            </w:r>
          </w:p>
        </w:tc>
      </w:tr>
    </w:tbl>
    <w:p>
      <w:pPr>
        <w:spacing w:after="0"/>
      </w:pPr>
    </w:p>
    <w:p>
      <w:r>
        <w:rPr>
          <w:rFonts w:ascii="Aptos" w:hAnsi="Aptos" w:eastAsia="Aptos"/>
          <w:b w:val="0"/>
          <w:i w:val="0"/>
          <w:color w:val="0A1628"/>
          <w:sz w:val="20"/>
        </w:rPr>
        <w:t>Fields:</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id</w:t>
              <w:br/>
              <w:t>partner_code</w:t>
              <w:br/>
              <w:t>partner_name</w:t>
              <w:br/>
              <w:t>contract_reference</w:t>
              <w:br/>
              <w:t>quotation_reference</w:t>
              <w:br/>
              <w:t>source_document_id</w:t>
              <w:br/>
              <w:t>document_issue_date</w:t>
              <w:br/>
              <w:t>document_effective_date</w:t>
              <w:br/>
              <w:t>system_activation_date</w:t>
              <w:br/>
              <w:t>effective_to</w:t>
              <w:br/>
              <w:t>status</w:t>
              <w:br/>
              <w:t>settlement_currency</w:t>
              <w:br/>
              <w:t>settlement_cycle</w:t>
              <w:br/>
              <w:t>cod_remittance_sla_min_days</w:t>
              <w:br/>
              <w:t>cod_remittance_sla_max_days</w:t>
              <w:br/>
              <w:t>approved_by</w:t>
              <w:br/>
              <w:t>approved_at</w:t>
            </w:r>
          </w:p>
        </w:tc>
      </w:tr>
    </w:tbl>
    <w:p>
      <w:pPr>
        <w:spacing w:after="0"/>
      </w:pPr>
    </w:p>
    <w:p>
      <w:r>
        <w:rPr>
          <w:rFonts w:ascii="Aptos" w:hAnsi="Aptos" w:eastAsia="Aptos"/>
          <w:b w:val="0"/>
          <w:i w:val="0"/>
          <w:color w:val="0A1628"/>
          <w:sz w:val="20"/>
        </w:rPr>
        <w:t xml:space="preserve">Do not infer the production activation date from the document. Royal's header and quotation date must both be preserved and Finance must approve </w:t>
      </w:r>
      <w:r>
        <w:rPr>
          <w:rFonts w:ascii="Consolas" w:hAnsi="Consolas" w:eastAsia="Consolas"/>
          <w:b w:val="0"/>
          <w:i w:val="0"/>
          <w:color w:val="0A1628"/>
          <w:sz w:val="17"/>
          <w:shd w:fill="EEF2F6"/>
        </w:rPr>
        <w:t>system_activation_date</w:t>
      </w:r>
      <w:r>
        <w:rPr>
          <w:rFonts w:ascii="Aptos" w:hAnsi="Aptos" w:eastAsia="Aptos"/>
          <w:b w:val="0"/>
          <w:i w:val="0"/>
          <w:color w:val="0A1628"/>
          <w:sz w:val="20"/>
        </w:rPr>
        <w:t>.</w:t>
      </w:r>
    </w:p>
    <w:p>
      <w:pPr>
        <w:pStyle w:val="Heading4"/>
        <w:keepNext/>
      </w:pPr>
      <w:r>
        <w:rPr>
          <w:rFonts w:ascii="Aptos" w:hAnsi="Aptos" w:eastAsia="Aptos"/>
          <w:b w:val="0"/>
          <w:i w:val="0"/>
          <w:color w:val="0A1628"/>
          <w:sz w:val="20"/>
        </w:rPr>
        <w:t>10.6.2 Partner Rate Cards</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be_partner_rate_cards</w:t>
              <w:br/>
              <w:t>be_partner_rate_rows</w:t>
            </w:r>
          </w:p>
        </w:tc>
      </w:tr>
    </w:tbl>
    <w:p>
      <w:pPr>
        <w:spacing w:after="0"/>
      </w:pPr>
    </w:p>
    <w:p>
      <w:r>
        <w:rPr>
          <w:rFonts w:ascii="Aptos" w:hAnsi="Aptos" w:eastAsia="Aptos"/>
          <w:b w:val="0"/>
          <w:i w:val="0"/>
          <w:color w:val="0A1628"/>
          <w:sz w:val="20"/>
        </w:rPr>
        <w:t>Rate row fields:</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partner_code</w:t>
              <w:br/>
              <w:t>origin_city</w:t>
              <w:br/>
              <w:t>destination_code</w:t>
              <w:br/>
              <w:t>destination_name</w:t>
              <w:br/>
              <w:t>state_division_code</w:t>
              <w:br/>
              <w:t>zone_code</w:t>
              <w:br/>
              <w:t>customer_normal_base_mmk</w:t>
              <w:br/>
              <w:t>partner_discounted_base_mmk</w:t>
              <w:br/>
              <w:t>customer_included_kg</w:t>
              <w:br/>
              <w:t>partner_included_kg</w:t>
              <w:br/>
              <w:t>customer_next_kg_mmk</w:t>
              <w:br/>
              <w:t>partner_next_kg_mmk</w:t>
              <w:br/>
              <w:t>area_band</w:t>
              <w:br/>
              <w:t>base_fee_mmk</w:t>
              <w:br/>
              <w:t>source_row_number</w:t>
              <w:br/>
              <w:t>effective_from</w:t>
              <w:br/>
              <w:t>effective_to</w:t>
              <w:br/>
              <w:t>status</w:t>
            </w:r>
          </w:p>
        </w:tc>
      </w:tr>
    </w:tbl>
    <w:p>
      <w:pPr>
        <w:spacing w:after="0"/>
      </w:pPr>
    </w:p>
    <w:p>
      <w:pPr>
        <w:pStyle w:val="Heading4"/>
        <w:keepNext/>
      </w:pPr>
      <w:r>
        <w:rPr>
          <w:rFonts w:ascii="Aptos" w:hAnsi="Aptos" w:eastAsia="Aptos"/>
          <w:b w:val="0"/>
          <w:i w:val="0"/>
          <w:color w:val="0A1628"/>
          <w:sz w:val="20"/>
        </w:rPr>
        <w:t>10.6.3 COD Fee Rules</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be_partner_cod_fee_rules</w:t>
            </w:r>
          </w:p>
        </w:tc>
      </w:tr>
    </w:tbl>
    <w:p>
      <w:pPr>
        <w:spacing w:after="0"/>
      </w:pPr>
    </w:p>
    <w:p>
      <w:r>
        <w:rPr>
          <w:rFonts w:ascii="Aptos" w:hAnsi="Aptos" w:eastAsia="Aptos"/>
          <w:b w:val="0"/>
          <w:i w:val="0"/>
          <w:color w:val="0A1628"/>
          <w:sz w:val="20"/>
        </w:rPr>
        <w:t>Fields:</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partner_code</w:t>
              <w:br/>
              <w:t>minimum_product_amount</w:t>
              <w:br/>
              <w:t>maximum_product_amount</w:t>
              <w:br/>
              <w:t>fee_type = FIXED | PERCENTAGE</w:t>
              <w:br/>
              <w:t>fee_value</w:t>
              <w:br/>
              <w:t>rounding_policy</w:t>
              <w:br/>
              <w:t>billing_party</w:t>
              <w:br/>
              <w:t>status</w:t>
            </w:r>
          </w:p>
        </w:tc>
      </w:tr>
    </w:tbl>
    <w:p>
      <w:pPr>
        <w:spacing w:after="0"/>
      </w:pPr>
    </w:p>
    <w:p>
      <w:pPr>
        <w:pStyle w:val="Heading4"/>
        <w:keepNext/>
      </w:pPr>
      <w:r>
        <w:rPr>
          <w:rFonts w:ascii="Aptos" w:hAnsi="Aptos" w:eastAsia="Aptos"/>
          <w:b w:val="0"/>
          <w:i w:val="0"/>
          <w:color w:val="0A1628"/>
          <w:sz w:val="20"/>
        </w:rPr>
        <w:t>10.6.4 Rebate Tiers</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be_partner_rebate_tiers</w:t>
            </w:r>
          </w:p>
        </w:tc>
      </w:tr>
    </w:tbl>
    <w:p>
      <w:pPr>
        <w:spacing w:after="0"/>
      </w:pPr>
    </w:p>
    <w:p>
      <w:r>
        <w:rPr>
          <w:rFonts w:ascii="Aptos" w:hAnsi="Aptos" w:eastAsia="Aptos"/>
          <w:b w:val="0"/>
          <w:i w:val="0"/>
          <w:color w:val="0A1628"/>
          <w:sz w:val="20"/>
        </w:rPr>
        <w:t>Fields:</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partner_code</w:t>
              <w:br/>
              <w:t>minimum_completed_ways</w:t>
              <w:br/>
              <w:t>maximum_completed_ways</w:t>
              <w:br/>
              <w:t>rebate_percent</w:t>
              <w:br/>
              <w:t>rebate_basis</w:t>
              <w:br/>
              <w:t>confirmation_required</w:t>
              <w:br/>
              <w:t>status</w:t>
            </w:r>
          </w:p>
        </w:tc>
      </w:tr>
    </w:tbl>
    <w:p>
      <w:pPr>
        <w:spacing w:after="0"/>
      </w:pPr>
    </w:p>
    <w:p>
      <w:pPr>
        <w:pStyle w:val="Heading4"/>
        <w:keepNext/>
      </w:pPr>
      <w:r>
        <w:rPr>
          <w:rFonts w:ascii="Aptos" w:hAnsi="Aptos" w:eastAsia="Aptos"/>
          <w:b w:val="0"/>
          <w:i w:val="0"/>
          <w:color w:val="0A1628"/>
          <w:sz w:val="20"/>
        </w:rPr>
        <w:t>10.6.5 Parcel Outsource Snapshot</w:t>
      </w:r>
    </w:p>
    <w:p>
      <w:r>
        <w:rPr>
          <w:rFonts w:ascii="Aptos" w:hAnsi="Aptos" w:eastAsia="Aptos"/>
          <w:b w:val="0"/>
          <w:i w:val="0"/>
          <w:color w:val="0A1628"/>
          <w:sz w:val="20"/>
        </w:rPr>
        <w:t>Every outsourced parcel must store:</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fulfillment_mode</w:t>
              <w:br/>
              <w:t>managing_branch_code</w:t>
              <w:br/>
              <w:t>partner_code</w:t>
              <w:br/>
              <w:t>partner_contract_id</w:t>
              <w:br/>
              <w:t>partner_rate_card_id</w:t>
              <w:br/>
              <w:t>partner_rate_row_id</w:t>
              <w:br/>
              <w:t>partner_tracking_id</w:t>
              <w:br/>
              <w:t>partner_handover_id</w:t>
              <w:br/>
              <w:t>customer_delivery_charge_snapshot</w:t>
              <w:br/>
              <w:t>partner_base_cost_snapshot</w:t>
              <w:br/>
              <w:t>partner_extra_weight_snapshot</w:t>
              <w:br/>
              <w:t>partner_cod_fee_snapshot</w:t>
              <w:br/>
              <w:t>partner_other_cost_snapshot</w:t>
              <w:br/>
              <w:t>linehaul_cost_snapshot</w:t>
              <w:br/>
              <w:t>estimated_rebate_snapshot</w:t>
              <w:br/>
              <w:t>confirmed_rebate_snapshot</w:t>
              <w:br/>
              <w:t>outsourced_margin_snapshot</w:t>
              <w:br/>
              <w:t>calculation_version</w:t>
              <w:br/>
              <w:t>calculated_at</w:t>
            </w:r>
          </w:p>
        </w:tc>
      </w:tr>
    </w:tbl>
    <w:p>
      <w:pPr>
        <w:spacing w:after="0"/>
      </w:pPr>
    </w:p>
    <w:p>
      <w:r>
        <w:rPr>
          <w:rFonts w:ascii="Aptos" w:hAnsi="Aptos" w:eastAsia="Aptos"/>
          <w:b w:val="0"/>
          <w:i w:val="0"/>
          <w:color w:val="0A1628"/>
          <w:sz w:val="20"/>
        </w:rPr>
        <w:t>Historical parcels must never be recalculated from a newly uploaded partner rate card.</w:t>
      </w:r>
    </w:p>
    <w:p>
      <w:pPr>
        <w:pBdr>
          <w:bottom w:val="single" w:sz="5" w:space="3" w:color="B8C4D1"/>
        </w:pBdr>
        <w:spacing w:after="100"/>
      </w:pPr>
    </w:p>
    <w:p>
      <w:pPr>
        <w:pStyle w:val="Heading3"/>
        <w:keepNext/>
      </w:pPr>
      <w:r>
        <w:rPr>
          <w:rFonts w:ascii="Aptos" w:hAnsi="Aptos" w:eastAsia="Aptos"/>
          <w:b w:val="0"/>
          <w:i w:val="0"/>
          <w:color w:val="0A1628"/>
          <w:sz w:val="20"/>
        </w:rPr>
        <w:t>10.7 Required Backend Services and RPCs</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be_fulfillment_route_resolve_v55</w:t>
              <w:br/>
              <w:t>be_partner_quote_calculate_v55</w:t>
              <w:br/>
              <w:t>be_dk_area_rate_resolve_v55</w:t>
              <w:br/>
              <w:t>be_linehaul_manifest_create_v55</w:t>
              <w:br/>
              <w:t>be_linehaul_manifest_allocate_v55</w:t>
              <w:br/>
              <w:t>be_partner_handover_create_v55</w:t>
              <w:br/>
              <w:t>be_partner_handover_accept_v55</w:t>
              <w:br/>
              <w:t>be_partner_tracking_event_ingest_v55</w:t>
              <w:br/>
              <w:t>be_partner_pod_confirm_v55</w:t>
              <w:br/>
              <w:t>be_partner_cod_remittance_record_v55</w:t>
              <w:br/>
              <w:t>be_partner_cod_remittance_confirm_v55</w:t>
              <w:br/>
              <w:t>be_partner_settlement_snapshot_v55</w:t>
              <w:br/>
              <w:t>be_partner_settlement_batch_create_v55</w:t>
              <w:br/>
              <w:t>be_partner_settlement_batch_submit_v55</w:t>
              <w:br/>
              <w:t>be_partner_settlement_batch_approve_v55</w:t>
              <w:br/>
              <w:t>be_partner_settlement_payment_record_v55</w:t>
              <w:br/>
              <w:t>be_partner_rebate_estimate_v55</w:t>
              <w:br/>
              <w:t>be_partner_rebate_confirm_v55</w:t>
              <w:br/>
              <w:t>be_partner_adjustment_create_v55</w:t>
            </w:r>
          </w:p>
        </w:tc>
      </w:tr>
    </w:tbl>
    <w:p>
      <w:pPr>
        <w:spacing w:after="0"/>
      </w:pPr>
    </w:p>
    <w:p>
      <w:r>
        <w:rPr>
          <w:rFonts w:ascii="Aptos" w:hAnsi="Aptos" w:eastAsia="Aptos"/>
          <w:b w:val="0"/>
          <w:i w:val="0"/>
          <w:color w:val="0A1628"/>
          <w:sz w:val="20"/>
        </w:rPr>
        <w:t>All mutations must be secured, branch-scoped, audited and idempotent.</w:t>
      </w:r>
    </w:p>
    <w:p>
      <w:pPr>
        <w:pBdr>
          <w:bottom w:val="single" w:sz="5" w:space="3" w:color="B8C4D1"/>
        </w:pBdr>
        <w:spacing w:after="100"/>
      </w:pPr>
    </w:p>
    <w:p>
      <w:pPr>
        <w:pStyle w:val="Heading3"/>
        <w:keepNext/>
      </w:pPr>
      <w:r>
        <w:rPr>
          <w:rFonts w:ascii="Aptos" w:hAnsi="Aptos" w:eastAsia="Aptos"/>
          <w:b w:val="0"/>
          <w:i w:val="0"/>
          <w:color w:val="0A1628"/>
          <w:sz w:val="20"/>
        </w:rPr>
        <w:t>10.8 Partner Settlement Screen Changes</w:t>
      </w:r>
    </w:p>
    <w:p>
      <w:r>
        <w:rPr>
          <w:rFonts w:ascii="Aptos" w:hAnsi="Aptos" w:eastAsia="Aptos"/>
          <w:b w:val="0"/>
          <w:i w:val="0"/>
          <w:color w:val="0A1628"/>
          <w:sz w:val="20"/>
        </w:rPr>
        <w:t>Add or update:</w:t>
      </w:r>
    </w:p>
    <w:p>
      <w:r>
        <w:rPr>
          <w:rFonts w:ascii="Aptos" w:hAnsi="Aptos" w:eastAsia="Aptos"/>
          <w:b w:val="0"/>
          <w:i w:val="0"/>
          <w:color w:val="0A1628"/>
          <w:sz w:val="20"/>
        </w:rPr>
      </w:r>
      <w:r>
        <w:rPr>
          <w:rFonts w:ascii="Aptos" w:hAnsi="Aptos" w:eastAsia="Aptos"/>
          <w:b/>
          <w:i w:val="0"/>
          <w:color w:val="0A1628"/>
          <w:sz w:val="20"/>
        </w:rPr>
        <w:t>Network Fulfillment &amp; Partner Settlement</w:t>
      </w:r>
      <w:r>
        <w:rPr>
          <w:rFonts w:ascii="Aptos" w:hAnsi="Aptos" w:eastAsia="Aptos"/>
          <w:b w:val="0"/>
          <w:i w:val="0"/>
          <w:color w:val="0A1628"/>
          <w:sz w:val="20"/>
        </w:rPr>
      </w:r>
    </w:p>
    <w:p>
      <w:r>
        <w:rPr>
          <w:rFonts w:ascii="Aptos" w:hAnsi="Aptos" w:eastAsia="Aptos"/>
          <w:b w:val="0"/>
          <w:i w:val="0"/>
          <w:color w:val="0A1628"/>
          <w:sz w:val="20"/>
        </w:rPr>
        <w:t>Tabs:</w:t>
      </w:r>
    </w:p>
    <w:p>
      <w:pPr>
        <w:pStyle w:val="ListBullet"/>
        <w:ind w:left="0"/>
      </w:pPr>
      <w:r>
        <w:rPr>
          <w:rFonts w:ascii="Aptos" w:hAnsi="Aptos" w:eastAsia="Aptos"/>
          <w:b w:val="0"/>
          <w:i w:val="0"/>
          <w:color w:val="0A1628"/>
          <w:sz w:val="20"/>
        </w:rPr>
        <w:t>Overview</w:t>
      </w:r>
    </w:p>
    <w:p>
      <w:pPr>
        <w:pStyle w:val="ListBullet"/>
        <w:ind w:left="0"/>
      </w:pPr>
      <w:r>
        <w:rPr>
          <w:rFonts w:ascii="Aptos" w:hAnsi="Aptos" w:eastAsia="Aptos"/>
          <w:b w:val="0"/>
          <w:i w:val="0"/>
          <w:color w:val="0A1628"/>
          <w:sz w:val="20"/>
        </w:rPr>
        <w:t>Mandalay / DK Delivery</w:t>
      </w:r>
    </w:p>
    <w:p>
      <w:pPr>
        <w:pStyle w:val="ListBullet"/>
        <w:ind w:left="0"/>
      </w:pPr>
      <w:r>
        <w:rPr>
          <w:rFonts w:ascii="Aptos" w:hAnsi="Aptos" w:eastAsia="Aptos"/>
          <w:b w:val="0"/>
          <w:i w:val="0"/>
          <w:color w:val="0A1628"/>
          <w:sz w:val="20"/>
        </w:rPr>
        <w:t>Royal Express</w:t>
      </w:r>
    </w:p>
    <w:p>
      <w:pPr>
        <w:pStyle w:val="ListBullet"/>
        <w:ind w:left="0"/>
      </w:pPr>
      <w:r>
        <w:rPr>
          <w:rFonts w:ascii="Aptos" w:hAnsi="Aptos" w:eastAsia="Aptos"/>
          <w:b w:val="0"/>
          <w:i w:val="0"/>
          <w:color w:val="0A1628"/>
          <w:sz w:val="20"/>
        </w:rPr>
        <w:t>Highway Line-Haul</w:t>
      </w:r>
    </w:p>
    <w:p>
      <w:pPr>
        <w:pStyle w:val="ListBullet"/>
        <w:ind w:left="0"/>
      </w:pPr>
      <w:r>
        <w:rPr>
          <w:rFonts w:ascii="Aptos" w:hAnsi="Aptos" w:eastAsia="Aptos"/>
          <w:b w:val="0"/>
          <w:i w:val="0"/>
          <w:color w:val="0A1628"/>
          <w:sz w:val="20"/>
        </w:rPr>
        <w:t>COD Remittance</w:t>
      </w:r>
    </w:p>
    <w:p>
      <w:pPr>
        <w:pStyle w:val="ListBullet"/>
        <w:ind w:left="0"/>
      </w:pPr>
      <w:r>
        <w:rPr>
          <w:rFonts w:ascii="Aptos" w:hAnsi="Aptos" w:eastAsia="Aptos"/>
          <w:b w:val="0"/>
          <w:i w:val="0"/>
          <w:color w:val="0A1628"/>
          <w:sz w:val="20"/>
        </w:rPr>
        <w:t>Partner Settlement Batches</w:t>
      </w:r>
    </w:p>
    <w:p>
      <w:pPr>
        <w:pStyle w:val="ListBullet"/>
        <w:ind w:left="0"/>
      </w:pPr>
      <w:r>
        <w:rPr>
          <w:rFonts w:ascii="Aptos" w:hAnsi="Aptos" w:eastAsia="Aptos"/>
          <w:b w:val="0"/>
          <w:i w:val="0"/>
          <w:color w:val="0A1628"/>
          <w:sz w:val="20"/>
        </w:rPr>
        <w:t>Rebates and Credits</w:t>
      </w:r>
    </w:p>
    <w:p>
      <w:pPr>
        <w:pStyle w:val="ListBullet"/>
        <w:ind w:left="0"/>
      </w:pPr>
      <w:r>
        <w:rPr>
          <w:rFonts w:ascii="Aptos" w:hAnsi="Aptos" w:eastAsia="Aptos"/>
          <w:b w:val="0"/>
          <w:i w:val="0"/>
          <w:color w:val="0A1628"/>
          <w:sz w:val="20"/>
        </w:rPr>
        <w:t>Penalties and Disputes</w:t>
      </w:r>
    </w:p>
    <w:p>
      <w:pPr>
        <w:pStyle w:val="ListBullet"/>
        <w:ind w:left="0"/>
      </w:pPr>
      <w:r>
        <w:rPr>
          <w:rFonts w:ascii="Aptos" w:hAnsi="Aptos" w:eastAsia="Aptos"/>
          <w:b w:val="0"/>
          <w:i w:val="0"/>
          <w:color w:val="0A1628"/>
          <w:sz w:val="20"/>
        </w:rPr>
        <w:t>Rate Cards</w:t>
      </w:r>
    </w:p>
    <w:p>
      <w:pPr>
        <w:pStyle w:val="ListBullet"/>
        <w:ind w:left="0"/>
      </w:pPr>
      <w:r>
        <w:rPr>
          <w:rFonts w:ascii="Aptos" w:hAnsi="Aptos" w:eastAsia="Aptos"/>
          <w:b w:val="0"/>
          <w:i w:val="0"/>
          <w:color w:val="0A1628"/>
          <w:sz w:val="20"/>
        </w:rPr>
        <w:t>Audit Log</w:t>
      </w:r>
    </w:p>
    <w:p>
      <w:pPr>
        <w:pStyle w:val="Heading4"/>
        <w:keepNext/>
      </w:pPr>
      <w:r>
        <w:rPr>
          <w:rFonts w:ascii="Aptos" w:hAnsi="Aptos" w:eastAsia="Aptos"/>
          <w:b w:val="0"/>
          <w:i w:val="0"/>
          <w:color w:val="0A1628"/>
          <w:sz w:val="20"/>
        </w:rPr>
        <w:t>10.8.1 DK Table Columns</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Britium Way ID</w:t>
              <w:br/>
              <w:t>Mandalay Area</w:t>
              <w:br/>
              <w:t>Britium Delivery Revenue</w:t>
              <w:br/>
              <w:t>Highway Manifest</w:t>
              <w:br/>
              <w:t>Allocated Highway Cost</w:t>
              <w:br/>
              <w:t>DK Base Fee</w:t>
              <w:br/>
              <w:t>DK Weight/Size Surcharge</w:t>
              <w:br/>
              <w:t>Other DK Cost</w:t>
              <w:br/>
              <w:t>Total Fulfillment Cost</w:t>
              <w:br/>
              <w:t>Margin</w:t>
              <w:br/>
              <w:t>POD Status</w:t>
              <w:br/>
              <w:t>Settlement Status</w:t>
            </w:r>
          </w:p>
        </w:tc>
      </w:tr>
    </w:tbl>
    <w:p>
      <w:pPr>
        <w:spacing w:after="0"/>
      </w:pPr>
    </w:p>
    <w:p>
      <w:pPr>
        <w:pStyle w:val="Heading4"/>
        <w:keepNext/>
      </w:pPr>
      <w:r>
        <w:rPr>
          <w:rFonts w:ascii="Aptos" w:hAnsi="Aptos" w:eastAsia="Aptos"/>
          <w:b w:val="0"/>
          <w:i w:val="0"/>
          <w:color w:val="0A1628"/>
          <w:sz w:val="20"/>
        </w:rPr>
        <w:t>10.8.2 Royal Table Columns</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Britium Way ID</w:t>
              <w:br/>
              <w:t>Royal Tracking ID</w:t>
              <w:br/>
              <w:t>Destination</w:t>
              <w:br/>
              <w:t>Zone</w:t>
              <w:br/>
              <w:t>Normal Customer Rate</w:t>
              <w:br/>
              <w:t>Discounted Partner Rate</w:t>
              <w:br/>
              <w:t>Extra Kg</w:t>
              <w:br/>
              <w:t>Extra-Kg Charge</w:t>
              <w:br/>
              <w:t>COD Service Fee</w:t>
              <w:br/>
              <w:t>Other Partner Charges</w:t>
              <w:br/>
              <w:t>Immediate Discount Margin</w:t>
              <w:br/>
              <w:t>Estimated Rebate</w:t>
              <w:br/>
              <w:t>Confirmed Rebate</w:t>
              <w:br/>
              <w:t>COD Remittance Status</w:t>
              <w:br/>
              <w:t>Final Partner Payable</w:t>
              <w:br/>
              <w:t>Final Margin</w:t>
              <w:br/>
              <w:t>Settlement Status</w:t>
            </w:r>
          </w:p>
        </w:tc>
      </w:tr>
    </w:tbl>
    <w:p>
      <w:pPr>
        <w:spacing w:after="0"/>
      </w:pPr>
    </w:p>
    <w:p>
      <w:pPr>
        <w:pBdr>
          <w:bottom w:val="single" w:sz="5" w:space="3" w:color="B8C4D1"/>
        </w:pBdr>
        <w:spacing w:after="100"/>
      </w:pPr>
    </w:p>
    <w:p>
      <w:pPr>
        <w:pStyle w:val="Heading3"/>
        <w:keepNext/>
      </w:pPr>
      <w:r>
        <w:rPr>
          <w:rFonts w:ascii="Aptos" w:hAnsi="Aptos" w:eastAsia="Aptos"/>
          <w:b w:val="0"/>
          <w:i w:val="0"/>
          <w:color w:val="0A1628"/>
          <w:sz w:val="20"/>
        </w:rPr>
        <w:t>10.9 Accounting Treatment</w:t>
      </w:r>
    </w:p>
    <w:p>
      <w:pPr>
        <w:pStyle w:val="Heading4"/>
        <w:keepNext/>
      </w:pPr>
      <w:r>
        <w:rPr>
          <w:rFonts w:ascii="Aptos" w:hAnsi="Aptos" w:eastAsia="Aptos"/>
          <w:b w:val="0"/>
          <w:i w:val="0"/>
          <w:color w:val="0A1628"/>
          <w:sz w:val="20"/>
        </w:rPr>
        <w:t>10.9.1 Mandalay / DK</w:t>
      </w:r>
    </w:p>
    <w:p>
      <w:r>
        <w:rPr>
          <w:rFonts w:ascii="Aptos" w:hAnsi="Aptos" w:eastAsia="Aptos"/>
          <w:b w:val="0"/>
          <w:i w:val="0"/>
          <w:color w:val="0A1628"/>
          <w:sz w:val="20"/>
        </w:rPr>
        <w:t>Recognize separately:</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Delivery Revenue - Mandalay</w:t>
              <w:br/>
              <w:t>Highway Line-Haul Expense</w:t>
              <w:br/>
              <w:t>DK Last-Mile Delivery Expense</w:t>
              <w:br/>
              <w:t>DK Surcharge Expense</w:t>
              <w:br/>
              <w:t>Other Fulfillment Expense</w:t>
              <w:br/>
              <w:t>Partner Payable - DK</w:t>
            </w:r>
          </w:p>
        </w:tc>
      </w:tr>
    </w:tbl>
    <w:p>
      <w:pPr>
        <w:spacing w:after="0"/>
      </w:pPr>
    </w:p>
    <w:p>
      <w:pPr>
        <w:pStyle w:val="Heading4"/>
        <w:keepNext/>
      </w:pPr>
      <w:r>
        <w:rPr>
          <w:rFonts w:ascii="Aptos" w:hAnsi="Aptos" w:eastAsia="Aptos"/>
          <w:b w:val="0"/>
          <w:i w:val="0"/>
          <w:color w:val="0A1628"/>
          <w:sz w:val="20"/>
        </w:rPr>
        <w:t>10.9.2 Royal Express</w:t>
      </w:r>
    </w:p>
    <w:p>
      <w:r>
        <w:rPr>
          <w:rFonts w:ascii="Aptos" w:hAnsi="Aptos" w:eastAsia="Aptos"/>
          <w:b w:val="0"/>
          <w:i w:val="0"/>
          <w:color w:val="0A1628"/>
          <w:sz w:val="20"/>
        </w:rPr>
        <w:t>Recognize separately:</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Delivery Revenue - Royal Customer Rate</w:t>
              <w:br/>
              <w:t>Royal Base Delivery Expense - Discounted Rate</w:t>
              <w:br/>
              <w:t>Royal Extra-Weight Expense</w:t>
              <w:br/>
              <w:t>Royal COD Service Fee Expense</w:t>
              <w:br/>
              <w:t>Royal Other Charges</w:t>
              <w:br/>
              <w:t>Royal Rebate Receivable - only after confirmation policy permits</w:t>
              <w:br/>
              <w:t>Partner Payable - Royal Express</w:t>
              <w:br/>
              <w:t>COD Receivable from Royal Express</w:t>
            </w:r>
          </w:p>
        </w:tc>
      </w:tr>
    </w:tbl>
    <w:p>
      <w:pPr>
        <w:spacing w:after="0"/>
      </w:pPr>
    </w:p>
    <w:p>
      <w:r>
        <w:rPr>
          <w:rFonts w:ascii="Aptos" w:hAnsi="Aptos" w:eastAsia="Aptos"/>
          <w:b w:val="0"/>
          <w:i w:val="0"/>
          <w:color w:val="0A1628"/>
          <w:sz w:val="20"/>
        </w:rPr>
        <w:t>The 15% base-rate difference is gross margin created by discounted procurement. It is not a separate cash receivable.</w:t>
      </w:r>
    </w:p>
    <w:p>
      <w:pPr>
        <w:pBdr>
          <w:bottom w:val="single" w:sz="5" w:space="3" w:color="B8C4D1"/>
        </w:pBdr>
        <w:spacing w:after="100"/>
      </w:pPr>
    </w:p>
    <w:p>
      <w:pPr>
        <w:pStyle w:val="Heading3"/>
        <w:keepNext/>
      </w:pPr>
      <w:r>
        <w:rPr>
          <w:rFonts w:ascii="Aptos" w:hAnsi="Aptos" w:eastAsia="Aptos"/>
          <w:b w:val="0"/>
          <w:i w:val="0"/>
          <w:color w:val="0A1628"/>
          <w:sz w:val="20"/>
        </w:rPr>
        <w:t>10.10 Calculation Pseudocode</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type ProviderCode = 'DK_DELIVERY' | 'ROYAL_EXPRESS';</w:t>
              <w:br/>
              <w:br/>
              <w:t>interface MandalayCostInput {</w:t>
              <w:br/>
              <w:t xml:space="preserve">  britiumRecognizedDeliveryRevenueMmk: number;</w:t>
              <w:br/>
              <w:t xml:space="preserve">  allocatedHighwayCostMmk: number;</w:t>
              <w:br/>
              <w:t xml:space="preserve">  dkBaseFeeMmk: number;</w:t>
              <w:br/>
              <w:t xml:space="preserve">  dkWeightSizeSurchargeMmk: number;</w:t>
              <w:br/>
              <w:t xml:space="preserve">  dkOtherChargesMmk: number;</w:t>
              <w:br/>
              <w:t xml:space="preserve">  dkCreditsMmk: number;</w:t>
              <w:br/>
              <w:t xml:space="preserve">  dkPenaltiesMmk: number;</w:t>
              <w:br/>
              <w:t>}</w:t>
              <w:br/>
              <w:br/>
              <w:t>function calculateMandalayMargin(input: MandalayCostInput) {</w:t>
              <w:br/>
              <w:t xml:space="preserve">  const totalFulfillmentCostMmk =</w:t>
              <w:br/>
              <w:t xml:space="preserve">    input.allocatedHighwayCostMmk +</w:t>
              <w:br/>
              <w:t xml:space="preserve">    input.dkBaseFeeMmk +</w:t>
              <w:br/>
              <w:t xml:space="preserve">    input.dkWeightSizeSurchargeMmk +</w:t>
              <w:br/>
              <w:t xml:space="preserve">    input.dkOtherChargesMmk -</w:t>
              <w:br/>
              <w:t xml:space="preserve">    input.dkCreditsMmk -</w:t>
              <w:br/>
              <w:t xml:space="preserve">    input.dkPenaltiesMmk;</w:t>
              <w:br/>
              <w:br/>
              <w:t xml:space="preserve">  return {</w:t>
              <w:br/>
              <w:t xml:space="preserve">    totalFulfillmentCostMmk,</w:t>
              <w:br/>
              <w:t xml:space="preserve">    marginMmk:</w:t>
              <w:br/>
              <w:t xml:space="preserve">      input.britiumRecognizedDeliveryRevenueMmk -</w:t>
              <w:br/>
              <w:t xml:space="preserve">      totalFulfillmentCostMmk,</w:t>
              <w:br/>
              <w:t xml:space="preserve">  };</w:t>
              <w:br/>
              <w:t>}</w:t>
            </w:r>
          </w:p>
        </w:tc>
      </w:tr>
    </w:tbl>
    <w:p>
      <w:pPr>
        <w:spacing w:after="0"/>
      </w:pP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interface RoyalCostInput {</w:t>
              <w:br/>
              <w:t xml:space="preserve">  actualWeightKg: number;</w:t>
              <w:br/>
              <w:t xml:space="preserve">  normalBaseMmk: number;</w:t>
              <w:br/>
              <w:t xml:space="preserve">  discountedBaseMmk: number;</w:t>
              <w:br/>
              <w:t xml:space="preserve">  customerNextKgMmk: number;</w:t>
              <w:br/>
              <w:t xml:space="preserve">  partnerNextKgMmk: number;</w:t>
              <w:br/>
              <w:t xml:space="preserve">  productAmountMmk: number;</w:t>
              <w:br/>
              <w:t xml:space="preserve">  customerOtherSurchargesMmk: number;</w:t>
              <w:br/>
              <w:t xml:space="preserve">  partnerOtherChargesMmk: number;</w:t>
              <w:br/>
              <w:t xml:space="preserve">  handoverTransportCostMmk: number;</w:t>
              <w:br/>
              <w:t xml:space="preserve">  confirmedRebateMmk: number;</w:t>
              <w:br/>
              <w:t>}</w:t>
              <w:br/>
              <w:br/>
              <w:t>function calculateRoyalSettlement(input: RoyalCostInput) {</w:t>
              <w:br/>
              <w:t xml:space="preserve">  const extraKgUnits = Math.ceil(</w:t>
              <w:br/>
              <w:t xml:space="preserve">    Math.max(0, input.actualWeightKg - 3),</w:t>
              <w:br/>
              <w:t xml:space="preserve">  );</w:t>
              <w:br/>
              <w:br/>
              <w:t xml:space="preserve">  const customerExtraMmk =</w:t>
              <w:br/>
              <w:t xml:space="preserve">    extraKgUnits * input.customerNextKgMmk;</w:t>
              <w:br/>
              <w:br/>
              <w:t xml:space="preserve">  const partnerExtraMmk =</w:t>
              <w:br/>
              <w:t xml:space="preserve">    extraKgUnits * input.partnerNextKgMmk;</w:t>
              <w:br/>
              <w:br/>
              <w:t xml:space="preserve">  const codFeeUnrounded =</w:t>
              <w:br/>
              <w:t xml:space="preserve">    input.productAmountMmk &lt;= 300_000</w:t>
              <w:br/>
              <w:t xml:space="preserve">      ? 195</w:t>
              <w:br/>
              <w:t xml:space="preserve">      : input.productAmountMmk * 0.002;</w:t>
              <w:br/>
              <w:br/>
              <w:t xml:space="preserve">  // Apply the approved contract rounding policy here.</w:t>
              <w:br/>
              <w:t xml:space="preserve">  const royalCodFeeMmk = codFeeUnrounded;</w:t>
              <w:br/>
              <w:br/>
              <w:t xml:space="preserve">  const customerDeliveryChargeMmk =</w:t>
              <w:br/>
              <w:t xml:space="preserve">    input.normalBaseMmk +</w:t>
              <w:br/>
              <w:t xml:space="preserve">    customerExtraMmk +</w:t>
              <w:br/>
              <w:t xml:space="preserve">    input.customerOtherSurchargesMmk;</w:t>
              <w:br/>
              <w:br/>
              <w:t xml:space="preserve">  const partnerPayableBeforeRebateMmk =</w:t>
              <w:br/>
              <w:t xml:space="preserve">    input.discountedBaseMmk +</w:t>
              <w:br/>
              <w:t xml:space="preserve">    partnerExtraMmk +</w:t>
              <w:br/>
              <w:t xml:space="preserve">    royalCodFeeMmk +</w:t>
              <w:br/>
              <w:t xml:space="preserve">    input.partnerOtherChargesMmk;</w:t>
              <w:br/>
              <w:br/>
              <w:t xml:space="preserve">  const immediateDiscountMarginMmk =</w:t>
              <w:br/>
              <w:t xml:space="preserve">    input.normalBaseMmk - input.discountedBaseMmk;</w:t>
              <w:br/>
              <w:br/>
              <w:t xml:space="preserve">  const finalPartnerCostMmk =</w:t>
              <w:br/>
              <w:t xml:space="preserve">    partnerPayableBeforeRebateMmk -</w:t>
              <w:br/>
              <w:t xml:space="preserve">    input.confirmedRebateMmk;</w:t>
              <w:br/>
              <w:br/>
              <w:t xml:space="preserve">  const finalMarginMmk =</w:t>
              <w:br/>
              <w:t xml:space="preserve">    customerDeliveryChargeMmk -</w:t>
              <w:br/>
              <w:t xml:space="preserve">    finalPartnerCostMmk -</w:t>
              <w:br/>
              <w:t xml:space="preserve">    input.handoverTransportCostMmk;</w:t>
              <w:br/>
              <w:br/>
              <w:t xml:space="preserve">  return {</w:t>
              <w:br/>
              <w:t xml:space="preserve">    extraKgUnits,</w:t>
              <w:br/>
              <w:t xml:space="preserve">    customerExtraMmk,</w:t>
              <w:br/>
              <w:t xml:space="preserve">    partnerExtraMmk,</w:t>
              <w:br/>
              <w:t xml:space="preserve">    royalCodFeeMmk,</w:t>
              <w:br/>
              <w:t xml:space="preserve">    customerDeliveryChargeMmk,</w:t>
              <w:br/>
              <w:t xml:space="preserve">    partnerPayableBeforeRebateMmk,</w:t>
              <w:br/>
              <w:t xml:space="preserve">    immediateDiscountMarginMmk,</w:t>
              <w:br/>
              <w:t xml:space="preserve">    finalPartnerCostMmk,</w:t>
              <w:br/>
              <w:t xml:space="preserve">    finalMarginMmk,</w:t>
              <w:br/>
              <w:t xml:space="preserve">  };</w:t>
              <w:br/>
              <w:t>}</w:t>
            </w:r>
          </w:p>
        </w:tc>
      </w:tr>
    </w:tbl>
    <w:p>
      <w:pPr>
        <w:spacing w:after="0"/>
      </w:pPr>
    </w:p>
    <w:p>
      <w:pPr>
        <w:pBdr>
          <w:bottom w:val="single" w:sz="5" w:space="3" w:color="B8C4D1"/>
        </w:pBdr>
        <w:spacing w:after="100"/>
      </w:pPr>
    </w:p>
    <w:p>
      <w:pPr>
        <w:pStyle w:val="Heading3"/>
        <w:keepNext/>
      </w:pPr>
      <w:r>
        <w:rPr>
          <w:rFonts w:ascii="Aptos" w:hAnsi="Aptos" w:eastAsia="Aptos"/>
          <w:b w:val="0"/>
          <w:i w:val="0"/>
          <w:color w:val="0A1628"/>
          <w:sz w:val="20"/>
        </w:rPr>
        <w:t>10.11 Acceptance Tests</w:t>
      </w:r>
    </w:p>
    <w:p>
      <w:pPr>
        <w:pStyle w:val="Heading4"/>
        <w:keepNext/>
      </w:pPr>
      <w:r>
        <w:rPr>
          <w:rFonts w:ascii="Aptos" w:hAnsi="Aptos" w:eastAsia="Aptos"/>
          <w:b w:val="0"/>
          <w:i w:val="0"/>
          <w:color w:val="0A1628"/>
          <w:sz w:val="20"/>
        </w:rPr>
        <w:t>Test 1 - Mandalay Inner DK Area</w:t>
      </w:r>
    </w:p>
    <w:p>
      <w:r>
        <w:rPr>
          <w:rFonts w:ascii="Aptos" w:hAnsi="Aptos" w:eastAsia="Aptos"/>
          <w:b w:val="0"/>
          <w:i w:val="0"/>
          <w:color w:val="0A1628"/>
          <w:sz w:val="20"/>
        </w:rPr>
        <w:t>Inputs:</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Britium recognized delivery revenue = 6,000</w:t>
              <w:br/>
              <w:t>DK area band = INNER</w:t>
              <w:br/>
              <w:t>DK base = 2,000</w:t>
              <w:br/>
              <w:t>Allocated highway cost = 1,200 test value</w:t>
              <w:br/>
              <w:t>DK surcharge = 0</w:t>
            </w:r>
          </w:p>
        </w:tc>
      </w:tr>
    </w:tbl>
    <w:p>
      <w:pPr>
        <w:spacing w:after="0"/>
      </w:pPr>
    </w:p>
    <w:p>
      <w:r>
        <w:rPr>
          <w:rFonts w:ascii="Aptos" w:hAnsi="Aptos" w:eastAsia="Aptos"/>
          <w:b w:val="0"/>
          <w:i w:val="0"/>
          <w:color w:val="0A1628"/>
          <w:sz w:val="20"/>
        </w:rPr>
        <w:t>Expected:</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Total fulfillment cost = 3,200</w:t>
              <w:br/>
              <w:t>Mandalay margin = 2,800</w:t>
            </w:r>
          </w:p>
        </w:tc>
      </w:tr>
    </w:tbl>
    <w:p>
      <w:pPr>
        <w:spacing w:after="0"/>
      </w:pPr>
    </w:p>
    <w:p>
      <w:r>
        <w:rPr>
          <w:rFonts w:ascii="Aptos" w:hAnsi="Aptos" w:eastAsia="Aptos"/>
          <w:b w:val="0"/>
          <w:i w:val="0"/>
          <w:color w:val="0A1628"/>
          <w:sz w:val="20"/>
        </w:rPr>
        <w:t>The 1,200 amount is a test fixture, not a contractual highway rate.</w:t>
      </w:r>
    </w:p>
    <w:p>
      <w:pPr>
        <w:pStyle w:val="Heading4"/>
        <w:keepNext/>
      </w:pPr>
      <w:r>
        <w:rPr>
          <w:rFonts w:ascii="Aptos" w:hAnsi="Aptos" w:eastAsia="Aptos"/>
          <w:b w:val="0"/>
          <w:i w:val="0"/>
          <w:color w:val="0A1628"/>
          <w:sz w:val="20"/>
        </w:rPr>
        <w:t>Test 2 - Mandalay Missing Highway Cost</w:t>
      </w:r>
    </w:p>
    <w:p>
      <w:r>
        <w:rPr>
          <w:rFonts w:ascii="Aptos" w:hAnsi="Aptos" w:eastAsia="Aptos"/>
          <w:b w:val="0"/>
          <w:i w:val="0"/>
          <w:color w:val="0A1628"/>
          <w:sz w:val="20"/>
        </w:rPr>
        <w:t>When the highway manifest has no approved cost allocation:</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exception = HIGHWAY_COST_NOT_ALLOCATED</w:t>
              <w:br/>
              <w:t>settlement_eligible = false</w:t>
            </w:r>
          </w:p>
        </w:tc>
      </w:tr>
    </w:tbl>
    <w:p>
      <w:pPr>
        <w:spacing w:after="0"/>
      </w:pPr>
    </w:p>
    <w:p>
      <w:pPr>
        <w:pStyle w:val="Heading4"/>
        <w:keepNext/>
      </w:pPr>
      <w:r>
        <w:rPr>
          <w:rFonts w:ascii="Aptos" w:hAnsi="Aptos" w:eastAsia="Aptos"/>
          <w:b w:val="0"/>
          <w:i w:val="0"/>
          <w:color w:val="0A1628"/>
          <w:sz w:val="20"/>
        </w:rPr>
        <w:t>Test 3 - DK Unresolved Area</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exception = DK_AREA_RATE_NOT_FOUND</w:t>
              <w:br/>
              <w:t>partner_payable = null</w:t>
              <w:br/>
              <w:t>settlement_eligible = false</w:t>
            </w:r>
          </w:p>
        </w:tc>
      </w:tr>
    </w:tbl>
    <w:p>
      <w:pPr>
        <w:spacing w:after="0"/>
      </w:pPr>
    </w:p>
    <w:p>
      <w:pPr>
        <w:pStyle w:val="Heading4"/>
        <w:keepNext/>
      </w:pPr>
      <w:r>
        <w:rPr>
          <w:rFonts w:ascii="Aptos" w:hAnsi="Aptos" w:eastAsia="Aptos"/>
          <w:b w:val="0"/>
          <w:i w:val="0"/>
          <w:color w:val="0A1628"/>
          <w:sz w:val="20"/>
        </w:rPr>
        <w:t>Test 4 - Royal Hinthada Base Parcel</w:t>
      </w:r>
    </w:p>
    <w:p>
      <w:r>
        <w:rPr>
          <w:rFonts w:ascii="Aptos" w:hAnsi="Aptos" w:eastAsia="Aptos"/>
          <w:b w:val="0"/>
          <w:i w:val="0"/>
          <w:color w:val="0A1628"/>
          <w:sz w:val="20"/>
        </w:rPr>
        <w:t>From the quotation:</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Normal base = 4,500</w:t>
              <w:br/>
              <w:t>Discounted base = 3,825</w:t>
              <w:br/>
              <w:t>Weight &lt;= 3 kg</w:t>
              <w:br/>
              <w:t>Product amount &lt;= 300,000</w:t>
              <w:br/>
              <w:t>Royal COD fee = 195</w:t>
            </w:r>
          </w:p>
        </w:tc>
      </w:tr>
    </w:tbl>
    <w:p>
      <w:pPr>
        <w:spacing w:after="0"/>
      </w:pPr>
    </w:p>
    <w:p>
      <w:r>
        <w:rPr>
          <w:rFonts w:ascii="Aptos" w:hAnsi="Aptos" w:eastAsia="Aptos"/>
          <w:b w:val="0"/>
          <w:i w:val="0"/>
          <w:color w:val="0A1628"/>
          <w:sz w:val="20"/>
        </w:rPr>
        <w:t>When Britium absorbs the COD fee and there are no other costs:</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Customer delivery charge = 4,500</w:t>
              <w:br/>
              <w:t>Partner payable before rebate = 4,020</w:t>
              <w:br/>
              <w:t>Immediate base discount margin = 675</w:t>
              <w:br/>
              <w:t>Margin after COD fee = 480</w:t>
            </w:r>
          </w:p>
        </w:tc>
      </w:tr>
    </w:tbl>
    <w:p>
      <w:pPr>
        <w:spacing w:after="0"/>
      </w:pPr>
    </w:p>
    <w:p>
      <w:pPr>
        <w:pStyle w:val="Heading4"/>
        <w:keepNext/>
      </w:pPr>
      <w:r>
        <w:rPr>
          <w:rFonts w:ascii="Aptos" w:hAnsi="Aptos" w:eastAsia="Aptos"/>
          <w:b w:val="0"/>
          <w:i w:val="0"/>
          <w:color w:val="0A1628"/>
          <w:sz w:val="20"/>
        </w:rPr>
        <w:t>Test 5 - Royal 4 kg Parcel</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Normal base = 4,500</w:t>
              <w:br/>
              <w:t>Discounted base = 3,825</w:t>
              <w:br/>
              <w:t>Next 1 kg customer rate = 1,700</w:t>
              <w:br/>
              <w:t>Next 1 kg partner rate = 1,700</w:t>
              <w:br/>
              <w:t>Actual weight = 4 kg</w:t>
              <w:br/>
              <w:t>Product amount &lt;= 300,000</w:t>
            </w:r>
          </w:p>
        </w:tc>
      </w:tr>
    </w:tbl>
    <w:p>
      <w:pPr>
        <w:spacing w:after="0"/>
      </w:pPr>
    </w:p>
    <w:p>
      <w:r>
        <w:rPr>
          <w:rFonts w:ascii="Aptos" w:hAnsi="Aptos" w:eastAsia="Aptos"/>
          <w:b w:val="0"/>
          <w:i w:val="0"/>
          <w:color w:val="0A1628"/>
          <w:sz w:val="20"/>
        </w:rPr>
        <w:t>Expected:</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Extra kg units = 1</w:t>
              <w:br/>
              <w:t>Customer delivery charge before other surcharge = 6,200</w:t>
              <w:br/>
              <w:t>Partner payable before rebate = 5,720</w:t>
              <w:br/>
              <w:t>Final margin before transport/rebate = 480</w:t>
            </w:r>
          </w:p>
        </w:tc>
      </w:tr>
    </w:tbl>
    <w:p>
      <w:pPr>
        <w:spacing w:after="0"/>
      </w:pPr>
    </w:p>
    <w:p>
      <w:pPr>
        <w:pStyle w:val="Heading4"/>
        <w:keepNext/>
      </w:pPr>
      <w:r>
        <w:rPr>
          <w:rFonts w:ascii="Aptos" w:hAnsi="Aptos" w:eastAsia="Aptos"/>
          <w:b w:val="0"/>
          <w:i w:val="0"/>
          <w:color w:val="0A1628"/>
          <w:sz w:val="20"/>
        </w:rPr>
        <w:t>Test 6 - Royal COD Above 300,000</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Product amount = 500,000</w:t>
              <w:br/>
              <w:t>Royal COD fee = 500,000 x 0.2% = 1,000</w:t>
            </w:r>
          </w:p>
        </w:tc>
      </w:tr>
    </w:tbl>
    <w:p>
      <w:pPr>
        <w:spacing w:after="0"/>
      </w:pPr>
    </w:p>
    <w:p>
      <w:pPr>
        <w:pStyle w:val="Heading4"/>
        <w:keepNext/>
      </w:pPr>
      <w:r>
        <w:rPr>
          <w:rFonts w:ascii="Aptos" w:hAnsi="Aptos" w:eastAsia="Aptos"/>
          <w:b w:val="0"/>
          <w:i w:val="0"/>
          <w:color w:val="0A1628"/>
          <w:sz w:val="20"/>
        </w:rPr>
        <w:t>Test 7 - Royal Monthly Rebate Tier</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Completed Royal ways = 2,100</w:t>
              <w:br/>
              <w:t>Rebate tier = 10%</w:t>
            </w:r>
          </w:p>
        </w:tc>
      </w:tr>
    </w:tbl>
    <w:p>
      <w:pPr>
        <w:spacing w:after="0"/>
      </w:pPr>
    </w:p>
    <w:p>
      <w:r>
        <w:rPr>
          <w:rFonts w:ascii="Aptos" w:hAnsi="Aptos" w:eastAsia="Aptos"/>
          <w:b w:val="0"/>
          <w:i w:val="0"/>
          <w:color w:val="0A1628"/>
          <w:sz w:val="20"/>
        </w:rPr>
        <w:t>If the rebate basis is not configured:</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rebate_status = REQUIRES_CONTRACT_CONFIRMATION</w:t>
              <w:br/>
              <w:t>confirmed_rebate = null</w:t>
            </w:r>
          </w:p>
        </w:tc>
      </w:tr>
    </w:tbl>
    <w:p>
      <w:pPr>
        <w:spacing w:after="0"/>
      </w:pPr>
    </w:p>
    <w:p>
      <w:pPr>
        <w:pStyle w:val="Heading4"/>
        <w:keepNext/>
      </w:pPr>
      <w:r>
        <w:rPr>
          <w:rFonts w:ascii="Aptos" w:hAnsi="Aptos" w:eastAsia="Aptos"/>
          <w:b w:val="0"/>
          <w:i w:val="0"/>
          <w:color w:val="0A1628"/>
          <w:sz w:val="20"/>
        </w:rPr>
        <w:t>Test 8 - Routing Exclusion</w:t>
      </w:r>
    </w:p>
    <w:p>
      <w:r>
        <w:rPr>
          <w:rFonts w:ascii="Aptos" w:hAnsi="Aptos" w:eastAsia="Aptos"/>
          <w:b w:val="0"/>
          <w:i w:val="0"/>
          <w:color w:val="0A1628"/>
          <w:sz w:val="20"/>
        </w:rPr>
        <w:t>A Mandalay parcel must route to DK Delivery even though the Royal quotation contains a Mandalay row.</w:t>
      </w:r>
    </w:p>
    <w:p>
      <w:r>
        <w:rPr>
          <w:rFonts w:ascii="Aptos" w:hAnsi="Aptos" w:eastAsia="Aptos"/>
          <w:b w:val="0"/>
          <w:i w:val="0"/>
          <w:color w:val="0A1628"/>
          <w:sz w:val="20"/>
        </w:rPr>
        <w:t>Expected:</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provider = DK_DELIVERY</w:t>
              <w:br/>
              <w:t>routing_rule = MDY_PRIMARY_DK</w:t>
            </w:r>
          </w:p>
        </w:tc>
      </w:tr>
    </w:tbl>
    <w:p>
      <w:pPr>
        <w:spacing w:after="0"/>
      </w:pPr>
    </w:p>
    <w:p>
      <w:pPr>
        <w:pBdr>
          <w:bottom w:val="single" w:sz="5" w:space="3" w:color="B8C4D1"/>
        </w:pBdr>
        <w:spacing w:after="100"/>
      </w:pPr>
    </w:p>
    <w:p>
      <w:pPr>
        <w:pStyle w:val="Heading3"/>
        <w:keepNext/>
      </w:pPr>
      <w:r>
        <w:rPr>
          <w:rFonts w:ascii="Aptos" w:hAnsi="Aptos" w:eastAsia="Aptos"/>
          <w:b w:val="0"/>
          <w:i w:val="0"/>
          <w:color w:val="0A1628"/>
          <w:sz w:val="20"/>
        </w:rPr>
        <w:t>10.12 Mandatory Business Confirmations Before Production Activation</w:t>
      </w:r>
    </w:p>
    <w:p>
      <w:pPr>
        <w:pStyle w:val="ListNumber"/>
        <w:ind w:left="0"/>
      </w:pPr>
      <w:r>
        <w:rPr>
          <w:rFonts w:ascii="Aptos" w:hAnsi="Aptos" w:eastAsia="Aptos"/>
          <w:b w:val="0"/>
          <w:i w:val="0"/>
          <w:color w:val="0A1628"/>
          <w:sz w:val="20"/>
        </w:rPr>
        <w:t>Exact DK areas assigned to 2,000, 2,500 and 3,000 MMK.</w:t>
      </w:r>
    </w:p>
    <w:p>
      <w:pPr>
        <w:pStyle w:val="ListNumber"/>
        <w:ind w:left="0"/>
      </w:pPr>
      <w:r>
        <w:rPr>
          <w:rFonts w:ascii="Aptos" w:hAnsi="Aptos" w:eastAsia="Aptos"/>
          <w:b w:val="0"/>
          <w:i w:val="0"/>
          <w:color w:val="0A1628"/>
          <w:sz w:val="20"/>
        </w:rPr>
        <w:t>Exact condition for DK 500 versus 1,000 MMK surcharge.</w:t>
      </w:r>
    </w:p>
    <w:p>
      <w:pPr>
        <w:pStyle w:val="ListNumber"/>
        <w:ind w:left="0"/>
      </w:pPr>
      <w:r>
        <w:rPr>
          <w:rFonts w:ascii="Aptos" w:hAnsi="Aptos" w:eastAsia="Aptos"/>
          <w:b w:val="0"/>
          <w:i w:val="0"/>
          <w:color w:val="0A1628"/>
          <w:sz w:val="20"/>
        </w:rPr>
        <w:t>Highway cost allocation method and approval authority.</w:t>
      </w:r>
    </w:p>
    <w:p>
      <w:pPr>
        <w:pStyle w:val="ListNumber"/>
        <w:ind w:left="0"/>
      </w:pPr>
      <w:r>
        <w:rPr>
          <w:rFonts w:ascii="Aptos" w:hAnsi="Aptos" w:eastAsia="Aptos"/>
          <w:b w:val="0"/>
          <w:i w:val="0"/>
          <w:color w:val="0A1628"/>
          <w:sz w:val="20"/>
        </w:rPr>
        <w:t>Whether Royal's 15% discount applies only to the first 3 kg or also to extra kilograms.</w:t>
      </w:r>
    </w:p>
    <w:p>
      <w:pPr>
        <w:pStyle w:val="ListNumber"/>
        <w:ind w:left="0"/>
      </w:pPr>
      <w:r>
        <w:rPr>
          <w:rFonts w:ascii="Aptos" w:hAnsi="Aptos" w:eastAsia="Aptos"/>
          <w:b w:val="0"/>
          <w:i w:val="0"/>
          <w:color w:val="0A1628"/>
          <w:sz w:val="20"/>
        </w:rPr>
        <w:t>Royal monthly rebate calculation base.</w:t>
      </w:r>
    </w:p>
    <w:p>
      <w:pPr>
        <w:pStyle w:val="ListNumber"/>
        <w:ind w:left="0"/>
      </w:pPr>
      <w:r>
        <w:rPr>
          <w:rFonts w:ascii="Aptos" w:hAnsi="Aptos" w:eastAsia="Aptos"/>
          <w:b w:val="0"/>
          <w:i w:val="0"/>
          <w:color w:val="0A1628"/>
          <w:sz w:val="20"/>
        </w:rPr>
        <w:t>Whether the monthly rebate is cumulative with the 15% discounted rate.</w:t>
      </w:r>
    </w:p>
    <w:p>
      <w:pPr>
        <w:pStyle w:val="ListNumber"/>
        <w:ind w:left="0"/>
      </w:pPr>
      <w:r>
        <w:rPr>
          <w:rFonts w:ascii="Aptos" w:hAnsi="Aptos" w:eastAsia="Aptos"/>
          <w:b w:val="0"/>
          <w:i w:val="0"/>
          <w:color w:val="0A1628"/>
          <w:sz w:val="20"/>
        </w:rPr>
        <w:t>Whether Royal COD service fee is absorbed by Britium, charged to merchant or charged to receiver.</w:t>
      </w:r>
    </w:p>
    <w:p>
      <w:pPr>
        <w:pStyle w:val="ListNumber"/>
        <w:ind w:left="0"/>
      </w:pPr>
      <w:r>
        <w:rPr>
          <w:rFonts w:ascii="Aptos" w:hAnsi="Aptos" w:eastAsia="Aptos"/>
          <w:b w:val="0"/>
          <w:i w:val="0"/>
          <w:color w:val="0A1628"/>
          <w:sz w:val="20"/>
        </w:rPr>
        <w:t>Royal percentage-fee rounding rule.</w:t>
      </w:r>
    </w:p>
    <w:p>
      <w:pPr>
        <w:pStyle w:val="ListNumber"/>
        <w:ind w:left="0"/>
      </w:pPr>
      <w:r>
        <w:rPr>
          <w:rFonts w:ascii="Aptos" w:hAnsi="Aptos" w:eastAsia="Aptos"/>
          <w:b w:val="0"/>
          <w:i w:val="0"/>
          <w:color w:val="0A1628"/>
          <w:sz w:val="20"/>
        </w:rPr>
        <w:t>Approved production activation date for the quotation.</w:t>
      </w:r>
    </w:p>
    <w:p>
      <w:pPr>
        <w:pStyle w:val="ListNumber"/>
        <w:ind w:left="0"/>
      </w:pPr>
      <w:r>
        <w:rPr>
          <w:rFonts w:ascii="Aptos" w:hAnsi="Aptos" w:eastAsia="Aptos"/>
          <w:b w:val="0"/>
          <w:i w:val="0"/>
          <w:color w:val="0A1628"/>
          <w:sz w:val="20"/>
        </w:rPr>
        <w:t>Return, redelivery and failed-delivery charges for both partners.</w:t>
      </w:r>
    </w:p>
    <w:p>
      <w:pPr>
        <w:pStyle w:val="ListNumber"/>
        <w:ind w:left="0"/>
      </w:pPr>
      <w:r>
        <w:rPr>
          <w:rFonts w:ascii="Aptos" w:hAnsi="Aptos" w:eastAsia="Aptos"/>
          <w:b w:val="0"/>
          <w:i w:val="0"/>
          <w:color w:val="0A1628"/>
          <w:sz w:val="20"/>
        </w:rPr>
        <w:t>Taxes and withholding treatment.</w:t>
      </w:r>
    </w:p>
    <w:p>
      <w:pPr>
        <w:pStyle w:val="ListNumber"/>
        <w:ind w:left="0"/>
      </w:pPr>
      <w:r>
        <w:rPr>
          <w:rFonts w:ascii="Aptos" w:hAnsi="Aptos" w:eastAsia="Aptos"/>
          <w:b w:val="0"/>
          <w:i w:val="0"/>
          <w:color w:val="0A1628"/>
          <w:sz w:val="20"/>
        </w:rPr>
        <w:t>Required invoice and credit-note documents.</w:t>
      </w:r>
    </w:p>
    <w:p>
      <w:r>
        <w:rPr>
          <w:rFonts w:ascii="Aptos" w:hAnsi="Aptos" w:eastAsia="Aptos"/>
          <w:b w:val="0"/>
          <w:i w:val="0"/>
          <w:color w:val="0A1628"/>
          <w:sz w:val="20"/>
        </w:rPr>
        <w:t xml:space="preserve">Until these points are approved, affected calculations must show </w:t>
      </w:r>
      <w:r>
        <w:rPr>
          <w:rFonts w:ascii="Consolas" w:hAnsi="Consolas" w:eastAsia="Consolas"/>
          <w:b w:val="0"/>
          <w:i w:val="0"/>
          <w:color w:val="0A1628"/>
          <w:sz w:val="17"/>
          <w:shd w:fill="EEF2F6"/>
        </w:rPr>
        <w:t>REVIEW</w:t>
      </w:r>
      <w:r>
        <w:rPr>
          <w:rFonts w:ascii="Aptos" w:hAnsi="Aptos" w:eastAsia="Aptos"/>
          <w:b w:val="0"/>
          <w:i w:val="0"/>
          <w:color w:val="0A1628"/>
          <w:sz w:val="20"/>
        </w:rPr>
        <w:t xml:space="preserve"> or </w:t>
      </w:r>
      <w:r>
        <w:rPr>
          <w:rFonts w:ascii="Consolas" w:hAnsi="Consolas" w:eastAsia="Consolas"/>
          <w:b w:val="0"/>
          <w:i w:val="0"/>
          <w:color w:val="0A1628"/>
          <w:sz w:val="17"/>
          <w:shd w:fill="EEF2F6"/>
        </w:rPr>
        <w:t>RATE_CONFIGURATION_INCOMPLETE</w:t>
      </w:r>
      <w:r>
        <w:rPr>
          <w:rFonts w:ascii="Aptos" w:hAnsi="Aptos" w:eastAsia="Aptos"/>
          <w:b w:val="0"/>
          <w:i w:val="0"/>
          <w:color w:val="0A1628"/>
          <w:sz w:val="20"/>
        </w:rPr>
        <w:t xml:space="preserve"> rather than silently applying assumptions.</w:t>
      </w:r>
    </w:p>
    <w:p>
      <w:pPr>
        <w:pBdr>
          <w:bottom w:val="single" w:sz="5" w:space="3" w:color="B8C4D1"/>
        </w:pBdr>
        <w:spacing w:after="100"/>
      </w:pPr>
    </w:p>
    <w:p>
      <w:pPr>
        <w:pStyle w:val="Heading3"/>
        <w:keepNext/>
      </w:pPr>
      <w:r>
        <w:rPr>
          <w:rFonts w:ascii="Aptos" w:hAnsi="Aptos" w:eastAsia="Aptos"/>
          <w:b w:val="0"/>
          <w:i w:val="0"/>
          <w:color w:val="0A1628"/>
          <w:sz w:val="20"/>
        </w:rPr>
        <w:t>10.13 Definition of Done</w:t>
      </w:r>
    </w:p>
    <w:p>
      <w:r>
        <w:rPr>
          <w:rFonts w:ascii="Aptos" w:hAnsi="Aptos" w:eastAsia="Aptos"/>
          <w:b w:val="0"/>
          <w:i w:val="0"/>
          <w:color w:val="0A1628"/>
          <w:sz w:val="20"/>
        </w:rPr>
        <w:t>The module is complete when:</w:t>
      </w:r>
    </w:p>
    <w:p>
      <w:pPr>
        <w:pStyle w:val="ListBullet"/>
        <w:ind w:left="0"/>
      </w:pPr>
      <w:r>
        <w:rPr>
          <w:rFonts w:ascii="Aptos" w:hAnsi="Aptos" w:eastAsia="Aptos"/>
          <w:b w:val="0"/>
          <w:i w:val="0"/>
          <w:color w:val="0A1628"/>
          <w:sz w:val="20"/>
        </w:rPr>
        <w:t>Mandalay customer tariffs remain Britium tariffs.</w:t>
      </w:r>
    </w:p>
    <w:p>
      <w:pPr>
        <w:pStyle w:val="ListBullet"/>
        <w:ind w:left="0"/>
      </w:pPr>
      <w:r>
        <w:rPr>
          <w:rFonts w:ascii="Aptos" w:hAnsi="Aptos" w:eastAsia="Aptos"/>
          <w:b w:val="0"/>
          <w:i w:val="0"/>
          <w:color w:val="0A1628"/>
          <w:sz w:val="20"/>
        </w:rPr>
        <w:t>Highway and DK costs are independently recorded and allocated.</w:t>
      </w:r>
    </w:p>
    <w:p>
      <w:pPr>
        <w:pStyle w:val="ListBullet"/>
        <w:ind w:left="0"/>
      </w:pPr>
      <w:r>
        <w:rPr>
          <w:rFonts w:ascii="Aptos" w:hAnsi="Aptos" w:eastAsia="Aptos"/>
          <w:b w:val="0"/>
          <w:i w:val="0"/>
          <w:color w:val="0A1628"/>
          <w:sz w:val="20"/>
        </w:rPr>
        <w:t>DK area rates and surcharge rules are versioned.</w:t>
      </w:r>
    </w:p>
    <w:p>
      <w:pPr>
        <w:pStyle w:val="ListBullet"/>
        <w:ind w:left="0"/>
      </w:pPr>
      <w:r>
        <w:rPr>
          <w:rFonts w:ascii="Aptos" w:hAnsi="Aptos" w:eastAsia="Aptos"/>
          <w:b w:val="0"/>
          <w:i w:val="0"/>
          <w:color w:val="0A1628"/>
          <w:sz w:val="20"/>
        </w:rPr>
        <w:t>Royal normal and discounted rates are separately stored.</w:t>
      </w:r>
    </w:p>
    <w:p>
      <w:pPr>
        <w:pStyle w:val="ListBullet"/>
        <w:ind w:left="0"/>
      </w:pPr>
      <w:r>
        <w:rPr>
          <w:rFonts w:ascii="Aptos" w:hAnsi="Aptos" w:eastAsia="Aptos"/>
          <w:b w:val="0"/>
          <w:i w:val="0"/>
          <w:color w:val="0A1628"/>
          <w:sz w:val="20"/>
        </w:rPr>
        <w:t>Royal COD fees are calculated by threshold.</w:t>
      </w:r>
    </w:p>
    <w:p>
      <w:pPr>
        <w:pStyle w:val="ListBullet"/>
        <w:ind w:left="0"/>
      </w:pPr>
      <w:r>
        <w:rPr>
          <w:rFonts w:ascii="Aptos" w:hAnsi="Aptos" w:eastAsia="Aptos"/>
          <w:b w:val="0"/>
          <w:i w:val="0"/>
          <w:color w:val="0A1628"/>
          <w:sz w:val="20"/>
        </w:rPr>
        <w:t>Monthly rebates are estimated and confirmed separately.</w:t>
      </w:r>
    </w:p>
    <w:p>
      <w:pPr>
        <w:pStyle w:val="ListBullet"/>
        <w:ind w:left="0"/>
      </w:pPr>
      <w:r>
        <w:rPr>
          <w:rFonts w:ascii="Aptos" w:hAnsi="Aptos" w:eastAsia="Aptos"/>
          <w:b w:val="0"/>
          <w:i w:val="0"/>
          <w:color w:val="0A1628"/>
          <w:sz w:val="20"/>
        </w:rPr>
        <w:t>Royal COD remittance is monitored against its SLA.</w:t>
      </w:r>
    </w:p>
    <w:p>
      <w:pPr>
        <w:pStyle w:val="ListBullet"/>
        <w:ind w:left="0"/>
      </w:pPr>
      <w:r>
        <w:rPr>
          <w:rFonts w:ascii="Aptos" w:hAnsi="Aptos" w:eastAsia="Aptos"/>
          <w:b w:val="0"/>
          <w:i w:val="0"/>
          <w:color w:val="0A1628"/>
          <w:sz w:val="20"/>
        </w:rPr>
        <w:t>Partner costs do not alter merchant settlement.</w:t>
      </w:r>
    </w:p>
    <w:p>
      <w:pPr>
        <w:pStyle w:val="ListBullet"/>
        <w:ind w:left="0"/>
      </w:pPr>
      <w:r>
        <w:rPr>
          <w:rFonts w:ascii="Aptos" w:hAnsi="Aptos" w:eastAsia="Aptos"/>
          <w:b w:val="0"/>
          <w:i w:val="0"/>
          <w:color w:val="0A1628"/>
          <w:sz w:val="20"/>
        </w:rPr>
        <w:t>Route precedence prevents Royal from replacing DK or Naypyitaw workflows.</w:t>
      </w:r>
    </w:p>
    <w:p>
      <w:pPr>
        <w:pStyle w:val="ListBullet"/>
        <w:ind w:left="0"/>
      </w:pPr>
      <w:r>
        <w:rPr>
          <w:rFonts w:ascii="Aptos" w:hAnsi="Aptos" w:eastAsia="Aptos"/>
          <w:b w:val="0"/>
          <w:i w:val="0"/>
          <w:color w:val="0A1628"/>
          <w:sz w:val="20"/>
        </w:rPr>
        <w:t>Settlement batches reconcile at Way level.</w:t>
      </w:r>
    </w:p>
    <w:p>
      <w:pPr>
        <w:pStyle w:val="ListBullet"/>
        <w:ind w:left="0"/>
      </w:pPr>
      <w:r>
        <w:rPr>
          <w:rFonts w:ascii="Aptos" w:hAnsi="Aptos" w:eastAsia="Aptos"/>
          <w:b w:val="0"/>
          <w:i w:val="0"/>
          <w:color w:val="0A1628"/>
          <w:sz w:val="20"/>
        </w:rPr>
        <w:t>Historical partner costs remain unchanged after future rate updates.</w:t>
      </w:r>
    </w:p>
    <w:p>
      <w:pPr>
        <w:pStyle w:val="ListBullet"/>
        <w:ind w:left="0"/>
      </w:pPr>
      <w:r>
        <w:rPr>
          <w:rFonts w:ascii="Aptos" w:hAnsi="Aptos" w:eastAsia="Aptos"/>
          <w:b w:val="0"/>
          <w:i w:val="0"/>
          <w:color w:val="0A1628"/>
          <w:sz w:val="20"/>
        </w:rPr>
        <w:t>All financial mutations are secured and audited.</w:t>
      </w:r>
    </w:p>
    <w:p>
      <w:pPr>
        <w:pBdr>
          <w:bottom w:val="single" w:sz="5" w:space="3" w:color="B8C4D1"/>
        </w:pBdr>
        <w:spacing w:after="100"/>
      </w:pPr>
    </w:p>
    <w:p>
      <w:pPr>
        <w:pStyle w:val="Heading1"/>
        <w:pBdr>
          <w:bottom w:val="single" w:sz="12" w:space="3" w:color="C09B30"/>
        </w:pBdr>
        <w:keepNext/>
      </w:pPr>
      <w:r>
        <w:rPr>
          <w:rFonts w:ascii="Aptos" w:hAnsi="Aptos" w:eastAsia="Aptos"/>
          <w:b w:val="0"/>
          <w:i w:val="0"/>
          <w:color w:val="0A1628"/>
          <w:sz w:val="20"/>
        </w:rPr>
        <w:t>Part II - Platform Remediation and Supporting Modules</w:t>
      </w:r>
    </w:p>
    <w:p>
      <w:pPr>
        <w:pStyle w:val="Heading2"/>
        <w:keepNext/>
      </w:pPr>
      <w:r>
        <w:rPr>
          <w:rFonts w:ascii="Aptos" w:hAnsi="Aptos" w:eastAsia="Aptos"/>
          <w:b w:val="0"/>
          <w:i w:val="0"/>
          <w:color w:val="0A1628"/>
          <w:sz w:val="20"/>
        </w:rPr>
        <w:t>11. Confirmed Current-State Technical Findings</w:t>
      </w:r>
    </w:p>
    <w:p>
      <w:pPr>
        <w:pStyle w:val="Heading3"/>
        <w:keepNext/>
      </w:pPr>
      <w:r>
        <w:rPr>
          <w:rFonts w:ascii="Aptos" w:hAnsi="Aptos" w:eastAsia="Aptos"/>
          <w:b w:val="0"/>
          <w:i w:val="0"/>
          <w:color w:val="0A1628"/>
          <w:sz w:val="20"/>
        </w:rPr>
        <w:t>11.1 Final synchronization</w:t>
      </w:r>
    </w:p>
    <w:p>
      <w:r>
        <w:rPr>
          <w:rFonts w:ascii="Consolas" w:hAnsi="Consolas" w:eastAsia="Consolas"/>
          <w:b w:val="0"/>
          <w:i w:val="0"/>
          <w:color w:val="0A1628"/>
          <w:sz w:val="17"/>
          <w:shd w:fill="EEF2F6"/>
        </w:rPr>
        <w:t>FinalSynchronizationV50.tsx</w:t>
      </w:r>
      <w:r>
        <w:rPr>
          <w:rFonts w:ascii="Aptos" w:hAnsi="Aptos" w:eastAsia="Aptos"/>
          <w:b w:val="0"/>
          <w:i w:val="0"/>
          <w:color w:val="0A1628"/>
          <w:sz w:val="20"/>
        </w:rPr>
        <w:t xml:space="preserve"> computes merchant codes from Way ID and Pickup ID in the browser and prevents the certify button when they differ. It does not repair canonical records. The supplied archive contains the RPC callers but not the SQL definitions for </w:t>
      </w:r>
      <w:r>
        <w:rPr>
          <w:rFonts w:ascii="Consolas" w:hAnsi="Consolas" w:eastAsia="Consolas"/>
          <w:b w:val="0"/>
          <w:i w:val="0"/>
          <w:color w:val="0A1628"/>
          <w:sz w:val="17"/>
          <w:shd w:fill="EEF2F6"/>
        </w:rPr>
        <w:t>be_final_sync_snapshot_v50</w:t>
      </w:r>
      <w:r>
        <w:rPr>
          <w:rFonts w:ascii="Aptos" w:hAnsi="Aptos" w:eastAsia="Aptos"/>
          <w:b w:val="0"/>
          <w:i w:val="0"/>
          <w:color w:val="0A1628"/>
          <w:sz w:val="20"/>
        </w:rPr>
        <w:t xml:space="preserve">, </w:t>
      </w:r>
      <w:r>
        <w:rPr>
          <w:rFonts w:ascii="Consolas" w:hAnsi="Consolas" w:eastAsia="Consolas"/>
          <w:b w:val="0"/>
          <w:i w:val="0"/>
          <w:color w:val="0A1628"/>
          <w:sz w:val="17"/>
          <w:shd w:fill="EEF2F6"/>
        </w:rPr>
        <w:t>be_final_sync_refresh_v50</w:t>
      </w:r>
      <w:r>
        <w:rPr>
          <w:rFonts w:ascii="Aptos" w:hAnsi="Aptos" w:eastAsia="Aptos"/>
          <w:b w:val="0"/>
          <w:i w:val="0"/>
          <w:color w:val="0A1628"/>
          <w:sz w:val="20"/>
        </w:rPr>
        <w:t xml:space="preserve">, or </w:t>
      </w:r>
      <w:r>
        <w:rPr>
          <w:rFonts w:ascii="Consolas" w:hAnsi="Consolas" w:eastAsia="Consolas"/>
          <w:b w:val="0"/>
          <w:i w:val="0"/>
          <w:color w:val="0A1628"/>
          <w:sz w:val="17"/>
          <w:shd w:fill="EEF2F6"/>
        </w:rPr>
        <w:t>be_final_sync_certify_v50</w:t>
      </w:r>
      <w:r>
        <w:rPr>
          <w:rFonts w:ascii="Aptos" w:hAnsi="Aptos" w:eastAsia="Aptos"/>
          <w:b w:val="0"/>
          <w:i w:val="0"/>
          <w:color w:val="0A1628"/>
          <w:sz w:val="20"/>
        </w:rPr>
        <w:t>.</w:t>
      </w:r>
    </w:p>
    <w:p>
      <w:pPr>
        <w:pStyle w:val="Heading3"/>
        <w:keepNext/>
      </w:pPr>
      <w:r>
        <w:rPr>
          <w:rFonts w:ascii="Aptos" w:hAnsi="Aptos" w:eastAsia="Aptos"/>
          <w:b w:val="0"/>
          <w:i w:val="0"/>
          <w:color w:val="0A1628"/>
          <w:sz w:val="20"/>
        </w:rPr>
        <w:t>11.2 Data Entry</w:t>
      </w:r>
    </w:p>
    <w:p>
      <w:r>
        <w:rPr>
          <w:rFonts w:ascii="Consolas" w:hAnsi="Consolas" w:eastAsia="Consolas"/>
          <w:b w:val="0"/>
          <w:i w:val="0"/>
          <w:color w:val="0A1628"/>
          <w:sz w:val="17"/>
          <w:shd w:fill="EEF2F6"/>
        </w:rPr>
        <w:t>DataEntryPage.tsx</w:t>
      </w:r>
      <w:r>
        <w:rPr>
          <w:rFonts w:ascii="Aptos" w:hAnsi="Aptos" w:eastAsia="Aptos"/>
          <w:b w:val="0"/>
          <w:i w:val="0"/>
          <w:color w:val="0A1628"/>
          <w:sz w:val="20"/>
        </w:rPr>
        <w:t xml:space="preserve"> still models a legacy parcel row around </w:t>
      </w:r>
      <w:r>
        <w:rPr>
          <w:rFonts w:ascii="Consolas" w:hAnsi="Consolas" w:eastAsia="Consolas"/>
          <w:b w:val="0"/>
          <w:i w:val="0"/>
          <w:color w:val="0A1628"/>
          <w:sz w:val="17"/>
          <w:shd w:fill="EEF2F6"/>
        </w:rPr>
        <w:t>parcel_sequence</w:t>
      </w:r>
      <w:r>
        <w:rPr>
          <w:rFonts w:ascii="Aptos" w:hAnsi="Aptos" w:eastAsia="Aptos"/>
          <w:b w:val="0"/>
          <w:i w:val="0"/>
          <w:color w:val="0A1628"/>
          <w:sz w:val="20"/>
        </w:rPr>
        <w:t xml:space="preserve">, editable </w:t>
      </w:r>
      <w:r>
        <w:rPr>
          <w:rFonts w:ascii="Consolas" w:hAnsi="Consolas" w:eastAsia="Consolas"/>
          <w:b w:val="0"/>
          <w:i w:val="0"/>
          <w:color w:val="0A1628"/>
          <w:sz w:val="17"/>
          <w:shd w:fill="EEF2F6"/>
        </w:rPr>
        <w:t>way_id</w:t>
      </w:r>
      <w:r>
        <w:rPr>
          <w:rFonts w:ascii="Aptos" w:hAnsi="Aptos" w:eastAsia="Aptos"/>
          <w:b w:val="0"/>
          <w:i w:val="0"/>
          <w:color w:val="0A1628"/>
          <w:sz w:val="20"/>
        </w:rPr>
        <w:t xml:space="preserve">, and a small set of operational fields. It performs local tariff calculations with hardcoded regional rates and sends legacy save RPC parameters. The page also directly upserts compatibility rows using </w:t>
      </w:r>
      <w:r>
        <w:rPr>
          <w:rFonts w:ascii="Consolas" w:hAnsi="Consolas" w:eastAsia="Consolas"/>
          <w:b w:val="0"/>
          <w:i w:val="0"/>
          <w:color w:val="0A1628"/>
          <w:sz w:val="17"/>
          <w:shd w:fill="EEF2F6"/>
        </w:rPr>
        <w:t>pickup_id, parcel_sequence</w:t>
      </w:r>
      <w:r>
        <w:rPr>
          <w:rFonts w:ascii="Aptos" w:hAnsi="Aptos" w:eastAsia="Aptos"/>
          <w:b w:val="0"/>
          <w:i w:val="0"/>
          <w:color w:val="0A1628"/>
          <w:sz w:val="20"/>
        </w:rPr>
        <w:t xml:space="preserve"> in one fallback path.</w:t>
      </w:r>
    </w:p>
    <w:p>
      <w:r>
        <w:rPr>
          <w:rFonts w:ascii="Aptos" w:hAnsi="Aptos" w:eastAsia="Aptos"/>
          <w:b w:val="0"/>
          <w:i w:val="0"/>
          <w:color w:val="0A1628"/>
          <w:sz w:val="20"/>
        </w:rPr>
        <w:t>The available updated workbook in the workspace exposes 47 columns, while the issue note states that the authoritative Financial V2 workbook contains 50 columns. The production implementation must use the authoritative workbook/schema version as the contract and must not rely on a hardcoded frontend column count.</w:t>
      </w:r>
    </w:p>
    <w:p>
      <w:pPr>
        <w:pStyle w:val="Heading3"/>
        <w:keepNext/>
      </w:pPr>
      <w:r>
        <w:rPr>
          <w:rFonts w:ascii="Aptos" w:hAnsi="Aptos" w:eastAsia="Aptos"/>
          <w:b w:val="0"/>
          <w:i w:val="0"/>
          <w:color w:val="0A1628"/>
          <w:sz w:val="20"/>
        </w:rPr>
        <w:t>11.3 Business Development</w:t>
      </w:r>
    </w:p>
    <w:p>
      <w:r>
        <w:rPr>
          <w:rFonts w:ascii="Aptos" w:hAnsi="Aptos" w:eastAsia="Aptos"/>
          <w:b w:val="0"/>
          <w:i w:val="0"/>
          <w:color w:val="0A1628"/>
          <w:sz w:val="20"/>
        </w:rPr>
        <w:t xml:space="preserve">The active </w:t>
      </w:r>
      <w:r>
        <w:rPr>
          <w:rFonts w:ascii="Consolas" w:hAnsi="Consolas" w:eastAsia="Consolas"/>
          <w:b w:val="0"/>
          <w:i w:val="0"/>
          <w:color w:val="0A1628"/>
          <w:sz w:val="17"/>
          <w:shd w:fill="EEF2F6"/>
        </w:rPr>
        <w:t>/biz-dev</w:t>
      </w:r>
      <w:r>
        <w:rPr>
          <w:rFonts w:ascii="Aptos" w:hAnsi="Aptos" w:eastAsia="Aptos"/>
          <w:b w:val="0"/>
          <w:i w:val="0"/>
          <w:color w:val="0A1628"/>
          <w:sz w:val="20"/>
        </w:rPr>
        <w:t xml:space="preserve"> route loads </w:t>
      </w:r>
      <w:r>
        <w:rPr>
          <w:rFonts w:ascii="Consolas" w:hAnsi="Consolas" w:eastAsia="Consolas"/>
          <w:b w:val="0"/>
          <w:i w:val="0"/>
          <w:color w:val="0A1628"/>
          <w:sz w:val="17"/>
          <w:shd w:fill="EEF2F6"/>
        </w:rPr>
        <w:t>BizDevPage.tsx</w:t>
      </w:r>
      <w:r>
        <w:rPr>
          <w:rFonts w:ascii="Aptos" w:hAnsi="Aptos" w:eastAsia="Aptos"/>
          <w:b w:val="0"/>
          <w:i w:val="0"/>
          <w:color w:val="0A1628"/>
          <w:sz w:val="20"/>
        </w:rPr>
        <w:t>, which contains zero-valued KPI cards and an empty prospect register. Other Business Development pages call three different RPC names and are not the active route. These must be consolidated.</w:t>
      </w:r>
    </w:p>
    <w:p>
      <w:pPr>
        <w:pStyle w:val="Heading3"/>
        <w:keepNext/>
      </w:pPr>
      <w:r>
        <w:rPr>
          <w:rFonts w:ascii="Aptos" w:hAnsi="Aptos" w:eastAsia="Aptos"/>
          <w:b w:val="0"/>
          <w:i w:val="0"/>
          <w:color w:val="0A1628"/>
          <w:sz w:val="20"/>
        </w:rPr>
        <w:t>11.4 Marketing</w:t>
      </w:r>
    </w:p>
    <w:p>
      <w:r>
        <w:rPr>
          <w:rFonts w:ascii="Consolas" w:hAnsi="Consolas" w:eastAsia="Consolas"/>
          <w:b w:val="0"/>
          <w:i w:val="0"/>
          <w:color w:val="0A1628"/>
          <w:sz w:val="17"/>
          <w:shd w:fill="EEF2F6"/>
        </w:rPr>
        <w:t>MarketingPage.tsx</w:t>
      </w:r>
      <w:r>
        <w:rPr>
          <w:rFonts w:ascii="Aptos" w:hAnsi="Aptos" w:eastAsia="Aptos"/>
          <w:b w:val="0"/>
          <w:i w:val="0"/>
          <w:color w:val="0A1628"/>
          <w:sz w:val="20"/>
        </w:rPr>
        <w:t xml:space="preserve"> reads a generic enterprise control-tower snapshot rather than a marketing-specific contract. </w:t>
      </w:r>
      <w:r>
        <w:rPr>
          <w:rFonts w:ascii="Consolas" w:hAnsi="Consolas" w:eastAsia="Consolas"/>
          <w:b w:val="0"/>
          <w:i w:val="0"/>
          <w:color w:val="0A1628"/>
          <w:sz w:val="17"/>
          <w:shd w:fill="EEF2F6"/>
        </w:rPr>
        <w:t>MarketingPortalPage.tsx</w:t>
      </w:r>
      <w:r>
        <w:rPr>
          <w:rFonts w:ascii="Aptos" w:hAnsi="Aptos" w:eastAsia="Aptos"/>
          <w:b w:val="0"/>
          <w:i w:val="0"/>
          <w:color w:val="0A1628"/>
          <w:sz w:val="20"/>
        </w:rPr>
        <w:t xml:space="preserve"> contains hardcoded leads, KPI values, and daily-focus text.</w:t>
      </w:r>
    </w:p>
    <w:p>
      <w:pPr>
        <w:pStyle w:val="Heading3"/>
        <w:keepNext/>
      </w:pPr>
      <w:r>
        <w:rPr>
          <w:rFonts w:ascii="Aptos" w:hAnsi="Aptos" w:eastAsia="Aptos"/>
          <w:b w:val="0"/>
          <w:i w:val="0"/>
          <w:color w:val="0A1628"/>
          <w:sz w:val="20"/>
        </w:rPr>
        <w:t>11.5 Mobile</w:t>
      </w:r>
    </w:p>
    <w:p>
      <w:r>
        <w:rPr>
          <w:rFonts w:ascii="Aptos" w:hAnsi="Aptos" w:eastAsia="Aptos"/>
          <w:b w:val="0"/>
          <w:i w:val="0"/>
          <w:color w:val="0A1628"/>
          <w:sz w:val="20"/>
        </w:rPr>
        <w:t xml:space="preserve">The sidebar labels </w:t>
      </w:r>
      <w:r>
        <w:rPr>
          <w:rFonts w:ascii="Consolas" w:hAnsi="Consolas" w:eastAsia="Consolas"/>
          <w:b w:val="0"/>
          <w:i w:val="0"/>
          <w:color w:val="0A1628"/>
          <w:sz w:val="17"/>
          <w:shd w:fill="EEF2F6"/>
        </w:rPr>
        <w:t>/rider-app</w:t>
      </w:r>
      <w:r>
        <w:rPr>
          <w:rFonts w:ascii="Aptos" w:hAnsi="Aptos" w:eastAsia="Aptos"/>
          <w:b w:val="0"/>
          <w:i w:val="0"/>
          <w:color w:val="0A1628"/>
          <w:sz w:val="20"/>
        </w:rPr>
        <w:t xml:space="preserve"> as "Mobile Sandbox", but the route is a real rider operational application with identity resolution, GPS, offline queueing, delivery result RPCs, support requests, and proof capture. An internal support console must be separated from the field rider application.</w:t>
      </w:r>
    </w:p>
    <w:p>
      <w:pPr>
        <w:pStyle w:val="Heading3"/>
        <w:keepNext/>
      </w:pPr>
      <w:r>
        <w:rPr>
          <w:rFonts w:ascii="Aptos" w:hAnsi="Aptos" w:eastAsia="Aptos"/>
          <w:b w:val="0"/>
          <w:i w:val="0"/>
          <w:color w:val="0A1628"/>
          <w:sz w:val="20"/>
        </w:rPr>
        <w:t>11.6 Admin/HR</w:t>
      </w:r>
    </w:p>
    <w:p>
      <w:r>
        <w:rPr>
          <w:rFonts w:ascii="Consolas" w:hAnsi="Consolas" w:eastAsia="Consolas"/>
          <w:b w:val="0"/>
          <w:i w:val="0"/>
          <w:color w:val="0A1628"/>
          <w:sz w:val="17"/>
          <w:shd w:fill="EEF2F6"/>
        </w:rPr>
        <w:t>AdminHRPage.tsx</w:t>
      </w:r>
      <w:r>
        <w:rPr>
          <w:rFonts w:ascii="Aptos" w:hAnsi="Aptos" w:eastAsia="Aptos"/>
          <w:b w:val="0"/>
          <w:i w:val="0"/>
          <w:color w:val="0A1628"/>
          <w:sz w:val="20"/>
        </w:rPr>
        <w:t xml:space="preserve"> loads snapshots only. Its Add Employee and Manage controls are not connected to secured mutations. It falls back to hardcoded employee records when loading fails.</w:t>
      </w:r>
    </w:p>
    <w:p>
      <w:pPr>
        <w:pStyle w:val="Heading3"/>
        <w:keepNext/>
      </w:pPr>
      <w:r>
        <w:rPr>
          <w:rFonts w:ascii="Aptos" w:hAnsi="Aptos" w:eastAsia="Aptos"/>
          <w:b w:val="0"/>
          <w:i w:val="0"/>
          <w:color w:val="0A1628"/>
          <w:sz w:val="20"/>
        </w:rPr>
        <w:t>11.7 Accounts</w:t>
      </w:r>
    </w:p>
    <w:p>
      <w:r>
        <w:rPr>
          <w:rFonts w:ascii="Consolas" w:hAnsi="Consolas" w:eastAsia="Consolas"/>
          <w:b w:val="0"/>
          <w:i w:val="0"/>
          <w:color w:val="0A1628"/>
          <w:sz w:val="17"/>
          <w:shd w:fill="EEF2F6"/>
        </w:rPr>
        <w:t>AccountsPage.tsx</w:t>
      </w:r>
      <w:r>
        <w:rPr>
          <w:rFonts w:ascii="Aptos" w:hAnsi="Aptos" w:eastAsia="Aptos"/>
          <w:b w:val="0"/>
          <w:i w:val="0"/>
          <w:color w:val="0A1628"/>
          <w:sz w:val="20"/>
        </w:rPr>
        <w:t xml:space="preserve"> is presentation-only. Create Account, Reset/Block, and Roles &amp; Permissions controls have no data source or mutation workflow.</w:t>
      </w:r>
    </w:p>
    <w:p>
      <w:pPr>
        <w:pStyle w:val="Heading3"/>
        <w:keepNext/>
      </w:pPr>
      <w:r>
        <w:rPr>
          <w:rFonts w:ascii="Aptos" w:hAnsi="Aptos" w:eastAsia="Aptos"/>
          <w:b w:val="0"/>
          <w:i w:val="0"/>
          <w:color w:val="0A1628"/>
          <w:sz w:val="20"/>
        </w:rPr>
        <w:t>11.8 Production environment</w:t>
      </w:r>
    </w:p>
    <w:p>
      <w:r>
        <w:rPr>
          <w:rFonts w:ascii="Consolas" w:hAnsi="Consolas" w:eastAsia="Consolas"/>
          <w:b w:val="0"/>
          <w:i w:val="0"/>
          <w:color w:val="0A1628"/>
          <w:sz w:val="17"/>
          <w:shd w:fill="EEF2F6"/>
        </w:rPr>
        <w:t>App.tsx</w:t>
      </w:r>
      <w:r>
        <w:rPr>
          <w:rFonts w:ascii="Aptos" w:hAnsi="Aptos" w:eastAsia="Aptos"/>
          <w:b w:val="0"/>
          <w:i w:val="0"/>
          <w:color w:val="0A1628"/>
          <w:sz w:val="20"/>
        </w:rPr>
        <w:t xml:space="preserve"> still imports and routes UAT-named pages and mounts an </w:t>
      </w:r>
      <w:r>
        <w:rPr>
          <w:rFonts w:ascii="Consolas" w:hAnsi="Consolas" w:eastAsia="Consolas"/>
          <w:b w:val="0"/>
          <w:i w:val="0"/>
          <w:color w:val="0A1628"/>
          <w:sz w:val="17"/>
          <w:shd w:fill="EEF2F6"/>
        </w:rPr>
        <w:t>EnvironmentBadge</w:t>
      </w:r>
      <w:r>
        <w:rPr>
          <w:rFonts w:ascii="Aptos" w:hAnsi="Aptos" w:eastAsia="Aptos"/>
          <w:b w:val="0"/>
          <w:i w:val="0"/>
          <w:color w:val="0A1628"/>
          <w:sz w:val="20"/>
        </w:rPr>
        <w:t xml:space="preserve">. The implementation of </w:t>
      </w:r>
      <w:r>
        <w:rPr>
          <w:rFonts w:ascii="Consolas" w:hAnsi="Consolas" w:eastAsia="Consolas"/>
          <w:b w:val="0"/>
          <w:i w:val="0"/>
          <w:color w:val="0A1628"/>
          <w:sz w:val="17"/>
          <w:shd w:fill="EEF2F6"/>
        </w:rPr>
        <w:t>EnvironmentBadge</w:t>
      </w:r>
      <w:r>
        <w:rPr>
          <w:rFonts w:ascii="Aptos" w:hAnsi="Aptos" w:eastAsia="Aptos"/>
          <w:b w:val="0"/>
          <w:i w:val="0"/>
          <w:color w:val="0A1628"/>
          <w:sz w:val="20"/>
        </w:rPr>
        <w:t xml:space="preserve"> and the UAT pages is not included in the supplied archive, so their exact source patches require those files or repository access.</w:t>
      </w:r>
    </w:p>
    <w:p>
      <w:pPr>
        <w:pStyle w:val="Heading3"/>
        <w:keepNext/>
      </w:pPr>
      <w:r>
        <w:rPr>
          <w:rFonts w:ascii="Aptos" w:hAnsi="Aptos" w:eastAsia="Aptos"/>
          <w:b w:val="0"/>
          <w:i w:val="0"/>
          <w:color w:val="0A1628"/>
          <w:sz w:val="20"/>
        </w:rPr>
        <w:t>11.9 Outsourced delivery and branch handling</w:t>
      </w:r>
    </w:p>
    <w:p>
      <w:r>
        <w:rPr>
          <w:rFonts w:ascii="Aptos" w:hAnsi="Aptos" w:eastAsia="Aptos"/>
          <w:b w:val="0"/>
          <w:i w:val="0"/>
          <w:color w:val="0A1628"/>
          <w:sz w:val="20"/>
        </w:rPr>
        <w:t>Britium uses branches and allied delivery services for destinations that are not served directly. The current business configuration identifies Royal Express, DK Delivery, Arlu Post, Ninja Van, and Safe Delivery Services as external providers; Mandalay is currently handled mainly through DK Delivery and Nay Pyi Taw is branch-managed. The existing production specification does not yet define provider routing, chain of custody, partner tracking, COD remittance, partner settlement, or branch reconciliation.</w:t>
      </w:r>
    </w:p>
    <w:p>
      <w:pPr>
        <w:pStyle w:val="Heading2"/>
        <w:keepNext/>
      </w:pPr>
      <w:r>
        <w:rPr>
          <w:rFonts w:ascii="Aptos" w:hAnsi="Aptos" w:eastAsia="Aptos"/>
          <w:b w:val="0"/>
          <w:i w:val="0"/>
          <w:color w:val="0A1628"/>
          <w:sz w:val="20"/>
        </w:rPr>
        <w:t>12. Cross-Cutting Engineering Requirements</w:t>
      </w:r>
    </w:p>
    <w:p>
      <w:pPr>
        <w:pStyle w:val="Heading3"/>
        <w:keepNext/>
      </w:pPr>
      <w:r>
        <w:rPr>
          <w:rFonts w:ascii="Aptos" w:hAnsi="Aptos" w:eastAsia="Aptos"/>
          <w:b w:val="0"/>
          <w:i w:val="0"/>
          <w:color w:val="0A1628"/>
          <w:sz w:val="20"/>
        </w:rPr>
        <w:t>12.1 Backend authority</w:t>
      </w:r>
    </w:p>
    <w:p>
      <w:r>
        <w:rPr>
          <w:rFonts w:ascii="Aptos" w:hAnsi="Aptos" w:eastAsia="Aptos"/>
          <w:b w:val="0"/>
          <w:i w:val="0"/>
          <w:color w:val="0A1628"/>
          <w:sz w:val="20"/>
        </w:rPr>
        <w:t>All identity, tariff, collection, settlement, authorization, account, and workflow-state decisions must be made by the backend. Frontend calculations may be displayed as previews but must never be persisted as trusted final values.</w:t>
      </w:r>
    </w:p>
    <w:p>
      <w:pPr>
        <w:pStyle w:val="Heading3"/>
        <w:keepNext/>
      </w:pPr>
      <w:r>
        <w:rPr>
          <w:rFonts w:ascii="Aptos" w:hAnsi="Aptos" w:eastAsia="Aptos"/>
          <w:b w:val="0"/>
          <w:i w:val="0"/>
          <w:color w:val="0A1628"/>
          <w:sz w:val="20"/>
        </w:rPr>
        <w:t>12.2 RPC response envelope</w:t>
      </w:r>
    </w:p>
    <w:p>
      <w:r>
        <w:rPr>
          <w:rFonts w:ascii="Aptos" w:hAnsi="Aptos" w:eastAsia="Aptos"/>
          <w:b w:val="0"/>
          <w:i w:val="0"/>
          <w:color w:val="0A1628"/>
          <w:sz w:val="20"/>
        </w:rPr>
        <w:t>New RPCs should return a consistent JSON envelope:</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interface RpcEnvelope&lt;T&gt; {</w:t>
              <w:br/>
              <w:t xml:space="preserve">  ok: boolean;</w:t>
              <w:br/>
              <w:t xml:space="preserve">  build: string;</w:t>
              <w:br/>
              <w:t xml:space="preserve">  generated_at: string;</w:t>
              <w:br/>
              <w:t xml:space="preserve">  data?: T;</w:t>
              <w:br/>
              <w:t xml:space="preserve">  warnings?: Array&lt;{ code: string; message: string; field?: string }&gt;;</w:t>
              <w:br/>
              <w:t xml:space="preserve">  errors?: Array&lt;{ code: string; message: string; field?: string }&gt;;</w:t>
              <w:br/>
              <w:t>}</w:t>
            </w:r>
          </w:p>
        </w:tc>
      </w:tr>
    </w:tbl>
    <w:p>
      <w:pPr>
        <w:spacing w:after="0"/>
      </w:pPr>
    </w:p>
    <w:p>
      <w:pPr>
        <w:pStyle w:val="Heading3"/>
        <w:keepNext/>
      </w:pPr>
      <w:r>
        <w:rPr>
          <w:rFonts w:ascii="Aptos" w:hAnsi="Aptos" w:eastAsia="Aptos"/>
          <w:b w:val="0"/>
          <w:i w:val="0"/>
          <w:color w:val="0A1628"/>
          <w:sz w:val="20"/>
        </w:rPr>
        <w:t>12.3 Security-definer rules</w:t>
      </w:r>
    </w:p>
    <w:p>
      <w:r>
        <w:rPr>
          <w:rFonts w:ascii="Aptos" w:hAnsi="Aptos" w:eastAsia="Aptos"/>
          <w:b w:val="0"/>
          <w:i w:val="0"/>
          <w:color w:val="0A1628"/>
          <w:sz w:val="20"/>
        </w:rPr>
        <w:t>Every mutation RPC must:</w:t>
      </w:r>
    </w:p>
    <w:p>
      <w:pPr>
        <w:pStyle w:val="ListBullet"/>
        <w:ind w:left="0"/>
      </w:pPr>
      <w:r>
        <w:rPr>
          <w:rFonts w:ascii="Aptos" w:hAnsi="Aptos" w:eastAsia="Aptos"/>
          <w:b w:val="0"/>
          <w:i w:val="0"/>
          <w:color w:val="0A1628"/>
          <w:sz w:val="20"/>
        </w:rPr>
        <w:t xml:space="preserve">Use </w:t>
      </w:r>
      <w:r>
        <w:rPr>
          <w:rFonts w:ascii="Consolas" w:hAnsi="Consolas" w:eastAsia="Consolas"/>
          <w:b w:val="0"/>
          <w:i w:val="0"/>
          <w:color w:val="0A1628"/>
          <w:sz w:val="17"/>
          <w:shd w:fill="EEF2F6"/>
        </w:rPr>
        <w:t>security definer</w:t>
      </w:r>
      <w:r>
        <w:rPr>
          <w:rFonts w:ascii="Aptos" w:hAnsi="Aptos" w:eastAsia="Aptos"/>
          <w:b w:val="0"/>
          <w:i w:val="0"/>
          <w:color w:val="0A1628"/>
          <w:sz w:val="20"/>
        </w:rPr>
        <w:t>.</w:t>
      </w:r>
    </w:p>
    <w:p>
      <w:pPr>
        <w:pStyle w:val="ListBullet"/>
        <w:ind w:left="0"/>
      </w:pPr>
      <w:r>
        <w:rPr>
          <w:rFonts w:ascii="Aptos" w:hAnsi="Aptos" w:eastAsia="Aptos"/>
          <w:b w:val="0"/>
          <w:i w:val="0"/>
          <w:color w:val="0A1628"/>
          <w:sz w:val="20"/>
        </w:rPr>
        <w:t xml:space="preserve">Use </w:t>
      </w:r>
      <w:r>
        <w:rPr>
          <w:rFonts w:ascii="Consolas" w:hAnsi="Consolas" w:eastAsia="Consolas"/>
          <w:b w:val="0"/>
          <w:i w:val="0"/>
          <w:color w:val="0A1628"/>
          <w:sz w:val="17"/>
          <w:shd w:fill="EEF2F6"/>
        </w:rPr>
        <w:t>set search_path = public</w:t>
      </w:r>
      <w:r>
        <w:rPr>
          <w:rFonts w:ascii="Aptos" w:hAnsi="Aptos" w:eastAsia="Aptos"/>
          <w:b w:val="0"/>
          <w:i w:val="0"/>
          <w:color w:val="0A1628"/>
          <w:sz w:val="20"/>
        </w:rPr>
        <w:t>.</w:t>
      </w:r>
    </w:p>
    <w:p>
      <w:pPr>
        <w:pStyle w:val="ListBullet"/>
        <w:ind w:left="0"/>
      </w:pPr>
      <w:r>
        <w:rPr>
          <w:rFonts w:ascii="Aptos" w:hAnsi="Aptos" w:eastAsia="Aptos"/>
          <w:b w:val="0"/>
          <w:i w:val="0"/>
          <w:color w:val="0A1628"/>
          <w:sz w:val="20"/>
        </w:rPr>
        <w:t xml:space="preserve">Resolve the actor from </w:t>
      </w:r>
      <w:r>
        <w:rPr>
          <w:rFonts w:ascii="Consolas" w:hAnsi="Consolas" w:eastAsia="Consolas"/>
          <w:b w:val="0"/>
          <w:i w:val="0"/>
          <w:color w:val="0A1628"/>
          <w:sz w:val="17"/>
          <w:shd w:fill="EEF2F6"/>
        </w:rPr>
        <w:t>auth.uid()</w:t>
      </w:r>
      <w:r>
        <w:rPr>
          <w:rFonts w:ascii="Aptos" w:hAnsi="Aptos" w:eastAsia="Aptos"/>
          <w:b w:val="0"/>
          <w:i w:val="0"/>
          <w:color w:val="0A1628"/>
          <w:sz w:val="20"/>
        </w:rPr>
        <w:t xml:space="preserve"> and the authenticated profile.</w:t>
      </w:r>
    </w:p>
    <w:p>
      <w:pPr>
        <w:pStyle w:val="ListBullet"/>
        <w:ind w:left="0"/>
      </w:pPr>
      <w:r>
        <w:rPr>
          <w:rFonts w:ascii="Aptos" w:hAnsi="Aptos" w:eastAsia="Aptos"/>
          <w:b w:val="0"/>
          <w:i w:val="0"/>
          <w:color w:val="0A1628"/>
          <w:sz w:val="20"/>
        </w:rPr>
        <w:t>Perform explicit role and module-permission checks.</w:t>
      </w:r>
    </w:p>
    <w:p>
      <w:pPr>
        <w:pStyle w:val="ListBullet"/>
        <w:ind w:left="0"/>
      </w:pPr>
      <w:r>
        <w:rPr>
          <w:rFonts w:ascii="Aptos" w:hAnsi="Aptos" w:eastAsia="Aptos"/>
          <w:b w:val="0"/>
          <w:i w:val="0"/>
          <w:color w:val="0A1628"/>
          <w:sz w:val="20"/>
        </w:rPr>
        <w:t>Reject disabled, expired, unapproved, or branch-restricted accounts.</w:t>
      </w:r>
    </w:p>
    <w:p>
      <w:pPr>
        <w:pStyle w:val="ListBullet"/>
        <w:ind w:left="0"/>
      </w:pPr>
      <w:r>
        <w:rPr>
          <w:rFonts w:ascii="Aptos" w:hAnsi="Aptos" w:eastAsia="Aptos"/>
          <w:b w:val="0"/>
          <w:i w:val="0"/>
          <w:color w:val="0A1628"/>
          <w:sz w:val="20"/>
        </w:rPr>
        <w:t>Write an audit event in the same transaction.</w:t>
      </w:r>
    </w:p>
    <w:p>
      <w:pPr>
        <w:pStyle w:val="ListBullet"/>
        <w:ind w:left="0"/>
      </w:pPr>
      <w:r>
        <w:rPr>
          <w:rFonts w:ascii="Aptos" w:hAnsi="Aptos" w:eastAsia="Aptos"/>
          <w:b w:val="0"/>
          <w:i w:val="0"/>
          <w:color w:val="0A1628"/>
          <w:sz w:val="20"/>
        </w:rPr>
        <w:t>Never trust an actor email or role supplied by the client.</w:t>
      </w:r>
    </w:p>
    <w:p>
      <w:pPr>
        <w:pStyle w:val="Heading3"/>
        <w:keepNext/>
      </w:pPr>
      <w:r>
        <w:rPr>
          <w:rFonts w:ascii="Aptos" w:hAnsi="Aptos" w:eastAsia="Aptos"/>
          <w:b w:val="0"/>
          <w:i w:val="0"/>
          <w:color w:val="0A1628"/>
          <w:sz w:val="20"/>
        </w:rPr>
        <w:t>12.4 Audit events</w:t>
      </w:r>
    </w:p>
    <w:p>
      <w:r>
        <w:rPr>
          <w:rFonts w:ascii="Aptos" w:hAnsi="Aptos" w:eastAsia="Aptos"/>
          <w:b w:val="0"/>
          <w:i w:val="0"/>
          <w:color w:val="0A1628"/>
          <w:sz w:val="20"/>
        </w:rPr>
        <w:t>Create or standardize an audit table:</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create table if not exists public.be_audit_events (</w:t>
              <w:br/>
              <w:t xml:space="preserve">  id uuid primary key default gen_random_uuid(),</w:t>
              <w:br/>
              <w:t xml:space="preserve">  module_code text not null,</w:t>
              <w:br/>
              <w:t xml:space="preserve">  action_code text not null,</w:t>
              <w:br/>
              <w:t xml:space="preserve">  entity_type text not null,</w:t>
              <w:br/>
              <w:t xml:space="preserve">  entity_id text not null,</w:t>
              <w:br/>
              <w:t xml:space="preserve">  actor_user_id uuid,</w:t>
              <w:br/>
              <w:t xml:space="preserve">  actor_employee_id text,</w:t>
              <w:br/>
              <w:t xml:space="preserve">  branch_code text,</w:t>
              <w:br/>
              <w:t xml:space="preserve">  before_value jsonb,</w:t>
              <w:br/>
              <w:t xml:space="preserve">  after_value jsonb,</w:t>
              <w:br/>
              <w:t xml:space="preserve">  reason text,</w:t>
              <w:br/>
              <w:t xml:space="preserve">  request_id text,</w:t>
              <w:br/>
              <w:t xml:space="preserve">  created_at timestamptz not null default now()</w:t>
              <w:br/>
              <w:t>);</w:t>
            </w:r>
          </w:p>
        </w:tc>
      </w:tr>
    </w:tbl>
    <w:p>
      <w:pPr>
        <w:spacing w:after="0"/>
      </w:pPr>
    </w:p>
    <w:p>
      <w:pPr>
        <w:pStyle w:val="Heading3"/>
        <w:keepNext/>
      </w:pPr>
      <w:r>
        <w:rPr>
          <w:rFonts w:ascii="Aptos" w:hAnsi="Aptos" w:eastAsia="Aptos"/>
          <w:b w:val="0"/>
          <w:i w:val="0"/>
          <w:color w:val="0A1628"/>
          <w:sz w:val="20"/>
        </w:rPr>
        <w:t>12.5 Idempotency</w:t>
      </w:r>
    </w:p>
    <w:p>
      <w:r>
        <w:rPr>
          <w:rFonts w:ascii="Aptos" w:hAnsi="Aptos" w:eastAsia="Aptos"/>
          <w:b w:val="0"/>
          <w:i w:val="0"/>
          <w:color w:val="0A1628"/>
          <w:sz w:val="20"/>
        </w:rPr>
        <w:t>Create, save, approve, certify, payment, resync, and account-admin actions must accept or derive an idempotency key. Duplicate requests must return the original result rather than create duplicate records.</w:t>
      </w:r>
    </w:p>
    <w:p>
      <w:pPr>
        <w:pStyle w:val="Heading3"/>
        <w:keepNext/>
      </w:pPr>
      <w:r>
        <w:rPr>
          <w:rFonts w:ascii="Aptos" w:hAnsi="Aptos" w:eastAsia="Aptos"/>
          <w:b w:val="0"/>
          <w:i w:val="0"/>
          <w:color w:val="0A1628"/>
          <w:sz w:val="20"/>
        </w:rPr>
        <w:t>12.6 No demonstration data</w:t>
      </w:r>
    </w:p>
    <w:p>
      <w:r>
        <w:rPr>
          <w:rFonts w:ascii="Aptos" w:hAnsi="Aptos" w:eastAsia="Aptos"/>
          <w:b w:val="0"/>
          <w:i w:val="0"/>
          <w:color w:val="0A1628"/>
          <w:sz w:val="20"/>
        </w:rPr>
        <w:t>Production pages must not render hardcoded employees, leads, KPIs, jobs, payments, parcels, or operational events. Empty states must be explicit and must identify the actual failed or empty data source.</w:t>
      </w:r>
    </w:p>
    <w:p>
      <w:pPr>
        <w:pStyle w:val="Heading2"/>
        <w:keepNext/>
      </w:pPr>
      <w:r>
        <w:rPr>
          <w:rFonts w:ascii="Aptos" w:hAnsi="Aptos" w:eastAsia="Aptos"/>
          <w:b w:val="0"/>
          <w:i w:val="0"/>
          <w:color w:val="0A1628"/>
          <w:sz w:val="20"/>
        </w:rPr>
        <w:t>13. Canonical Way, Pickup, and Merchant Lineage</w:t>
      </w:r>
    </w:p>
    <w:p>
      <w:pPr>
        <w:pStyle w:val="Heading3"/>
        <w:keepNext/>
      </w:pPr>
      <w:r>
        <w:rPr>
          <w:rFonts w:ascii="Aptos" w:hAnsi="Aptos" w:eastAsia="Aptos"/>
          <w:b w:val="0"/>
          <w:i w:val="0"/>
          <w:color w:val="0A1628"/>
          <w:sz w:val="20"/>
        </w:rPr>
        <w:t>13.1 Canonical identity source</w:t>
      </w:r>
    </w:p>
    <w:p>
      <w:r>
        <w:rPr>
          <w:rFonts w:ascii="Aptos" w:hAnsi="Aptos" w:eastAsia="Aptos"/>
          <w:b w:val="0"/>
          <w:i w:val="0"/>
          <w:color w:val="0A1628"/>
          <w:sz w:val="20"/>
        </w:rPr>
        <w:t xml:space="preserve">The canonical source for parcel lineage is the Data Entry row keyed by normalized </w:t>
      </w:r>
      <w:r>
        <w:rPr>
          <w:rFonts w:ascii="Consolas" w:hAnsi="Consolas" w:eastAsia="Consolas"/>
          <w:b w:val="0"/>
          <w:i w:val="0"/>
          <w:color w:val="0A1628"/>
          <w:sz w:val="17"/>
          <w:shd w:fill="EEF2F6"/>
        </w:rPr>
        <w:t>delivery_way_id</w:t>
      </w:r>
      <w:r>
        <w:rPr>
          <w:rFonts w:ascii="Aptos" w:hAnsi="Aptos" w:eastAsia="Aptos"/>
          <w:b w:val="0"/>
          <w:i w:val="0"/>
          <w:color w:val="0A1628"/>
          <w:sz w:val="20"/>
        </w:rPr>
        <w:t>.</w:t>
      </w:r>
    </w:p>
    <w:p>
      <w:r>
        <w:rPr>
          <w:rFonts w:ascii="Aptos" w:hAnsi="Aptos" w:eastAsia="Aptos"/>
          <w:b w:val="0"/>
          <w:i w:val="0"/>
          <w:color w:val="0A1628"/>
          <w:sz w:val="20"/>
        </w:rPr>
        <w:t>Standardize these fields:</w:t>
      </w:r>
    </w:p>
    <w:p>
      <w:pPr>
        <w:pStyle w:val="ListBullet"/>
        <w:ind w:left="0"/>
      </w:pPr>
      <w:r>
        <w:rPr>
          <w:rFonts w:ascii="Consolas" w:hAnsi="Consolas" w:eastAsia="Consolas"/>
          <w:b w:val="0"/>
          <w:i w:val="0"/>
          <w:color w:val="0A1628"/>
          <w:sz w:val="17"/>
          <w:shd w:fill="EEF2F6"/>
        </w:rPr>
        <w:t>delivery_way_id</w:t>
      </w:r>
      <w:r>
        <w:rPr>
          <w:rFonts w:ascii="Aptos" w:hAnsi="Aptos" w:eastAsia="Aptos"/>
          <w:b w:val="0"/>
          <w:i w:val="0"/>
          <w:color w:val="0A1628"/>
          <w:sz w:val="20"/>
        </w:rPr>
        <w:t>: canonical parcel key.</w:t>
      </w:r>
    </w:p>
    <w:p>
      <w:pPr>
        <w:pStyle w:val="ListBullet"/>
        <w:ind w:left="0"/>
      </w:pPr>
      <w:r>
        <w:rPr>
          <w:rFonts w:ascii="Consolas" w:hAnsi="Consolas" w:eastAsia="Consolas"/>
          <w:b w:val="0"/>
          <w:i w:val="0"/>
          <w:color w:val="0A1628"/>
          <w:sz w:val="17"/>
          <w:shd w:fill="EEF2F6"/>
        </w:rPr>
        <w:t>pickup_id</w:t>
      </w:r>
      <w:r>
        <w:rPr>
          <w:rFonts w:ascii="Aptos" w:hAnsi="Aptos" w:eastAsia="Aptos"/>
          <w:b w:val="0"/>
          <w:i w:val="0"/>
          <w:color w:val="0A1628"/>
          <w:sz w:val="20"/>
        </w:rPr>
        <w:t>: canonical parent pickup key.</w:t>
      </w:r>
    </w:p>
    <w:p>
      <w:pPr>
        <w:pStyle w:val="ListBullet"/>
        <w:ind w:left="0"/>
      </w:pPr>
      <w:r>
        <w:rPr>
          <w:rFonts w:ascii="Consolas" w:hAnsi="Consolas" w:eastAsia="Consolas"/>
          <w:b w:val="0"/>
          <w:i w:val="0"/>
          <w:color w:val="0A1628"/>
          <w:sz w:val="17"/>
          <w:shd w:fill="EEF2F6"/>
        </w:rPr>
        <w:t>merchant_code</w:t>
      </w:r>
      <w:r>
        <w:rPr>
          <w:rFonts w:ascii="Aptos" w:hAnsi="Aptos" w:eastAsia="Aptos"/>
          <w:b w:val="0"/>
          <w:i w:val="0"/>
          <w:color w:val="0A1628"/>
          <w:sz w:val="20"/>
        </w:rPr>
        <w:t>: canonical merchant code.</w:t>
      </w:r>
    </w:p>
    <w:p>
      <w:pPr>
        <w:pStyle w:val="ListBullet"/>
        <w:ind w:left="0"/>
      </w:pPr>
      <w:r>
        <w:rPr>
          <w:rFonts w:ascii="Consolas" w:hAnsi="Consolas" w:eastAsia="Consolas"/>
          <w:b w:val="0"/>
          <w:i w:val="0"/>
          <w:color w:val="0A1628"/>
          <w:sz w:val="17"/>
          <w:shd w:fill="EEF2F6"/>
        </w:rPr>
        <w:t>wayplan_id</w:t>
      </w:r>
      <w:r>
        <w:rPr>
          <w:rFonts w:ascii="Aptos" w:hAnsi="Aptos" w:eastAsia="Aptos"/>
          <w:b w:val="0"/>
          <w:i w:val="0"/>
          <w:color w:val="0A1628"/>
          <w:sz w:val="20"/>
        </w:rPr>
        <w:t>: downstream route assignment, not a lineage source.</w:t>
      </w:r>
    </w:p>
    <w:p>
      <w:r>
        <w:rPr>
          <w:rFonts w:ascii="Aptos" w:hAnsi="Aptos" w:eastAsia="Aptos"/>
          <w:b w:val="0"/>
          <w:i w:val="0"/>
          <w:color w:val="0A1628"/>
          <w:sz w:val="20"/>
        </w:rPr>
        <w:t xml:space="preserve">The current schema uses both </w:t>
      </w:r>
      <w:r>
        <w:rPr>
          <w:rFonts w:ascii="Consolas" w:hAnsi="Consolas" w:eastAsia="Consolas"/>
          <w:b w:val="0"/>
          <w:i w:val="0"/>
          <w:color w:val="0A1628"/>
          <w:sz w:val="17"/>
          <w:shd w:fill="EEF2F6"/>
        </w:rPr>
        <w:t>pickup_id</w:t>
      </w:r>
      <w:r>
        <w:rPr>
          <w:rFonts w:ascii="Aptos" w:hAnsi="Aptos" w:eastAsia="Aptos"/>
          <w:b w:val="0"/>
          <w:i w:val="0"/>
          <w:color w:val="0A1628"/>
          <w:sz w:val="20"/>
        </w:rPr>
        <w:t xml:space="preserve"> and </w:t>
      </w:r>
      <w:r>
        <w:rPr>
          <w:rFonts w:ascii="Consolas" w:hAnsi="Consolas" w:eastAsia="Consolas"/>
          <w:b w:val="0"/>
          <w:i w:val="0"/>
          <w:color w:val="0A1628"/>
          <w:sz w:val="17"/>
          <w:shd w:fill="EEF2F6"/>
        </w:rPr>
        <w:t>pickup_way_id</w:t>
      </w:r>
      <w:r>
        <w:rPr>
          <w:rFonts w:ascii="Aptos" w:hAnsi="Aptos" w:eastAsia="Aptos"/>
          <w:b w:val="0"/>
          <w:i w:val="0"/>
          <w:color w:val="0A1628"/>
          <w:sz w:val="20"/>
        </w:rPr>
        <w:t xml:space="preserve"> terminology. Migration must add or standardize </w:t>
      </w:r>
      <w:r>
        <w:rPr>
          <w:rFonts w:ascii="Consolas" w:hAnsi="Consolas" w:eastAsia="Consolas"/>
          <w:b w:val="0"/>
          <w:i w:val="0"/>
          <w:color w:val="0A1628"/>
          <w:sz w:val="17"/>
          <w:shd w:fill="EEF2F6"/>
        </w:rPr>
        <w:t>pickup_id</w:t>
      </w:r>
      <w:r>
        <w:rPr>
          <w:rFonts w:ascii="Aptos" w:hAnsi="Aptos" w:eastAsia="Aptos"/>
          <w:b w:val="0"/>
          <w:i w:val="0"/>
          <w:color w:val="0A1628"/>
          <w:sz w:val="20"/>
        </w:rPr>
        <w:t xml:space="preserve">; </w:t>
      </w:r>
      <w:r>
        <w:rPr>
          <w:rFonts w:ascii="Consolas" w:hAnsi="Consolas" w:eastAsia="Consolas"/>
          <w:b w:val="0"/>
          <w:i w:val="0"/>
          <w:color w:val="0A1628"/>
          <w:sz w:val="17"/>
          <w:shd w:fill="EEF2F6"/>
        </w:rPr>
        <w:t>pickup_way_id</w:t>
      </w:r>
      <w:r>
        <w:rPr>
          <w:rFonts w:ascii="Aptos" w:hAnsi="Aptos" w:eastAsia="Aptos"/>
          <w:b w:val="0"/>
          <w:i w:val="0"/>
          <w:color w:val="0A1628"/>
          <w:sz w:val="20"/>
        </w:rPr>
        <w:t xml:space="preserve"> may remain as a compatibility alias during the transition.</w:t>
      </w:r>
    </w:p>
    <w:p>
      <w:pPr>
        <w:pStyle w:val="Heading3"/>
        <w:keepNext/>
      </w:pPr>
      <w:r>
        <w:rPr>
          <w:rFonts w:ascii="Aptos" w:hAnsi="Aptos" w:eastAsia="Aptos"/>
          <w:b w:val="0"/>
          <w:i w:val="0"/>
          <w:color w:val="0A1628"/>
          <w:sz w:val="20"/>
        </w:rPr>
        <w:t>13.2 Shared operational-ID parser</w:t>
      </w:r>
    </w:p>
    <w:p>
      <w:r>
        <w:rPr>
          <w:rFonts w:ascii="Aptos" w:hAnsi="Aptos" w:eastAsia="Aptos"/>
          <w:b w:val="0"/>
          <w:i w:val="0"/>
          <w:color w:val="0A1628"/>
          <w:sz w:val="20"/>
        </w:rPr>
        <w:t>Create one database function and one matching TypeScript helper:</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create or replace function public.be_operational_id_merchant_code(p_value text)</w:t>
              <w:br/>
              <w:t>returns text</w:t>
              <w:br/>
              <w:t>language sql</w:t>
              <w:br/>
              <w:t>immutable</w:t>
              <w:br/>
              <w:t>as $$</w:t>
              <w:br/>
              <w:t xml:space="preserve">  select case</w:t>
              <w:br/>
              <w:t xml:space="preserve">    when array_length(regexp_split_to_array(upper(trim(coalesce(p_value,''))), '-'), 1) &gt;= 3</w:t>
              <w:br/>
              <w:t xml:space="preserve">    then array_to_string(</w:t>
              <w:br/>
              <w:t xml:space="preserve">      (regexp_split_to_array(upper(trim(p_value)), '-'))[2:</w:t>
              <w:br/>
              <w:t xml:space="preserve">        array_length(regexp_split_to_array(upper(trim(p_value)), '-'), 1)-1],</w:t>
              <w:br/>
              <w:t xml:space="preserve">      '-'</w:t>
              <w:br/>
              <w:t xml:space="preserve">    )</w:t>
              <w:br/>
              <w:t xml:space="preserve">    else null</w:t>
              <w:br/>
              <w:t xml:space="preserve">  end;</w:t>
              <w:br/>
              <w:t>$$;</w:t>
            </w:r>
          </w:p>
        </w:tc>
      </w:tr>
    </w:tbl>
    <w:p>
      <w:pPr>
        <w:spacing w:after="0"/>
      </w:pPr>
    </w:p>
    <w:p>
      <w:r>
        <w:rPr>
          <w:rFonts w:ascii="Aptos" w:hAnsi="Aptos" w:eastAsia="Aptos"/>
          <w:b w:val="0"/>
          <w:i w:val="0"/>
          <w:color w:val="0A1628"/>
          <w:sz w:val="20"/>
        </w:rPr>
        <w:t xml:space="preserve">If the confirmed production format guarantees exactly one merchant segment, this may simplify to </w:t>
      </w:r>
      <w:r>
        <w:rPr>
          <w:rFonts w:ascii="Consolas" w:hAnsi="Consolas" w:eastAsia="Consolas"/>
          <w:b w:val="0"/>
          <w:i w:val="0"/>
          <w:color w:val="0A1628"/>
          <w:sz w:val="17"/>
          <w:shd w:fill="EEF2F6"/>
        </w:rPr>
        <w:t>split_part(value, '-', 2)</w:t>
      </w:r>
      <w:r>
        <w:rPr>
          <w:rFonts w:ascii="Aptos" w:hAnsi="Aptos" w:eastAsia="Aptos"/>
          <w:b w:val="0"/>
          <w:i w:val="0"/>
          <w:color w:val="0A1628"/>
          <w:sz w:val="20"/>
        </w:rPr>
        <w:t>. The same rule must be used by Data Entry, Final Sync, Waybill, Dispatch, and certification.</w:t>
      </w:r>
    </w:p>
    <w:p>
      <w:pPr>
        <w:pStyle w:val="Heading3"/>
        <w:keepNext/>
      </w:pPr>
      <w:r>
        <w:rPr>
          <w:rFonts w:ascii="Aptos" w:hAnsi="Aptos" w:eastAsia="Aptos"/>
          <w:b w:val="0"/>
          <w:i w:val="0"/>
          <w:color w:val="0A1628"/>
          <w:sz w:val="20"/>
        </w:rPr>
        <w:t>13.3 Refresh logic</w:t>
      </w:r>
    </w:p>
    <w:p>
      <w:r>
        <w:rPr>
          <w:rFonts w:ascii="Aptos" w:hAnsi="Aptos" w:eastAsia="Aptos"/>
          <w:b w:val="0"/>
          <w:i w:val="0"/>
          <w:color w:val="0A1628"/>
          <w:sz w:val="20"/>
        </w:rPr>
        <w:t xml:space="preserve">Replace any aggregated or arbitrary Pickup ID selection. In particular, do not use </w:t>
      </w:r>
      <w:r>
        <w:rPr>
          <w:rFonts w:ascii="Consolas" w:hAnsi="Consolas" w:eastAsia="Consolas"/>
          <w:b w:val="0"/>
          <w:i w:val="0"/>
          <w:color w:val="0A1628"/>
          <w:sz w:val="17"/>
          <w:shd w:fill="EEF2F6"/>
        </w:rPr>
        <w:t>max(pickup_id)</w:t>
      </w:r>
      <w:r>
        <w:rPr>
          <w:rFonts w:ascii="Aptos" w:hAnsi="Aptos" w:eastAsia="Aptos"/>
          <w:b w:val="0"/>
          <w:i w:val="0"/>
          <w:color w:val="0A1628"/>
          <w:sz w:val="20"/>
        </w:rPr>
        <w:t>.</w:t>
      </w:r>
    </w:p>
    <w:p>
      <w:r>
        <w:rPr>
          <w:rFonts w:ascii="Aptos" w:hAnsi="Aptos" w:eastAsia="Aptos"/>
          <w:b w:val="0"/>
          <w:i w:val="0"/>
          <w:color w:val="0A1628"/>
          <w:sz w:val="20"/>
        </w:rPr>
        <w:t>The canonical refresh query must join the source row to Data Entry by normalized Way ID:</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left join public.be_data_entry_register_rows de</w:t>
              <w:br/>
              <w:t xml:space="preserve">  on upper(trim(de.delivery_way_id)) = upper(trim(source.delivery_way_id))</w:t>
            </w:r>
          </w:p>
        </w:tc>
      </w:tr>
    </w:tbl>
    <w:p>
      <w:pPr>
        <w:spacing w:after="0"/>
      </w:pPr>
    </w:p>
    <w:p>
      <w:r>
        <w:rPr>
          <w:rFonts w:ascii="Aptos" w:hAnsi="Aptos" w:eastAsia="Aptos"/>
          <w:b w:val="0"/>
          <w:i w:val="0"/>
          <w:color w:val="0A1628"/>
          <w:sz w:val="20"/>
        </w:rPr>
        <w:t xml:space="preserve">The refreshed row must take the following values from the same </w:t>
      </w:r>
      <w:r>
        <w:rPr>
          <w:rFonts w:ascii="Consolas" w:hAnsi="Consolas" w:eastAsia="Consolas"/>
          <w:b w:val="0"/>
          <w:i w:val="0"/>
          <w:color w:val="0A1628"/>
          <w:sz w:val="17"/>
          <w:shd w:fill="EEF2F6"/>
        </w:rPr>
        <w:t>de</w:t>
      </w:r>
      <w:r>
        <w:rPr>
          <w:rFonts w:ascii="Aptos" w:hAnsi="Aptos" w:eastAsia="Aptos"/>
          <w:b w:val="0"/>
          <w:i w:val="0"/>
          <w:color w:val="0A1628"/>
          <w:sz w:val="20"/>
        </w:rPr>
        <w:t xml:space="preserve"> row:</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delivery_way_id = de.delivery_way_id</w:t>
              <w:br/>
              <w:t>pickup_id       = de.pickup_id or migration-compatible pickup_way_id</w:t>
              <w:br/>
              <w:t>merchant_code   = de.merchant_code</w:t>
            </w:r>
          </w:p>
        </w:tc>
      </w:tr>
    </w:tbl>
    <w:p>
      <w:pPr>
        <w:spacing w:after="0"/>
      </w:pPr>
    </w:p>
    <w:p>
      <w:pPr>
        <w:pStyle w:val="Heading3"/>
        <w:keepNext/>
      </w:pPr>
      <w:r>
        <w:rPr>
          <w:rFonts w:ascii="Aptos" w:hAnsi="Aptos" w:eastAsia="Aptos"/>
          <w:b w:val="0"/>
          <w:i w:val="0"/>
          <w:color w:val="0A1628"/>
          <w:sz w:val="20"/>
        </w:rPr>
        <w:t>13.4 Server validation</w:t>
      </w:r>
    </w:p>
    <w:p>
      <w:r>
        <w:rPr>
          <w:rFonts w:ascii="Aptos" w:hAnsi="Aptos" w:eastAsia="Aptos"/>
          <w:b w:val="0"/>
          <w:i w:val="0"/>
          <w:color w:val="0A1628"/>
          <w:sz w:val="20"/>
        </w:rPr>
        <w:t>For every row, calculate:</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way_merchant_code    = be_operational_id_merchant_code(delivery_way_id)</w:t>
              <w:br/>
              <w:t>pickup_merchant_code = be_operational_id_merchant_code(pickup_id)</w:t>
            </w:r>
          </w:p>
        </w:tc>
      </w:tr>
    </w:tbl>
    <w:p>
      <w:pPr>
        <w:spacing w:after="0"/>
      </w:pPr>
    </w:p>
    <w:p>
      <w:r>
        <w:rPr>
          <w:rFonts w:ascii="Aptos" w:hAnsi="Aptos" w:eastAsia="Aptos"/>
          <w:b w:val="0"/>
          <w:i w:val="0"/>
          <w:color w:val="0A1628"/>
          <w:sz w:val="20"/>
        </w:rPr>
        <w:t>The row is valid only when:</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way_merchant_code = pickup_merchant_code = upper(merchant_code)</w:t>
            </w:r>
          </w:p>
        </w:tc>
      </w:tr>
    </w:tbl>
    <w:p>
      <w:pPr>
        <w:spacing w:after="0"/>
      </w:pPr>
    </w:p>
    <w:p>
      <w:r>
        <w:rPr>
          <w:rFonts w:ascii="Aptos" w:hAnsi="Aptos" w:eastAsia="Aptos"/>
          <w:b w:val="0"/>
          <w:i w:val="0"/>
          <w:color w:val="0A1628"/>
          <w:sz w:val="20"/>
        </w:rPr>
        <w:t>A mismatch must:</w:t>
      </w:r>
    </w:p>
    <w:p>
      <w:pPr>
        <w:pStyle w:val="ListBullet"/>
        <w:ind w:left="0"/>
      </w:pPr>
      <w:r>
        <w:rPr>
          <w:rFonts w:ascii="Aptos" w:hAnsi="Aptos" w:eastAsia="Aptos"/>
          <w:b w:val="0"/>
          <w:i w:val="0"/>
          <w:color w:val="0A1628"/>
          <w:sz w:val="20"/>
        </w:rPr>
        <w:t xml:space="preserve">Open or retain one </w:t>
      </w:r>
      <w:r>
        <w:rPr>
          <w:rFonts w:ascii="Consolas" w:hAnsi="Consolas" w:eastAsia="Consolas"/>
          <w:b w:val="0"/>
          <w:i w:val="0"/>
          <w:color w:val="0A1628"/>
          <w:sz w:val="17"/>
          <w:shd w:fill="EEF2F6"/>
        </w:rPr>
        <w:t>MERCHANT_CODE_MISMATCH</w:t>
      </w:r>
      <w:r>
        <w:rPr>
          <w:rFonts w:ascii="Aptos" w:hAnsi="Aptos" w:eastAsia="Aptos"/>
          <w:b w:val="0"/>
          <w:i w:val="0"/>
          <w:color w:val="0A1628"/>
          <w:sz w:val="20"/>
        </w:rPr>
        <w:t xml:space="preserve"> variance per Way ID.</w:t>
      </w:r>
    </w:p>
    <w:p>
      <w:pPr>
        <w:pStyle w:val="ListBullet"/>
        <w:ind w:left="0"/>
      </w:pPr>
      <w:r>
        <w:rPr>
          <w:rFonts w:ascii="Aptos" w:hAnsi="Aptos" w:eastAsia="Aptos"/>
          <w:b w:val="0"/>
          <w:i w:val="0"/>
          <w:color w:val="0A1628"/>
          <w:sz w:val="20"/>
        </w:rPr>
        <w:t xml:space="preserve">Set final sync status to </w:t>
      </w:r>
      <w:r>
        <w:rPr>
          <w:rFonts w:ascii="Consolas" w:hAnsi="Consolas" w:eastAsia="Consolas"/>
          <w:b w:val="0"/>
          <w:i w:val="0"/>
          <w:color w:val="0A1628"/>
          <w:sz w:val="17"/>
          <w:shd w:fill="EEF2F6"/>
        </w:rPr>
        <w:t>VARIANCE</w:t>
      </w:r>
      <w:r>
        <w:rPr>
          <w:rFonts w:ascii="Aptos" w:hAnsi="Aptos" w:eastAsia="Aptos"/>
          <w:b w:val="0"/>
          <w:i w:val="0"/>
          <w:color w:val="0A1628"/>
          <w:sz w:val="20"/>
        </w:rPr>
        <w:t xml:space="preserve"> or equivalent non-certifiable status.</w:t>
      </w:r>
    </w:p>
    <w:p>
      <w:pPr>
        <w:pStyle w:val="ListBullet"/>
        <w:ind w:left="0"/>
      </w:pPr>
      <w:r>
        <w:rPr>
          <w:rFonts w:ascii="Aptos" w:hAnsi="Aptos" w:eastAsia="Aptos"/>
          <w:b w:val="0"/>
          <w:i w:val="0"/>
          <w:color w:val="0A1628"/>
          <w:sz w:val="20"/>
        </w:rPr>
        <w:t xml:space="preserve">Prevent </w:t>
      </w:r>
      <w:r>
        <w:rPr>
          <w:rFonts w:ascii="Consolas" w:hAnsi="Consolas" w:eastAsia="Consolas"/>
          <w:b w:val="0"/>
          <w:i w:val="0"/>
          <w:color w:val="0A1628"/>
          <w:sz w:val="17"/>
          <w:shd w:fill="EEF2F6"/>
        </w:rPr>
        <w:t>READY_TO_CERTIFY</w:t>
      </w:r>
      <w:r>
        <w:rPr>
          <w:rFonts w:ascii="Aptos" w:hAnsi="Aptos" w:eastAsia="Aptos"/>
          <w:b w:val="0"/>
          <w:i w:val="0"/>
          <w:color w:val="0A1628"/>
          <w:sz w:val="20"/>
        </w:rPr>
        <w:t>.</w:t>
      </w:r>
    </w:p>
    <w:p>
      <w:pPr>
        <w:pStyle w:val="ListBullet"/>
        <w:ind w:left="0"/>
      </w:pPr>
      <w:r>
        <w:rPr>
          <w:rFonts w:ascii="Aptos" w:hAnsi="Aptos" w:eastAsia="Aptos"/>
          <w:b w:val="0"/>
          <w:i w:val="0"/>
          <w:color w:val="0A1628"/>
          <w:sz w:val="20"/>
        </w:rPr>
        <w:t xml:space="preserve">Cause </w:t>
      </w:r>
      <w:r>
        <w:rPr>
          <w:rFonts w:ascii="Consolas" w:hAnsi="Consolas" w:eastAsia="Consolas"/>
          <w:b w:val="0"/>
          <w:i w:val="0"/>
          <w:color w:val="0A1628"/>
          <w:sz w:val="17"/>
          <w:shd w:fill="EEF2F6"/>
        </w:rPr>
        <w:t>be_final_sync_certify_v50</w:t>
      </w:r>
      <w:r>
        <w:rPr>
          <w:rFonts w:ascii="Aptos" w:hAnsi="Aptos" w:eastAsia="Aptos"/>
          <w:b w:val="0"/>
          <w:i w:val="0"/>
          <w:color w:val="0A1628"/>
          <w:sz w:val="20"/>
        </w:rPr>
        <w:t xml:space="preserve"> to fail server-side.</w:t>
      </w:r>
    </w:p>
    <w:p>
      <w:pPr>
        <w:pStyle w:val="ListBullet"/>
        <w:ind w:left="0"/>
      </w:pPr>
      <w:r>
        <w:rPr>
          <w:rFonts w:ascii="Aptos" w:hAnsi="Aptos" w:eastAsia="Aptos"/>
          <w:b w:val="0"/>
          <w:i w:val="0"/>
          <w:color w:val="0A1628"/>
          <w:sz w:val="20"/>
        </w:rPr>
        <w:t>Never replace the Pickup ID with another grouped value.</w:t>
      </w:r>
    </w:p>
    <w:p>
      <w:pPr>
        <w:pStyle w:val="Heading3"/>
        <w:keepNext/>
      </w:pPr>
      <w:r>
        <w:rPr>
          <w:rFonts w:ascii="Aptos" w:hAnsi="Aptos" w:eastAsia="Aptos"/>
          <w:b w:val="0"/>
          <w:i w:val="0"/>
          <w:color w:val="0A1628"/>
          <w:sz w:val="20"/>
        </w:rPr>
        <w:t>13.5 Required RPC behavior</w:t>
      </w:r>
    </w:p>
    <w:p>
      <w:pPr>
        <w:pStyle w:val="Heading4"/>
        <w:keepNext/>
      </w:pPr>
      <w:r>
        <w:rPr>
          <w:rFonts w:ascii="Consolas" w:hAnsi="Consolas" w:eastAsia="Consolas"/>
          <w:b w:val="0"/>
          <w:i w:val="0"/>
          <w:color w:val="0A1628"/>
          <w:sz w:val="17"/>
          <w:shd w:fill="EEF2F6"/>
        </w:rPr>
        <w:t>be_final_sync_refresh_v50(p_scope text default null)</w:t>
      </w:r>
    </w:p>
    <w:p>
      <w:r>
        <w:rPr>
          <w:rFonts w:ascii="Aptos" w:hAnsi="Aptos" w:eastAsia="Aptos"/>
          <w:b w:val="0"/>
          <w:i w:val="0"/>
          <w:color w:val="0A1628"/>
          <w:sz w:val="20"/>
        </w:rPr>
        <w:t>Return:</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w:t>
              <w:br/>
              <w:t xml:space="preserve">  "ok": true,</w:t>
              <w:br/>
              <w:t xml:space="preserve">  "rows_refreshed": 0,</w:t>
              <w:br/>
              <w:t xml:space="preserve">  "variances_opened": 0,</w:t>
              <w:br/>
              <w:t xml:space="preserve">  "variances_resolved": 0,</w:t>
              <w:br/>
              <w:t xml:space="preserve">  "lineage_mismatch_count": 0,</w:t>
              <w:br/>
              <w:t xml:space="preserve">  "build": "FINAL_SYNC_LINEAGE_V51"</w:t>
              <w:br/>
              <w:t>}</w:t>
            </w:r>
          </w:p>
        </w:tc>
      </w:tr>
    </w:tbl>
    <w:p>
      <w:pPr>
        <w:spacing w:after="0"/>
      </w:pPr>
    </w:p>
    <w:p>
      <w:pPr>
        <w:pStyle w:val="Heading4"/>
        <w:keepNext/>
      </w:pPr>
      <w:r>
        <w:rPr>
          <w:rFonts w:ascii="Consolas" w:hAnsi="Consolas" w:eastAsia="Consolas"/>
          <w:b w:val="0"/>
          <w:i w:val="0"/>
          <w:color w:val="0A1628"/>
          <w:sz w:val="17"/>
          <w:shd w:fill="EEF2F6"/>
        </w:rPr>
        <w:t>be_final_sync_snapshot_v50(p_filter text, p_limit integer)</w:t>
      </w:r>
    </w:p>
    <w:p>
      <w:r>
        <w:rPr>
          <w:rFonts w:ascii="Aptos" w:hAnsi="Aptos" w:eastAsia="Aptos"/>
          <w:b w:val="0"/>
          <w:i w:val="0"/>
          <w:color w:val="0A1628"/>
          <w:sz w:val="20"/>
        </w:rPr>
        <w:t>Every row must include:</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delivery_way_id</w:t>
              <w:br/>
              <w:t>pickup_id</w:t>
              <w:br/>
              <w:t>merchant_code</w:t>
              <w:br/>
              <w:t>way_merchant_code</w:t>
              <w:br/>
              <w:t>pickup_merchant_code</w:t>
              <w:br/>
              <w:t>lineage_valid</w:t>
              <w:br/>
              <w:t>issue_codes</w:t>
              <w:br/>
              <w:t>check_status</w:t>
              <w:br/>
              <w:t>certification_stale</w:t>
            </w:r>
          </w:p>
        </w:tc>
      </w:tr>
    </w:tbl>
    <w:p>
      <w:pPr>
        <w:spacing w:after="0"/>
      </w:pPr>
    </w:p>
    <w:p>
      <w:pPr>
        <w:pStyle w:val="Heading4"/>
        <w:keepNext/>
      </w:pPr>
      <w:r>
        <w:rPr>
          <w:rFonts w:ascii="Consolas" w:hAnsi="Consolas" w:eastAsia="Consolas"/>
          <w:b w:val="0"/>
          <w:i w:val="0"/>
          <w:color w:val="0A1628"/>
          <w:sz w:val="17"/>
          <w:shd w:fill="EEF2F6"/>
        </w:rPr>
        <w:t>be_final_sync_certify_v50(...)</w:t>
      </w:r>
    </w:p>
    <w:p>
      <w:r>
        <w:rPr>
          <w:rFonts w:ascii="Aptos" w:hAnsi="Aptos" w:eastAsia="Aptos"/>
          <w:b w:val="0"/>
          <w:i w:val="0"/>
          <w:color w:val="0A1628"/>
          <w:sz w:val="20"/>
        </w:rPr>
        <w:t>Certification must re-read current canonical lineage inside the transaction. It must not rely on the snapshot or frontend guard.</w:t>
      </w:r>
    </w:p>
    <w:p>
      <w:pPr>
        <w:pStyle w:val="Heading3"/>
        <w:keepNext/>
      </w:pPr>
      <w:r>
        <w:rPr>
          <w:rFonts w:ascii="Aptos" w:hAnsi="Aptos" w:eastAsia="Aptos"/>
          <w:b w:val="0"/>
          <w:i w:val="0"/>
          <w:color w:val="0A1628"/>
          <w:sz w:val="20"/>
        </w:rPr>
        <w:t>13.6 Historical remediation</w:t>
      </w:r>
    </w:p>
    <w:p>
      <w:pPr>
        <w:pStyle w:val="ListNumber"/>
        <w:ind w:left="0"/>
      </w:pPr>
      <w:r>
        <w:rPr>
          <w:rFonts w:ascii="Aptos" w:hAnsi="Aptos" w:eastAsia="Aptos"/>
          <w:b w:val="0"/>
          <w:i w:val="0"/>
          <w:color w:val="0A1628"/>
          <w:sz w:val="20"/>
        </w:rPr>
        <w:t>Run a read-only mismatch audit.</w:t>
      </w:r>
    </w:p>
    <w:p>
      <w:pPr>
        <w:pStyle w:val="ListNumber"/>
        <w:ind w:left="0"/>
      </w:pPr>
      <w:r>
        <w:rPr>
          <w:rFonts w:ascii="Aptos" w:hAnsi="Aptos" w:eastAsia="Aptos"/>
          <w:b w:val="0"/>
          <w:i w:val="0"/>
          <w:color w:val="0A1628"/>
          <w:sz w:val="20"/>
        </w:rPr>
        <w:t xml:space="preserve">Backfill canonical </w:t>
      </w:r>
      <w:r>
        <w:rPr>
          <w:rFonts w:ascii="Consolas" w:hAnsi="Consolas" w:eastAsia="Consolas"/>
          <w:b w:val="0"/>
          <w:i w:val="0"/>
          <w:color w:val="0A1628"/>
          <w:sz w:val="17"/>
          <w:shd w:fill="EEF2F6"/>
        </w:rPr>
        <w:t>pickup_id</w:t>
      </w:r>
      <w:r>
        <w:rPr>
          <w:rFonts w:ascii="Aptos" w:hAnsi="Aptos" w:eastAsia="Aptos"/>
          <w:b w:val="0"/>
          <w:i w:val="0"/>
          <w:color w:val="0A1628"/>
          <w:sz w:val="20"/>
        </w:rPr>
        <w:t xml:space="preserve"> from the exact Data Entry Way ID row.</w:t>
      </w:r>
    </w:p>
    <w:p>
      <w:pPr>
        <w:pStyle w:val="ListNumber"/>
        <w:ind w:left="0"/>
      </w:pPr>
      <w:r>
        <w:rPr>
          <w:rFonts w:ascii="Aptos" w:hAnsi="Aptos" w:eastAsia="Aptos"/>
          <w:b w:val="0"/>
          <w:i w:val="0"/>
          <w:color w:val="0A1628"/>
          <w:sz w:val="20"/>
        </w:rPr>
        <w:t>Refresh Final Sync.</w:t>
      </w:r>
    </w:p>
    <w:p>
      <w:pPr>
        <w:pStyle w:val="ListNumber"/>
        <w:ind w:left="0"/>
      </w:pPr>
      <w:r>
        <w:rPr>
          <w:rFonts w:ascii="Aptos" w:hAnsi="Aptos" w:eastAsia="Aptos"/>
          <w:b w:val="0"/>
          <w:i w:val="0"/>
          <w:color w:val="0A1628"/>
          <w:sz w:val="20"/>
        </w:rPr>
        <w:t>Open variances for unresolved or missing Data Entry lineage.</w:t>
      </w:r>
    </w:p>
    <w:p>
      <w:pPr>
        <w:pStyle w:val="ListNumber"/>
        <w:ind w:left="0"/>
      </w:pPr>
      <w:r>
        <w:rPr>
          <w:rFonts w:ascii="Aptos" w:hAnsi="Aptos" w:eastAsia="Aptos"/>
          <w:b w:val="0"/>
          <w:i w:val="0"/>
          <w:color w:val="0A1628"/>
          <w:sz w:val="20"/>
        </w:rPr>
        <w:t>Do not auto-certify repaired rows.</w:t>
      </w:r>
    </w:p>
    <w:p>
      <w:pPr>
        <w:pStyle w:val="ListNumber"/>
        <w:ind w:left="0"/>
      </w:pPr>
      <w:r>
        <w:rPr>
          <w:rFonts w:ascii="Aptos" w:hAnsi="Aptos" w:eastAsia="Aptos"/>
          <w:b w:val="0"/>
          <w:i w:val="0"/>
          <w:color w:val="0A1628"/>
          <w:sz w:val="20"/>
        </w:rPr>
        <w:t xml:space="preserve">Record before/after lineage in </w:t>
      </w:r>
      <w:r>
        <w:rPr>
          <w:rFonts w:ascii="Consolas" w:hAnsi="Consolas" w:eastAsia="Consolas"/>
          <w:b w:val="0"/>
          <w:i w:val="0"/>
          <w:color w:val="0A1628"/>
          <w:sz w:val="17"/>
          <w:shd w:fill="EEF2F6"/>
        </w:rPr>
        <w:t>be_audit_events</w:t>
      </w:r>
      <w:r>
        <w:rPr>
          <w:rFonts w:ascii="Aptos" w:hAnsi="Aptos" w:eastAsia="Aptos"/>
          <w:b w:val="0"/>
          <w:i w:val="0"/>
          <w:color w:val="0A1628"/>
          <w:sz w:val="20"/>
        </w:rPr>
        <w:t>.</w:t>
      </w:r>
    </w:p>
    <w:p>
      <w:pPr>
        <w:pStyle w:val="Heading3"/>
        <w:keepNext/>
      </w:pPr>
      <w:r>
        <w:rPr>
          <w:rFonts w:ascii="Aptos" w:hAnsi="Aptos" w:eastAsia="Aptos"/>
          <w:b w:val="0"/>
          <w:i w:val="0"/>
          <w:color w:val="0A1628"/>
          <w:sz w:val="20"/>
        </w:rPr>
        <w:t>13.7 Acceptance criteria</w:t>
      </w:r>
    </w:p>
    <w:p>
      <w:pPr>
        <w:pStyle w:val="ListBullet"/>
        <w:ind w:left="0"/>
      </w:pPr>
      <w:r>
        <w:rPr>
          <w:rFonts w:ascii="Aptos" w:hAnsi="Aptos" w:eastAsia="Aptos"/>
          <w:b w:val="0"/>
          <w:i w:val="0"/>
          <w:color w:val="0A1628"/>
          <w:sz w:val="20"/>
        </w:rPr>
        <w:t>One Way ID can resolve to only one canonical Pickup ID.</w:t>
      </w:r>
    </w:p>
    <w:p>
      <w:pPr>
        <w:pStyle w:val="ListBullet"/>
        <w:ind w:left="0"/>
      </w:pPr>
      <w:r>
        <w:rPr>
          <w:rFonts w:ascii="Aptos" w:hAnsi="Aptos" w:eastAsia="Aptos"/>
          <w:b w:val="0"/>
          <w:i w:val="0"/>
          <w:color w:val="0A1628"/>
          <w:sz w:val="20"/>
        </w:rPr>
        <w:t>A mismatch cannot be certified through UI, direct RPC, or replayed request.</w:t>
      </w:r>
    </w:p>
    <w:p>
      <w:pPr>
        <w:pStyle w:val="ListBullet"/>
        <w:ind w:left="0"/>
      </w:pPr>
      <w:r>
        <w:rPr>
          <w:rFonts w:ascii="Aptos" w:hAnsi="Aptos" w:eastAsia="Aptos"/>
          <w:b w:val="0"/>
          <w:i w:val="0"/>
          <w:color w:val="0A1628"/>
          <w:sz w:val="20"/>
        </w:rPr>
        <w:t xml:space="preserve">No refresh query contains </w:t>
      </w:r>
      <w:r>
        <w:rPr>
          <w:rFonts w:ascii="Consolas" w:hAnsi="Consolas" w:eastAsia="Consolas"/>
          <w:b w:val="0"/>
          <w:i w:val="0"/>
          <w:color w:val="0A1628"/>
          <w:sz w:val="17"/>
          <w:shd w:fill="EEF2F6"/>
        </w:rPr>
        <w:t>max(pickup_id)</w:t>
      </w:r>
      <w:r>
        <w:rPr>
          <w:rFonts w:ascii="Aptos" w:hAnsi="Aptos" w:eastAsia="Aptos"/>
          <w:b w:val="0"/>
          <w:i w:val="0"/>
          <w:color w:val="0A1628"/>
          <w:sz w:val="20"/>
        </w:rPr>
        <w:t xml:space="preserve"> or an equivalent arbitrary aggregate.</w:t>
      </w:r>
    </w:p>
    <w:p>
      <w:pPr>
        <w:pStyle w:val="ListBullet"/>
        <w:ind w:left="0"/>
      </w:pPr>
      <w:r>
        <w:rPr>
          <w:rFonts w:ascii="Aptos" w:hAnsi="Aptos" w:eastAsia="Aptos"/>
          <w:b w:val="0"/>
          <w:i w:val="0"/>
          <w:color w:val="0A1628"/>
          <w:sz w:val="20"/>
        </w:rPr>
        <w:t>Refreshing the same scope twice is idempotent.</w:t>
      </w:r>
    </w:p>
    <w:p>
      <w:pPr>
        <w:pStyle w:val="ListBullet"/>
        <w:ind w:left="0"/>
      </w:pPr>
      <w:r>
        <w:rPr>
          <w:rFonts w:ascii="Aptos" w:hAnsi="Aptos" w:eastAsia="Aptos"/>
          <w:b w:val="0"/>
          <w:i w:val="0"/>
          <w:color w:val="0A1628"/>
          <w:sz w:val="20"/>
        </w:rPr>
        <w:t>Valid rows remain valid and are not reassigned to another pickup.</w:t>
      </w:r>
    </w:p>
    <w:p>
      <w:pPr>
        <w:pStyle w:val="Heading2"/>
        <w:keepNext/>
      </w:pPr>
      <w:r>
        <w:rPr>
          <w:rFonts w:ascii="Aptos" w:hAnsi="Aptos" w:eastAsia="Aptos"/>
          <w:b w:val="0"/>
          <w:i w:val="0"/>
          <w:color w:val="0A1628"/>
          <w:sz w:val="20"/>
        </w:rPr>
        <w:t>14. Business Development Command Centre</w:t>
      </w:r>
    </w:p>
    <w:p>
      <w:pPr>
        <w:pStyle w:val="Heading3"/>
        <w:keepNext/>
      </w:pPr>
      <w:r>
        <w:rPr>
          <w:rFonts w:ascii="Aptos" w:hAnsi="Aptos" w:eastAsia="Aptos"/>
          <w:b w:val="0"/>
          <w:i w:val="0"/>
          <w:color w:val="0A1628"/>
          <w:sz w:val="20"/>
        </w:rPr>
        <w:t>14.1 Route consolidation</w:t>
      </w:r>
    </w:p>
    <w:p>
      <w:r>
        <w:rPr>
          <w:rFonts w:ascii="Aptos" w:hAnsi="Aptos" w:eastAsia="Aptos"/>
          <w:b w:val="0"/>
          <w:i w:val="0"/>
          <w:color w:val="0A1628"/>
          <w:sz w:val="20"/>
        </w:rPr>
        <w:t xml:space="preserve">Replace the active </w:t>
      </w:r>
      <w:r>
        <w:rPr>
          <w:rFonts w:ascii="Consolas" w:hAnsi="Consolas" w:eastAsia="Consolas"/>
          <w:b w:val="0"/>
          <w:i w:val="0"/>
          <w:color w:val="0A1628"/>
          <w:sz w:val="17"/>
          <w:shd w:fill="EEF2F6"/>
        </w:rPr>
        <w:t>/biz-dev</w:t>
      </w:r>
      <w:r>
        <w:rPr>
          <w:rFonts w:ascii="Aptos" w:hAnsi="Aptos" w:eastAsia="Aptos"/>
          <w:b w:val="0"/>
          <w:i w:val="0"/>
          <w:color w:val="0A1628"/>
          <w:sz w:val="20"/>
        </w:rPr>
        <w:t xml:space="preserve"> page with one production component:</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src/pages/BusinessDevelopmentCommandPage.tsx</w:t>
            </w:r>
          </w:p>
        </w:tc>
      </w:tr>
    </w:tbl>
    <w:p>
      <w:pPr>
        <w:spacing w:after="0"/>
      </w:pPr>
    </w:p>
    <w:p>
      <w:r>
        <w:rPr>
          <w:rFonts w:ascii="Aptos" w:hAnsi="Aptos" w:eastAsia="Aptos"/>
          <w:b w:val="0"/>
          <w:i w:val="0"/>
          <w:color w:val="0A1628"/>
          <w:sz w:val="20"/>
        </w:rPr>
        <w:t>Remove or redirect duplicate Business Development page variants after parity testing. Do not maintain multiple pages calling different dashboard RPCs.</w:t>
      </w:r>
    </w:p>
    <w:p>
      <w:pPr>
        <w:pStyle w:val="Heading3"/>
        <w:keepNext/>
      </w:pPr>
      <w:r>
        <w:rPr>
          <w:rFonts w:ascii="Aptos" w:hAnsi="Aptos" w:eastAsia="Aptos"/>
          <w:b w:val="0"/>
          <w:i w:val="0"/>
          <w:color w:val="0A1628"/>
          <w:sz w:val="20"/>
        </w:rPr>
        <w:t>14.2 Consolidated RPC</w:t>
      </w:r>
    </w:p>
    <w:p>
      <w:r>
        <w:rPr>
          <w:rFonts w:ascii="Aptos" w:hAnsi="Aptos" w:eastAsia="Aptos"/>
          <w:b w:val="0"/>
          <w:i w:val="0"/>
          <w:color w:val="0A1628"/>
          <w:sz w:val="20"/>
        </w:rPr>
        <w:t>Create:</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be_business_development_command_v54(p_payload jsonb default '{}'::jsonb)</w:t>
            </w:r>
          </w:p>
        </w:tc>
      </w:tr>
    </w:tbl>
    <w:p>
      <w:pPr>
        <w:spacing w:after="0"/>
      </w:pPr>
    </w:p>
    <w:p>
      <w:r>
        <w:rPr>
          <w:rFonts w:ascii="Aptos" w:hAnsi="Aptos" w:eastAsia="Aptos"/>
          <w:b w:val="0"/>
          <w:i w:val="0"/>
          <w:color w:val="0A1628"/>
          <w:sz w:val="20"/>
        </w:rPr>
        <w:t>Request filters:</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period_from</w:t>
              <w:br/>
              <w:t>period_to</w:t>
              <w:br/>
              <w:t>branch_code</w:t>
              <w:br/>
              <w:t>township</w:t>
              <w:br/>
              <w:t>merchant_status</w:t>
              <w:br/>
              <w:t>owner_employee_id</w:t>
              <w:br/>
              <w:t>pipeline_stage</w:t>
            </w:r>
          </w:p>
        </w:tc>
      </w:tr>
    </w:tbl>
    <w:p>
      <w:pPr>
        <w:spacing w:after="0"/>
      </w:pPr>
    </w:p>
    <w:p>
      <w:r>
        <w:rPr>
          <w:rFonts w:ascii="Aptos" w:hAnsi="Aptos" w:eastAsia="Aptos"/>
          <w:b w:val="0"/>
          <w:i w:val="0"/>
          <w:color w:val="0A1628"/>
          <w:sz w:val="20"/>
        </w:rPr>
        <w:t>Response groups:</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summary</w:t>
              <w:br/>
              <w:t>volume_series</w:t>
              <w:br/>
              <w:t>merchant_segments</w:t>
              <w:br/>
              <w:t>merchant_ranking</w:t>
              <w:br/>
              <w:t>merchant_growth</w:t>
              <w:br/>
              <w:t>pipeline</w:t>
              <w:br/>
              <w:t>onboarding</w:t>
              <w:br/>
              <w:t>marketing_attribution</w:t>
              <w:br/>
              <w:t>customer_service</w:t>
              <w:br/>
              <w:t>failed_deliveries</w:t>
              <w:br/>
              <w:t>settlements</w:t>
              <w:br/>
              <w:t>branches</w:t>
              <w:br/>
              <w:t>townships</w:t>
              <w:br/>
              <w:t>targets</w:t>
              <w:br/>
              <w:t>forecast</w:t>
              <w:br/>
              <w:t>capacity_warnings</w:t>
              <w:br/>
              <w:t>plans_policies</w:t>
            </w:r>
          </w:p>
        </w:tc>
      </w:tr>
    </w:tbl>
    <w:p>
      <w:pPr>
        <w:spacing w:after="0"/>
      </w:pPr>
    </w:p>
    <w:p>
      <w:pPr>
        <w:pStyle w:val="Heading3"/>
        <w:keepNext/>
      </w:pPr>
      <w:r>
        <w:rPr>
          <w:rFonts w:ascii="Aptos" w:hAnsi="Aptos" w:eastAsia="Aptos"/>
          <w:b w:val="0"/>
          <w:i w:val="0"/>
          <w:color w:val="0A1628"/>
          <w:sz w:val="20"/>
        </w:rPr>
        <w:t>14.3 Required tabs</w:t>
      </w:r>
    </w:p>
    <w:p>
      <w:pPr>
        <w:pStyle w:val="ListBullet"/>
        <w:ind w:left="0"/>
      </w:pPr>
      <w:r>
        <w:rPr>
          <w:rFonts w:ascii="Aptos" w:hAnsi="Aptos" w:eastAsia="Aptos"/>
          <w:b w:val="0"/>
          <w:i w:val="0"/>
          <w:color w:val="0A1628"/>
          <w:sz w:val="20"/>
        </w:rPr>
        <w:t>Executive Summary</w:t>
      </w:r>
    </w:p>
    <w:p>
      <w:pPr>
        <w:pStyle w:val="ListBullet"/>
        <w:ind w:left="0"/>
      </w:pPr>
      <w:r>
        <w:rPr>
          <w:rFonts w:ascii="Aptos" w:hAnsi="Aptos" w:eastAsia="Aptos"/>
          <w:b w:val="0"/>
          <w:i w:val="0"/>
          <w:color w:val="0A1628"/>
          <w:sz w:val="20"/>
        </w:rPr>
        <w:t>Merchant Growth</w:t>
      </w:r>
    </w:p>
    <w:p>
      <w:pPr>
        <w:pStyle w:val="ListBullet"/>
        <w:ind w:left="0"/>
      </w:pPr>
      <w:r>
        <w:rPr>
          <w:rFonts w:ascii="Aptos" w:hAnsi="Aptos" w:eastAsia="Aptos"/>
          <w:b w:val="0"/>
          <w:i w:val="0"/>
          <w:color w:val="0A1628"/>
          <w:sz w:val="20"/>
        </w:rPr>
        <w:t>Sales Pipeline</w:t>
      </w:r>
    </w:p>
    <w:p>
      <w:pPr>
        <w:pStyle w:val="ListBullet"/>
        <w:ind w:left="0"/>
      </w:pPr>
      <w:r>
        <w:rPr>
          <w:rFonts w:ascii="Aptos" w:hAnsi="Aptos" w:eastAsia="Aptos"/>
          <w:b w:val="0"/>
          <w:i w:val="0"/>
          <w:color w:val="0A1628"/>
          <w:sz w:val="20"/>
        </w:rPr>
        <w:t>Marketing Performance</w:t>
      </w:r>
    </w:p>
    <w:p>
      <w:pPr>
        <w:pStyle w:val="ListBullet"/>
        <w:ind w:left="0"/>
      </w:pPr>
      <w:r>
        <w:rPr>
          <w:rFonts w:ascii="Aptos" w:hAnsi="Aptos" w:eastAsia="Aptos"/>
          <w:b w:val="0"/>
          <w:i w:val="0"/>
          <w:color w:val="0A1628"/>
          <w:sz w:val="20"/>
        </w:rPr>
        <w:t>Customer Service</w:t>
      </w:r>
    </w:p>
    <w:p>
      <w:pPr>
        <w:pStyle w:val="ListBullet"/>
        <w:ind w:left="0"/>
      </w:pPr>
      <w:r>
        <w:rPr>
          <w:rFonts w:ascii="Aptos" w:hAnsi="Aptos" w:eastAsia="Aptos"/>
          <w:b w:val="0"/>
          <w:i w:val="0"/>
          <w:color w:val="0A1628"/>
          <w:sz w:val="20"/>
        </w:rPr>
        <w:t>Daily Operations</w:t>
      </w:r>
    </w:p>
    <w:p>
      <w:pPr>
        <w:pStyle w:val="ListBullet"/>
        <w:ind w:left="0"/>
      </w:pPr>
      <w:r>
        <w:rPr>
          <w:rFonts w:ascii="Aptos" w:hAnsi="Aptos" w:eastAsia="Aptos"/>
          <w:b w:val="0"/>
          <w:i w:val="0"/>
          <w:color w:val="0A1628"/>
          <w:sz w:val="20"/>
        </w:rPr>
        <w:t>Plans &amp; Policies</w:t>
      </w:r>
    </w:p>
    <w:p>
      <w:pPr>
        <w:pStyle w:val="Heading3"/>
        <w:keepNext/>
      </w:pPr>
      <w:r>
        <w:rPr>
          <w:rFonts w:ascii="Aptos" w:hAnsi="Aptos" w:eastAsia="Aptos"/>
          <w:b w:val="0"/>
          <w:i w:val="0"/>
          <w:color w:val="0A1628"/>
          <w:sz w:val="20"/>
        </w:rPr>
        <w:t>14.4 Core metrics</w:t>
      </w:r>
    </w:p>
    <w:p>
      <w:pPr>
        <w:pStyle w:val="ListBullet"/>
        <w:ind w:left="0"/>
      </w:pPr>
      <w:r>
        <w:rPr>
          <w:rFonts w:ascii="Aptos" w:hAnsi="Aptos" w:eastAsia="Aptos"/>
          <w:b w:val="0"/>
          <w:i w:val="0"/>
          <w:color w:val="0A1628"/>
          <w:sz w:val="20"/>
        </w:rPr>
        <w:t>Daily, weekly, and monthly parcel volume.</w:t>
      </w:r>
    </w:p>
    <w:p>
      <w:pPr>
        <w:pStyle w:val="ListBullet"/>
        <w:ind w:left="0"/>
      </w:pPr>
      <w:r>
        <w:rPr>
          <w:rFonts w:ascii="Aptos" w:hAnsi="Aptos" w:eastAsia="Aptos"/>
          <w:b w:val="0"/>
          <w:i w:val="0"/>
          <w:color w:val="0A1628"/>
          <w:sz w:val="20"/>
        </w:rPr>
        <w:t>New merchants acquired.</w:t>
      </w:r>
    </w:p>
    <w:p>
      <w:pPr>
        <w:pStyle w:val="ListBullet"/>
        <w:ind w:left="0"/>
      </w:pPr>
      <w:r>
        <w:rPr>
          <w:rFonts w:ascii="Aptos" w:hAnsi="Aptos" w:eastAsia="Aptos"/>
          <w:b w:val="0"/>
          <w:i w:val="0"/>
          <w:color w:val="0A1628"/>
          <w:sz w:val="20"/>
        </w:rPr>
        <w:t>Active, dormant, and lost merchants.</w:t>
      </w:r>
    </w:p>
    <w:p>
      <w:pPr>
        <w:pStyle w:val="ListBullet"/>
        <w:ind w:left="0"/>
      </w:pPr>
      <w:r>
        <w:rPr>
          <w:rFonts w:ascii="Aptos" w:hAnsi="Aptos" w:eastAsia="Aptos"/>
          <w:b w:val="0"/>
          <w:i w:val="0"/>
          <w:color w:val="0A1628"/>
          <w:sz w:val="20"/>
        </w:rPr>
        <w:t>Merchant ranking and volume share.</w:t>
      </w:r>
    </w:p>
    <w:p>
      <w:pPr>
        <w:pStyle w:val="ListBullet"/>
        <w:ind w:left="0"/>
      </w:pPr>
      <w:r>
        <w:rPr>
          <w:rFonts w:ascii="Aptos" w:hAnsi="Aptos" w:eastAsia="Aptos"/>
          <w:b w:val="0"/>
          <w:i w:val="0"/>
          <w:color w:val="0A1628"/>
          <w:sz w:val="20"/>
        </w:rPr>
        <w:t>Pipeline count and value by stage.</w:t>
      </w:r>
    </w:p>
    <w:p>
      <w:pPr>
        <w:pStyle w:val="ListBullet"/>
        <w:ind w:left="0"/>
      </w:pPr>
      <w:r>
        <w:rPr>
          <w:rFonts w:ascii="Aptos" w:hAnsi="Aptos" w:eastAsia="Aptos"/>
          <w:b w:val="0"/>
          <w:i w:val="0"/>
          <w:color w:val="0A1628"/>
          <w:sz w:val="20"/>
        </w:rPr>
        <w:t>Prospect-to-merchant conversion.</w:t>
      </w:r>
    </w:p>
    <w:p>
      <w:pPr>
        <w:pStyle w:val="ListBullet"/>
        <w:ind w:left="0"/>
      </w:pPr>
      <w:r>
        <w:rPr>
          <w:rFonts w:ascii="Aptos" w:hAnsi="Aptos" w:eastAsia="Aptos"/>
          <w:b w:val="0"/>
          <w:i w:val="0"/>
          <w:color w:val="0A1628"/>
          <w:sz w:val="20"/>
        </w:rPr>
        <w:t>Merchant onboarding progress.</w:t>
      </w:r>
    </w:p>
    <w:p>
      <w:pPr>
        <w:pStyle w:val="ListBullet"/>
        <w:ind w:left="0"/>
      </w:pPr>
      <w:r>
        <w:rPr>
          <w:rFonts w:ascii="Aptos" w:hAnsi="Aptos" w:eastAsia="Aptos"/>
          <w:b w:val="0"/>
          <w:i w:val="0"/>
          <w:color w:val="0A1628"/>
          <w:sz w:val="20"/>
        </w:rPr>
        <w:t>Marketing leads and conversions.</w:t>
      </w:r>
    </w:p>
    <w:p>
      <w:pPr>
        <w:pStyle w:val="ListBullet"/>
        <w:ind w:left="0"/>
      </w:pPr>
      <w:r>
        <w:rPr>
          <w:rFonts w:ascii="Aptos" w:hAnsi="Aptos" w:eastAsia="Aptos"/>
          <w:b w:val="0"/>
          <w:i w:val="0"/>
          <w:color w:val="0A1628"/>
          <w:sz w:val="20"/>
        </w:rPr>
        <w:t>Complaint count and closure time.</w:t>
      </w:r>
    </w:p>
    <w:p>
      <w:pPr>
        <w:pStyle w:val="ListBullet"/>
        <w:ind w:left="0"/>
      </w:pPr>
      <w:r>
        <w:rPr>
          <w:rFonts w:ascii="Aptos" w:hAnsi="Aptos" w:eastAsia="Aptos"/>
          <w:b w:val="0"/>
          <w:i w:val="0"/>
          <w:color w:val="0A1628"/>
          <w:sz w:val="20"/>
        </w:rPr>
        <w:t>Failed deliveries and exception reasons.</w:t>
      </w:r>
    </w:p>
    <w:p>
      <w:pPr>
        <w:pStyle w:val="ListBullet"/>
        <w:ind w:left="0"/>
      </w:pPr>
      <w:r>
        <w:rPr>
          <w:rFonts w:ascii="Aptos" w:hAnsi="Aptos" w:eastAsia="Aptos"/>
          <w:b w:val="0"/>
          <w:i w:val="0"/>
          <w:color w:val="0A1628"/>
          <w:sz w:val="20"/>
        </w:rPr>
        <w:t>COD collection and settlement performance.</w:t>
      </w:r>
    </w:p>
    <w:p>
      <w:pPr>
        <w:pStyle w:val="ListBullet"/>
        <w:ind w:left="0"/>
      </w:pPr>
      <w:r>
        <w:rPr>
          <w:rFonts w:ascii="Aptos" w:hAnsi="Aptos" w:eastAsia="Aptos"/>
          <w:b w:val="0"/>
          <w:i w:val="0"/>
          <w:color w:val="0A1628"/>
          <w:sz w:val="20"/>
        </w:rPr>
        <w:t>Branch and township growth.</w:t>
      </w:r>
    </w:p>
    <w:p>
      <w:pPr>
        <w:pStyle w:val="ListBullet"/>
        <w:ind w:left="0"/>
      </w:pPr>
      <w:r>
        <w:rPr>
          <w:rFonts w:ascii="Aptos" w:hAnsi="Aptos" w:eastAsia="Aptos"/>
          <w:b w:val="0"/>
          <w:i w:val="0"/>
          <w:color w:val="0A1628"/>
          <w:sz w:val="20"/>
        </w:rPr>
        <w:t>Target versus actual.</w:t>
      </w:r>
    </w:p>
    <w:p>
      <w:pPr>
        <w:pStyle w:val="ListBullet"/>
        <w:ind w:left="0"/>
      </w:pPr>
      <w:r>
        <w:rPr>
          <w:rFonts w:ascii="Aptos" w:hAnsi="Aptos" w:eastAsia="Aptos"/>
          <w:b w:val="0"/>
          <w:i w:val="0"/>
          <w:color w:val="0A1628"/>
          <w:sz w:val="20"/>
        </w:rPr>
        <w:t>Forecasted volume.</w:t>
      </w:r>
    </w:p>
    <w:p>
      <w:pPr>
        <w:pStyle w:val="ListBullet"/>
        <w:ind w:left="0"/>
      </w:pPr>
      <w:r>
        <w:rPr>
          <w:rFonts w:ascii="Aptos" w:hAnsi="Aptos" w:eastAsia="Aptos"/>
          <w:b w:val="0"/>
          <w:i w:val="0"/>
          <w:color w:val="0A1628"/>
          <w:sz w:val="20"/>
        </w:rPr>
        <w:t>Operational capacity warnings.</w:t>
      </w:r>
    </w:p>
    <w:p>
      <w:pPr>
        <w:pStyle w:val="Heading3"/>
        <w:keepNext/>
      </w:pPr>
      <w:r>
        <w:rPr>
          <w:rFonts w:ascii="Aptos" w:hAnsi="Aptos" w:eastAsia="Aptos"/>
          <w:b w:val="0"/>
          <w:i w:val="0"/>
          <w:color w:val="0A1628"/>
          <w:sz w:val="20"/>
        </w:rPr>
        <w:t>14.5 Plans and policies</w:t>
      </w:r>
    </w:p>
    <w:p>
      <w:r>
        <w:rPr>
          <w:rFonts w:ascii="Aptos" w:hAnsi="Aptos" w:eastAsia="Aptos"/>
          <w:b w:val="0"/>
          <w:i w:val="0"/>
          <w:color w:val="0A1628"/>
          <w:sz w:val="20"/>
        </w:rPr>
        <w:t>Create records with:</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owner_employee_id</w:t>
              <w:br/>
              <w:t>department_code</w:t>
              <w:br/>
              <w:t>title</w:t>
              <w:br/>
              <w:t>description</w:t>
              <w:br/>
              <w:t>target_date</w:t>
              <w:br/>
              <w:t>kpi_code</w:t>
              <w:br/>
              <w:t>target_value</w:t>
              <w:br/>
              <w:t>current_result</w:t>
              <w:br/>
              <w:t>status</w:t>
              <w:br/>
              <w:t>review_note</w:t>
              <w:br/>
              <w:t>approval_status</w:t>
              <w:br/>
              <w:t>approved_by</w:t>
              <w:br/>
              <w:t>approved_at</w:t>
            </w:r>
          </w:p>
        </w:tc>
      </w:tr>
    </w:tbl>
    <w:p>
      <w:pPr>
        <w:spacing w:after="0"/>
      </w:pPr>
    </w:p>
    <w:p>
      <w:r>
        <w:rPr>
          <w:rFonts w:ascii="Aptos" w:hAnsi="Aptos" w:eastAsia="Aptos"/>
          <w:b w:val="0"/>
          <w:i w:val="0"/>
          <w:color w:val="0A1628"/>
          <w:sz w:val="20"/>
        </w:rPr>
        <w:t>Mutation RPCs:</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be_bd_plan_create_v54</w:t>
              <w:br/>
              <w:t>be_bd_plan_update_v54</w:t>
              <w:br/>
              <w:t>be_bd_plan_submit_v54</w:t>
              <w:br/>
              <w:t>be_bd_plan_approve_v54</w:t>
              <w:br/>
              <w:t>be_bd_plan_reject_v54</w:t>
            </w:r>
          </w:p>
        </w:tc>
      </w:tr>
    </w:tbl>
    <w:p>
      <w:pPr>
        <w:spacing w:after="0"/>
      </w:pPr>
    </w:p>
    <w:p>
      <w:pPr>
        <w:pStyle w:val="Heading3"/>
        <w:keepNext/>
      </w:pPr>
      <w:r>
        <w:rPr>
          <w:rFonts w:ascii="Aptos" w:hAnsi="Aptos" w:eastAsia="Aptos"/>
          <w:b w:val="0"/>
          <w:i w:val="0"/>
          <w:color w:val="0A1628"/>
          <w:sz w:val="20"/>
        </w:rPr>
        <w:t>14.6 Acceptance criteria</w:t>
      </w:r>
    </w:p>
    <w:p>
      <w:pPr>
        <w:pStyle w:val="ListBullet"/>
        <w:ind w:left="0"/>
      </w:pPr>
      <w:r>
        <w:rPr>
          <w:rFonts w:ascii="Aptos" w:hAnsi="Aptos" w:eastAsia="Aptos"/>
          <w:b w:val="0"/>
          <w:i w:val="0"/>
          <w:color w:val="0A1628"/>
          <w:sz w:val="20"/>
        </w:rPr>
        <w:t>No KPI is hardcoded.</w:t>
      </w:r>
    </w:p>
    <w:p>
      <w:pPr>
        <w:pStyle w:val="ListBullet"/>
        <w:ind w:left="0"/>
      </w:pPr>
      <w:r>
        <w:rPr>
          <w:rFonts w:ascii="Aptos" w:hAnsi="Aptos" w:eastAsia="Aptos"/>
          <w:b w:val="0"/>
          <w:i w:val="0"/>
          <w:color w:val="0A1628"/>
          <w:sz w:val="20"/>
        </w:rPr>
        <w:t>Every metric contains a defined source and date range.</w:t>
      </w:r>
    </w:p>
    <w:p>
      <w:pPr>
        <w:pStyle w:val="ListBullet"/>
        <w:ind w:left="0"/>
      </w:pPr>
      <w:r>
        <w:rPr>
          <w:rFonts w:ascii="Aptos" w:hAnsi="Aptos" w:eastAsia="Aptos"/>
          <w:b w:val="0"/>
          <w:i w:val="0"/>
          <w:color w:val="0A1628"/>
          <w:sz w:val="20"/>
        </w:rPr>
        <w:t>Merchant counts reconcile to the merchant master and parcel facts.</w:t>
      </w:r>
    </w:p>
    <w:p>
      <w:pPr>
        <w:pStyle w:val="ListBullet"/>
        <w:ind w:left="0"/>
      </w:pPr>
      <w:r>
        <w:rPr>
          <w:rFonts w:ascii="Aptos" w:hAnsi="Aptos" w:eastAsia="Aptos"/>
          <w:b w:val="0"/>
          <w:i w:val="0"/>
          <w:color w:val="0A1628"/>
          <w:sz w:val="20"/>
        </w:rPr>
        <w:t>Drill-down totals equal dashboard totals.</w:t>
      </w:r>
    </w:p>
    <w:p>
      <w:pPr>
        <w:pStyle w:val="ListBullet"/>
        <w:ind w:left="0"/>
      </w:pPr>
      <w:r>
        <w:rPr>
          <w:rFonts w:ascii="Aptos" w:hAnsi="Aptos" w:eastAsia="Aptos"/>
          <w:b w:val="0"/>
          <w:i w:val="0"/>
          <w:color w:val="0A1628"/>
          <w:sz w:val="20"/>
        </w:rPr>
        <w:t>Empty states distinguish "no records" from "RPC failed".</w:t>
      </w:r>
    </w:p>
    <w:p>
      <w:pPr>
        <w:pStyle w:val="ListBullet"/>
        <w:ind w:left="0"/>
      </w:pPr>
      <w:r>
        <w:rPr>
          <w:rFonts w:ascii="Aptos" w:hAnsi="Aptos" w:eastAsia="Aptos"/>
          <w:b w:val="0"/>
          <w:i w:val="0"/>
          <w:color w:val="0A1628"/>
          <w:sz w:val="20"/>
        </w:rPr>
        <w:t>Exported reports use the same filtered dataset as the UI.</w:t>
      </w:r>
    </w:p>
    <w:p>
      <w:pPr>
        <w:pStyle w:val="Heading2"/>
        <w:keepNext/>
      </w:pPr>
      <w:r>
        <w:rPr>
          <w:rFonts w:ascii="Aptos" w:hAnsi="Aptos" w:eastAsia="Aptos"/>
          <w:b w:val="0"/>
          <w:i w:val="0"/>
          <w:color w:val="0A1628"/>
          <w:sz w:val="20"/>
        </w:rPr>
        <w:t>15. Live Marketing and Marketing Portal</w:t>
      </w:r>
    </w:p>
    <w:p>
      <w:pPr>
        <w:pStyle w:val="Heading3"/>
        <w:keepNext/>
      </w:pPr>
      <w:r>
        <w:rPr>
          <w:rFonts w:ascii="Aptos" w:hAnsi="Aptos" w:eastAsia="Aptos"/>
          <w:b w:val="0"/>
          <w:i w:val="0"/>
          <w:color w:val="0A1628"/>
          <w:sz w:val="20"/>
        </w:rPr>
        <w:t>15.1 Live Marketing purpose</w:t>
      </w:r>
    </w:p>
    <w:p>
      <w:r>
        <w:rPr>
          <w:rFonts w:ascii="Aptos" w:hAnsi="Aptos" w:eastAsia="Aptos"/>
          <w:b w:val="0"/>
          <w:i w:val="0"/>
          <w:color w:val="0A1628"/>
          <w:sz w:val="20"/>
        </w:rPr>
        <w:t xml:space="preserve">Route: </w:t>
      </w:r>
      <w:r>
        <w:rPr>
          <w:rFonts w:ascii="Consolas" w:hAnsi="Consolas" w:eastAsia="Consolas"/>
          <w:b w:val="0"/>
          <w:i w:val="0"/>
          <w:color w:val="0A1628"/>
          <w:sz w:val="17"/>
          <w:shd w:fill="EEF2F6"/>
        </w:rPr>
        <w:t>/marketing</w:t>
      </w:r>
    </w:p>
    <w:p>
      <w:r>
        <w:rPr>
          <w:rFonts w:ascii="Aptos" w:hAnsi="Aptos" w:eastAsia="Aptos"/>
          <w:b w:val="0"/>
          <w:i w:val="0"/>
          <w:color w:val="0A1628"/>
          <w:sz w:val="20"/>
        </w:rPr>
        <w:t>Purpose: analytical performance dashboard based on real merchant, parcel, campaign, finance, branch, and township facts.</w:t>
      </w:r>
    </w:p>
    <w:p>
      <w:r>
        <w:rPr>
          <w:rFonts w:ascii="Aptos" w:hAnsi="Aptos" w:eastAsia="Aptos"/>
          <w:b w:val="0"/>
          <w:i w:val="0"/>
          <w:color w:val="0A1628"/>
          <w:sz w:val="20"/>
        </w:rPr>
        <w:t>Create:</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be_live_marketing_snapshot_v54(p_payload jsonb)</w:t>
            </w:r>
          </w:p>
        </w:tc>
      </w:tr>
    </w:tbl>
    <w:p>
      <w:pPr>
        <w:spacing w:after="0"/>
      </w:pPr>
    </w:p>
    <w:p>
      <w:r>
        <w:rPr>
          <w:rFonts w:ascii="Aptos" w:hAnsi="Aptos" w:eastAsia="Aptos"/>
          <w:b w:val="0"/>
          <w:i w:val="0"/>
          <w:color w:val="0A1628"/>
          <w:sz w:val="20"/>
        </w:rPr>
        <w:t>Required content:</w:t>
      </w:r>
    </w:p>
    <w:p>
      <w:pPr>
        <w:pStyle w:val="ListBullet"/>
        <w:ind w:left="0"/>
      </w:pPr>
      <w:r>
        <w:rPr>
          <w:rFonts w:ascii="Aptos" w:hAnsi="Aptos" w:eastAsia="Aptos"/>
          <w:b w:val="0"/>
          <w:i w:val="0"/>
          <w:color w:val="0A1628"/>
          <w:sz w:val="20"/>
        </w:rPr>
        <w:t>Merchant ranking highest to lowest.</w:t>
      </w:r>
    </w:p>
    <w:p>
      <w:pPr>
        <w:pStyle w:val="ListBullet"/>
        <w:ind w:left="0"/>
      </w:pPr>
      <w:r>
        <w:rPr>
          <w:rFonts w:ascii="Aptos" w:hAnsi="Aptos" w:eastAsia="Aptos"/>
          <w:b w:val="0"/>
          <w:i w:val="0"/>
          <w:color w:val="0A1628"/>
          <w:sz w:val="20"/>
        </w:rPr>
        <w:t>Merchant volume share.</w:t>
      </w:r>
    </w:p>
    <w:p>
      <w:pPr>
        <w:pStyle w:val="ListBullet"/>
        <w:ind w:left="0"/>
      </w:pPr>
      <w:r>
        <w:rPr>
          <w:rFonts w:ascii="Aptos" w:hAnsi="Aptos" w:eastAsia="Aptos"/>
          <w:b w:val="0"/>
          <w:i w:val="0"/>
          <w:color w:val="0A1628"/>
          <w:sz w:val="20"/>
        </w:rPr>
        <w:t>Daily, weekly, and monthly volume.</w:t>
      </w:r>
    </w:p>
    <w:p>
      <w:pPr>
        <w:pStyle w:val="ListBullet"/>
        <w:ind w:left="0"/>
      </w:pPr>
      <w:r>
        <w:rPr>
          <w:rFonts w:ascii="Aptos" w:hAnsi="Aptos" w:eastAsia="Aptos"/>
          <w:b w:val="0"/>
          <w:i w:val="0"/>
          <w:color w:val="0A1628"/>
          <w:sz w:val="20"/>
        </w:rPr>
        <w:t>Sales target versus actual.</w:t>
      </w:r>
    </w:p>
    <w:p>
      <w:pPr>
        <w:pStyle w:val="ListBullet"/>
        <w:ind w:left="0"/>
      </w:pPr>
      <w:r>
        <w:rPr>
          <w:rFonts w:ascii="Aptos" w:hAnsi="Aptos" w:eastAsia="Aptos"/>
          <w:b w:val="0"/>
          <w:i w:val="0"/>
          <w:color w:val="0A1628"/>
          <w:sz w:val="20"/>
        </w:rPr>
        <w:t>Achievement percentage.</w:t>
      </w:r>
    </w:p>
    <w:p>
      <w:pPr>
        <w:pStyle w:val="ListBullet"/>
        <w:ind w:left="0"/>
      </w:pPr>
      <w:r>
        <w:rPr>
          <w:rFonts w:ascii="Aptos" w:hAnsi="Aptos" w:eastAsia="Aptos"/>
          <w:b w:val="0"/>
          <w:i w:val="0"/>
          <w:color w:val="0A1628"/>
          <w:sz w:val="20"/>
        </w:rPr>
        <w:t>Merchant acquisition trend.</w:t>
      </w:r>
    </w:p>
    <w:p>
      <w:pPr>
        <w:pStyle w:val="ListBullet"/>
        <w:ind w:left="0"/>
      </w:pPr>
      <w:r>
        <w:rPr>
          <w:rFonts w:ascii="Aptos" w:hAnsi="Aptos" w:eastAsia="Aptos"/>
          <w:b w:val="0"/>
          <w:i w:val="0"/>
          <w:color w:val="0A1628"/>
          <w:sz w:val="20"/>
        </w:rPr>
        <w:t>Active versus dormant percentages.</w:t>
      </w:r>
    </w:p>
    <w:p>
      <w:pPr>
        <w:pStyle w:val="ListBullet"/>
        <w:ind w:left="0"/>
      </w:pPr>
      <w:r>
        <w:rPr>
          <w:rFonts w:ascii="Aptos" w:hAnsi="Aptos" w:eastAsia="Aptos"/>
          <w:b w:val="0"/>
          <w:i w:val="0"/>
          <w:color w:val="0A1628"/>
          <w:sz w:val="20"/>
        </w:rPr>
        <w:t>Revenue and COD contribution.</w:t>
      </w:r>
    </w:p>
    <w:p>
      <w:pPr>
        <w:pStyle w:val="ListBullet"/>
        <w:ind w:left="0"/>
      </w:pPr>
      <w:r>
        <w:rPr>
          <w:rFonts w:ascii="Aptos" w:hAnsi="Aptos" w:eastAsia="Aptos"/>
          <w:b w:val="0"/>
          <w:i w:val="0"/>
          <w:color w:val="0A1628"/>
          <w:sz w:val="20"/>
        </w:rPr>
        <w:t>Branch and township breakdown.</w:t>
      </w:r>
    </w:p>
    <w:p>
      <w:pPr>
        <w:pStyle w:val="ListBullet"/>
        <w:ind w:left="0"/>
      </w:pPr>
      <w:r>
        <w:rPr>
          <w:rFonts w:ascii="Aptos" w:hAnsi="Aptos" w:eastAsia="Aptos"/>
          <w:b w:val="0"/>
          <w:i w:val="0"/>
          <w:color w:val="0A1628"/>
          <w:sz w:val="20"/>
        </w:rPr>
        <w:t>Fastest-growing and declining merchants.</w:t>
      </w:r>
    </w:p>
    <w:p>
      <w:pPr>
        <w:pStyle w:val="ListBullet"/>
        <w:ind w:left="0"/>
      </w:pPr>
      <w:r>
        <w:rPr>
          <w:rFonts w:ascii="Aptos" w:hAnsi="Aptos" w:eastAsia="Aptos"/>
          <w:b w:val="0"/>
          <w:i w:val="0"/>
          <w:color w:val="0A1628"/>
          <w:sz w:val="20"/>
        </w:rPr>
        <w:t>Campaign-attributed parcels.</w:t>
      </w:r>
    </w:p>
    <w:p>
      <w:pPr>
        <w:pStyle w:val="ListBullet"/>
        <w:ind w:left="0"/>
      </w:pPr>
      <w:r>
        <w:rPr>
          <w:rFonts w:ascii="Aptos" w:hAnsi="Aptos" w:eastAsia="Aptos"/>
          <w:b w:val="0"/>
          <w:i w:val="0"/>
          <w:color w:val="0A1628"/>
          <w:sz w:val="20"/>
        </w:rPr>
        <w:t>Exportable merchant performance report.</w:t>
      </w:r>
    </w:p>
    <w:p>
      <w:r>
        <w:rPr>
          <w:rFonts w:ascii="Aptos" w:hAnsi="Aptos" w:eastAsia="Aptos"/>
          <w:b w:val="0"/>
          <w:i w:val="0"/>
          <w:color w:val="0A1628"/>
          <w:sz w:val="20"/>
        </w:rPr>
        <w:t>Use Recharts for supported visualizations, but tables and exports must remain available for exact values.</w:t>
      </w:r>
    </w:p>
    <w:p>
      <w:pPr>
        <w:pStyle w:val="Heading3"/>
        <w:keepNext/>
      </w:pPr>
      <w:r>
        <w:rPr>
          <w:rFonts w:ascii="Aptos" w:hAnsi="Aptos" w:eastAsia="Aptos"/>
          <w:b w:val="0"/>
          <w:i w:val="0"/>
          <w:color w:val="0A1628"/>
          <w:sz w:val="20"/>
        </w:rPr>
        <w:t>15.2 Marketing Portal purpose</w:t>
      </w:r>
    </w:p>
    <w:p>
      <w:r>
        <w:rPr>
          <w:rFonts w:ascii="Aptos" w:hAnsi="Aptos" w:eastAsia="Aptos"/>
          <w:b w:val="0"/>
          <w:i w:val="0"/>
          <w:color w:val="0A1628"/>
          <w:sz w:val="20"/>
        </w:rPr>
        <w:t xml:space="preserve">Route: </w:t>
      </w:r>
      <w:r>
        <w:rPr>
          <w:rFonts w:ascii="Consolas" w:hAnsi="Consolas" w:eastAsia="Consolas"/>
          <w:b w:val="0"/>
          <w:i w:val="0"/>
          <w:color w:val="0A1628"/>
          <w:sz w:val="17"/>
          <w:shd w:fill="EEF2F6"/>
        </w:rPr>
        <w:t>/marketing-portal</w:t>
      </w:r>
    </w:p>
    <w:p>
      <w:r>
        <w:rPr>
          <w:rFonts w:ascii="Aptos" w:hAnsi="Aptos" w:eastAsia="Aptos"/>
          <w:b w:val="0"/>
          <w:i w:val="0"/>
          <w:color w:val="0A1628"/>
          <w:sz w:val="20"/>
        </w:rPr>
        <w:t>Purpose: manage the Marketing team's plans, activities, visits, leads, campaigns, evidence, approvals, and employee performance.</w:t>
      </w:r>
    </w:p>
    <w:p>
      <w:r>
        <w:rPr>
          <w:rFonts w:ascii="Aptos" w:hAnsi="Aptos" w:eastAsia="Aptos"/>
          <w:b w:val="0"/>
          <w:i w:val="0"/>
          <w:color w:val="0A1628"/>
          <w:sz w:val="20"/>
        </w:rPr>
        <w:t>Create snapshot RPC:</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be_marketing_portal_snapshot_v54(p_payload jsonb)</w:t>
            </w:r>
          </w:p>
        </w:tc>
      </w:tr>
    </w:tbl>
    <w:p>
      <w:pPr>
        <w:spacing w:after="0"/>
      </w:pPr>
    </w:p>
    <w:p>
      <w:r>
        <w:rPr>
          <w:rFonts w:ascii="Aptos" w:hAnsi="Aptos" w:eastAsia="Aptos"/>
          <w:b w:val="0"/>
          <w:i w:val="0"/>
          <w:color w:val="0A1628"/>
          <w:sz w:val="20"/>
        </w:rPr>
        <w:t>Create mutation RPCs:</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be_marketing_plan_create_v54</w:t>
              <w:br/>
              <w:t>be_marketing_plan_update_v54</w:t>
              <w:br/>
              <w:t>be_marketing_activity_log_v54</w:t>
              <w:br/>
              <w:t>be_marketing_visit_record_v54</w:t>
              <w:br/>
              <w:t>be_marketing_lead_create_v54</w:t>
              <w:br/>
              <w:t>be_marketing_followup_update_v54</w:t>
              <w:br/>
              <w:t>be_marketing_campaign_save_v54</w:t>
              <w:br/>
              <w:t>be_marketing_report_submit_v54</w:t>
              <w:br/>
              <w:t>be_marketing_manager_review_v54</w:t>
            </w:r>
          </w:p>
        </w:tc>
      </w:tr>
    </w:tbl>
    <w:p>
      <w:pPr>
        <w:spacing w:after="0"/>
      </w:pPr>
    </w:p>
    <w:p>
      <w:pPr>
        <w:pStyle w:val="Heading3"/>
        <w:keepNext/>
      </w:pPr>
      <w:r>
        <w:rPr>
          <w:rFonts w:ascii="Aptos" w:hAnsi="Aptos" w:eastAsia="Aptos"/>
          <w:b w:val="0"/>
          <w:i w:val="0"/>
          <w:color w:val="0A1628"/>
          <w:sz w:val="20"/>
        </w:rPr>
        <w:t>15.3 Required operational fields</w:t>
      </w:r>
    </w:p>
    <w:p>
      <w:pPr>
        <w:pStyle w:val="ListBullet"/>
        <w:ind w:left="0"/>
      </w:pPr>
      <w:r>
        <w:rPr>
          <w:rFonts w:ascii="Aptos" w:hAnsi="Aptos" w:eastAsia="Aptos"/>
          <w:b w:val="0"/>
          <w:i w:val="0"/>
          <w:color w:val="0A1628"/>
          <w:sz w:val="20"/>
        </w:rPr>
        <w:t>Employee.</w:t>
      </w:r>
    </w:p>
    <w:p>
      <w:pPr>
        <w:pStyle w:val="ListBullet"/>
        <w:ind w:left="0"/>
      </w:pPr>
      <w:r>
        <w:rPr>
          <w:rFonts w:ascii="Aptos" w:hAnsi="Aptos" w:eastAsia="Aptos"/>
          <w:b w:val="0"/>
          <w:i w:val="0"/>
          <w:color w:val="0A1628"/>
          <w:sz w:val="20"/>
        </w:rPr>
        <w:t>Plan date.</w:t>
      </w:r>
    </w:p>
    <w:p>
      <w:pPr>
        <w:pStyle w:val="ListBullet"/>
        <w:ind w:left="0"/>
      </w:pPr>
      <w:r>
        <w:rPr>
          <w:rFonts w:ascii="Aptos" w:hAnsi="Aptos" w:eastAsia="Aptos"/>
          <w:b w:val="0"/>
          <w:i w:val="0"/>
          <w:color w:val="0A1628"/>
          <w:sz w:val="20"/>
        </w:rPr>
        <w:t>Planned activity.</w:t>
      </w:r>
    </w:p>
    <w:p>
      <w:pPr>
        <w:pStyle w:val="ListBullet"/>
        <w:ind w:left="0"/>
      </w:pPr>
      <w:r>
        <w:rPr>
          <w:rFonts w:ascii="Aptos" w:hAnsi="Aptos" w:eastAsia="Aptos"/>
          <w:b w:val="0"/>
          <w:i w:val="0"/>
          <w:color w:val="0A1628"/>
          <w:sz w:val="20"/>
        </w:rPr>
        <w:t>Actual activity.</w:t>
      </w:r>
    </w:p>
    <w:p>
      <w:pPr>
        <w:pStyle w:val="ListBullet"/>
        <w:ind w:left="0"/>
      </w:pPr>
      <w:r>
        <w:rPr>
          <w:rFonts w:ascii="Aptos" w:hAnsi="Aptos" w:eastAsia="Aptos"/>
          <w:b w:val="0"/>
          <w:i w:val="0"/>
          <w:color w:val="0A1628"/>
          <w:sz w:val="20"/>
        </w:rPr>
        <w:t>Merchant visited.</w:t>
      </w:r>
    </w:p>
    <w:p>
      <w:pPr>
        <w:pStyle w:val="ListBullet"/>
        <w:ind w:left="0"/>
      </w:pPr>
      <w:r>
        <w:rPr>
          <w:rFonts w:ascii="Aptos" w:hAnsi="Aptos" w:eastAsia="Aptos"/>
          <w:b w:val="0"/>
          <w:i w:val="0"/>
          <w:color w:val="0A1628"/>
          <w:sz w:val="20"/>
        </w:rPr>
        <w:t>Lead created.</w:t>
      </w:r>
    </w:p>
    <w:p>
      <w:pPr>
        <w:pStyle w:val="ListBullet"/>
        <w:ind w:left="0"/>
      </w:pPr>
      <w:r>
        <w:rPr>
          <w:rFonts w:ascii="Aptos" w:hAnsi="Aptos" w:eastAsia="Aptos"/>
          <w:b w:val="0"/>
          <w:i w:val="0"/>
          <w:color w:val="0A1628"/>
          <w:sz w:val="20"/>
        </w:rPr>
        <w:t>Lead source.</w:t>
      </w:r>
    </w:p>
    <w:p>
      <w:pPr>
        <w:pStyle w:val="ListBullet"/>
        <w:ind w:left="0"/>
      </w:pPr>
      <w:r>
        <w:rPr>
          <w:rFonts w:ascii="Aptos" w:hAnsi="Aptos" w:eastAsia="Aptos"/>
          <w:b w:val="0"/>
          <w:i w:val="0"/>
          <w:color w:val="0A1628"/>
          <w:sz w:val="20"/>
        </w:rPr>
        <w:t>Follow-up commitment and due date.</w:t>
      </w:r>
    </w:p>
    <w:p>
      <w:pPr>
        <w:pStyle w:val="ListBullet"/>
        <w:ind w:left="0"/>
      </w:pPr>
      <w:r>
        <w:rPr>
          <w:rFonts w:ascii="Aptos" w:hAnsi="Aptos" w:eastAsia="Aptos"/>
          <w:b w:val="0"/>
          <w:i w:val="0"/>
          <w:color w:val="0A1628"/>
          <w:sz w:val="20"/>
        </w:rPr>
        <w:t>Campaign.</w:t>
      </w:r>
    </w:p>
    <w:p>
      <w:pPr>
        <w:pStyle w:val="ListBullet"/>
        <w:ind w:left="0"/>
      </w:pPr>
      <w:r>
        <w:rPr>
          <w:rFonts w:ascii="Aptos" w:hAnsi="Aptos" w:eastAsia="Aptos"/>
          <w:b w:val="0"/>
          <w:i w:val="0"/>
          <w:color w:val="0A1628"/>
          <w:sz w:val="20"/>
        </w:rPr>
        <w:t>Budget.</w:t>
      </w:r>
    </w:p>
    <w:p>
      <w:pPr>
        <w:pStyle w:val="ListBullet"/>
        <w:ind w:left="0"/>
      </w:pPr>
      <w:r>
        <w:rPr>
          <w:rFonts w:ascii="Aptos" w:hAnsi="Aptos" w:eastAsia="Aptos"/>
          <w:b w:val="0"/>
          <w:i w:val="0"/>
          <w:color w:val="0A1628"/>
          <w:sz w:val="20"/>
        </w:rPr>
        <w:t>Target merchants.</w:t>
      </w:r>
    </w:p>
    <w:p>
      <w:pPr>
        <w:pStyle w:val="ListBullet"/>
        <w:ind w:left="0"/>
      </w:pPr>
      <w:r>
        <w:rPr>
          <w:rFonts w:ascii="Aptos" w:hAnsi="Aptos" w:eastAsia="Aptos"/>
          <w:b w:val="0"/>
          <w:i w:val="0"/>
          <w:color w:val="0A1628"/>
          <w:sz w:val="20"/>
        </w:rPr>
        <w:t>Daily and monthly report.</w:t>
      </w:r>
    </w:p>
    <w:p>
      <w:pPr>
        <w:pStyle w:val="ListBullet"/>
        <w:ind w:left="0"/>
      </w:pPr>
      <w:r>
        <w:rPr>
          <w:rFonts w:ascii="Aptos" w:hAnsi="Aptos" w:eastAsia="Aptos"/>
          <w:b w:val="0"/>
          <w:i w:val="0"/>
          <w:color w:val="0A1628"/>
          <w:sz w:val="20"/>
        </w:rPr>
        <w:t>Evidence attachments.</w:t>
      </w:r>
    </w:p>
    <w:p>
      <w:pPr>
        <w:pStyle w:val="ListBullet"/>
        <w:ind w:left="0"/>
      </w:pPr>
      <w:r>
        <w:rPr>
          <w:rFonts w:ascii="Aptos" w:hAnsi="Aptos" w:eastAsia="Aptos"/>
          <w:b w:val="0"/>
          <w:i w:val="0"/>
          <w:color w:val="0A1628"/>
          <w:sz w:val="20"/>
        </w:rPr>
        <w:t>Manager comments.</w:t>
      </w:r>
    </w:p>
    <w:p>
      <w:pPr>
        <w:pStyle w:val="ListBullet"/>
        <w:ind w:left="0"/>
      </w:pPr>
      <w:r>
        <w:rPr>
          <w:rFonts w:ascii="Aptos" w:hAnsi="Aptos" w:eastAsia="Aptos"/>
          <w:b w:val="0"/>
          <w:i w:val="0"/>
          <w:color w:val="0A1628"/>
          <w:sz w:val="20"/>
        </w:rPr>
        <w:t>Approval or rejection status.</w:t>
      </w:r>
    </w:p>
    <w:p>
      <w:pPr>
        <w:pStyle w:val="Heading3"/>
        <w:keepNext/>
      </w:pPr>
      <w:r>
        <w:rPr>
          <w:rFonts w:ascii="Aptos" w:hAnsi="Aptos" w:eastAsia="Aptos"/>
          <w:b w:val="0"/>
          <w:i w:val="0"/>
          <w:color w:val="0A1628"/>
          <w:sz w:val="20"/>
        </w:rPr>
        <w:t>15.4 Acceptance criteria</w:t>
      </w:r>
    </w:p>
    <w:p>
      <w:pPr>
        <w:pStyle w:val="ListBullet"/>
        <w:ind w:left="0"/>
      </w:pPr>
      <w:r>
        <w:rPr>
          <w:rFonts w:ascii="Aptos" w:hAnsi="Aptos" w:eastAsia="Aptos"/>
          <w:b w:val="0"/>
          <w:i w:val="0"/>
          <w:color w:val="0A1628"/>
          <w:sz w:val="20"/>
        </w:rPr>
        <w:t>Remove static leads and KPI values.</w:t>
      </w:r>
    </w:p>
    <w:p>
      <w:pPr>
        <w:pStyle w:val="ListBullet"/>
        <w:ind w:left="0"/>
      </w:pPr>
      <w:r>
        <w:rPr>
          <w:rFonts w:ascii="Aptos" w:hAnsi="Aptos" w:eastAsia="Aptos"/>
          <w:b w:val="0"/>
          <w:i w:val="0"/>
          <w:color w:val="0A1628"/>
          <w:sz w:val="20"/>
        </w:rPr>
        <w:t>Missing RPC data produces a real error state, not demo rows.</w:t>
      </w:r>
    </w:p>
    <w:p>
      <w:pPr>
        <w:pStyle w:val="ListBullet"/>
        <w:ind w:left="0"/>
      </w:pPr>
      <w:r>
        <w:rPr>
          <w:rFonts w:ascii="Aptos" w:hAnsi="Aptos" w:eastAsia="Aptos"/>
          <w:b w:val="0"/>
          <w:i w:val="0"/>
          <w:color w:val="0A1628"/>
          <w:sz w:val="20"/>
        </w:rPr>
        <w:t>Manager approval is server-authorized and audited.</w:t>
      </w:r>
    </w:p>
    <w:p>
      <w:pPr>
        <w:pStyle w:val="ListBullet"/>
        <w:ind w:left="0"/>
      </w:pPr>
      <w:r>
        <w:rPr>
          <w:rFonts w:ascii="Aptos" w:hAnsi="Aptos" w:eastAsia="Aptos"/>
          <w:b w:val="0"/>
          <w:i w:val="0"/>
          <w:color w:val="0A1628"/>
          <w:sz w:val="20"/>
        </w:rPr>
        <w:t>Overdue plans and missing reports are calculated from due dates.</w:t>
      </w:r>
    </w:p>
    <w:p>
      <w:pPr>
        <w:pStyle w:val="ListBullet"/>
        <w:ind w:left="0"/>
      </w:pPr>
      <w:r>
        <w:rPr>
          <w:rFonts w:ascii="Aptos" w:hAnsi="Aptos" w:eastAsia="Aptos"/>
          <w:b w:val="0"/>
          <w:i w:val="0"/>
          <w:color w:val="0A1628"/>
          <w:sz w:val="20"/>
        </w:rPr>
        <w:t>Live Marketing and Marketing Portal do not duplicate responsibilities.</w:t>
      </w:r>
    </w:p>
    <w:p>
      <w:pPr>
        <w:pStyle w:val="Heading2"/>
        <w:keepNext/>
      </w:pPr>
      <w:r>
        <w:rPr>
          <w:rFonts w:ascii="Aptos" w:hAnsi="Aptos" w:eastAsia="Aptos"/>
          <w:b w:val="0"/>
          <w:i w:val="0"/>
          <w:color w:val="0A1628"/>
          <w:sz w:val="20"/>
        </w:rPr>
        <w:t>16. Mobile Operations</w:t>
      </w:r>
    </w:p>
    <w:p>
      <w:pPr>
        <w:pStyle w:val="Heading3"/>
        <w:keepNext/>
      </w:pPr>
      <w:r>
        <w:rPr>
          <w:rFonts w:ascii="Aptos" w:hAnsi="Aptos" w:eastAsia="Aptos"/>
          <w:b w:val="0"/>
          <w:i w:val="0"/>
          <w:color w:val="0A1628"/>
          <w:sz w:val="20"/>
        </w:rPr>
        <w:t>16.1 Route separation</w:t>
      </w:r>
    </w:p>
    <w:p>
      <w:r>
        <w:rPr>
          <w:rFonts w:ascii="Aptos" w:hAnsi="Aptos" w:eastAsia="Aptos"/>
          <w:b w:val="0"/>
          <w:i w:val="0"/>
          <w:color w:val="0A1628"/>
          <w:sz w:val="20"/>
        </w:rPr>
        <w:t>Do not replace the real Rider application with an internal support console.</w:t>
      </w:r>
    </w:p>
    <w:p>
      <w:r>
        <w:rPr>
          <w:rFonts w:ascii="Aptos" w:hAnsi="Aptos" w:eastAsia="Aptos"/>
          <w:b w:val="0"/>
          <w:i w:val="0"/>
          <w:color w:val="0A1628"/>
          <w:sz w:val="20"/>
        </w:rPr>
        <w:t>Recommended routing:</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/rider-app          Field Rider application; rider-scoped access</w:t>
              <w:br/>
              <w:t>/mobile-operations  Internal production support and monitoring console</w:t>
            </w:r>
          </w:p>
        </w:tc>
      </w:tr>
    </w:tbl>
    <w:p>
      <w:pPr>
        <w:spacing w:after="0"/>
      </w:pPr>
    </w:p>
    <w:p>
      <w:r>
        <w:rPr>
          <w:rFonts w:ascii="Aptos" w:hAnsi="Aptos" w:eastAsia="Aptos"/>
          <w:b w:val="0"/>
          <w:i w:val="0"/>
          <w:color w:val="0A1628"/>
          <w:sz w:val="20"/>
        </w:rPr>
        <w:t xml:space="preserve">Update the internal sidebar label from "Mobile Sandbox" to "Mobile Operations" and point it to </w:t>
      </w:r>
      <w:r>
        <w:rPr>
          <w:rFonts w:ascii="Consolas" w:hAnsi="Consolas" w:eastAsia="Consolas"/>
          <w:b w:val="0"/>
          <w:i w:val="0"/>
          <w:color w:val="0A1628"/>
          <w:sz w:val="17"/>
          <w:shd w:fill="EEF2F6"/>
        </w:rPr>
        <w:t>/mobile-operations</w:t>
      </w:r>
      <w:r>
        <w:rPr>
          <w:rFonts w:ascii="Aptos" w:hAnsi="Aptos" w:eastAsia="Aptos"/>
          <w:b w:val="0"/>
          <w:i w:val="0"/>
          <w:color w:val="0A1628"/>
          <w:sz w:val="20"/>
        </w:rPr>
        <w:t>. Hide the field rider route from unrelated internal roles.</w:t>
      </w:r>
    </w:p>
    <w:p>
      <w:pPr>
        <w:pStyle w:val="Heading3"/>
        <w:keepNext/>
      </w:pPr>
      <w:r>
        <w:rPr>
          <w:rFonts w:ascii="Aptos" w:hAnsi="Aptos" w:eastAsia="Aptos"/>
          <w:b w:val="0"/>
          <w:i w:val="0"/>
          <w:color w:val="0A1628"/>
          <w:sz w:val="20"/>
        </w:rPr>
        <w:t>16.2 Snapshot RPC</w:t>
      </w:r>
    </w:p>
    <w:p>
      <w:r>
        <w:rPr>
          <w:rFonts w:ascii="Aptos" w:hAnsi="Aptos" w:eastAsia="Aptos"/>
          <w:b w:val="0"/>
          <w:i w:val="0"/>
          <w:color w:val="0A1628"/>
          <w:sz w:val="20"/>
        </w:rPr>
        <w:t>Create:</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be_mobile_operations_snapshot_v54(p_payload jsonb)</w:t>
            </w:r>
          </w:p>
        </w:tc>
      </w:tr>
    </w:tbl>
    <w:p>
      <w:pPr>
        <w:spacing w:after="0"/>
      </w:pPr>
    </w:p>
    <w:p>
      <w:r>
        <w:rPr>
          <w:rFonts w:ascii="Aptos" w:hAnsi="Aptos" w:eastAsia="Aptos"/>
          <w:b w:val="0"/>
          <w:i w:val="0"/>
          <w:color w:val="0A1628"/>
          <w:sz w:val="20"/>
        </w:rPr>
        <w:t>Filters:</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workforce_code</w:t>
              <w:br/>
              <w:t>workforce_type</w:t>
              <w:br/>
              <w:t>branch_code</w:t>
              <w:br/>
              <w:t>account_status</w:t>
              <w:br/>
              <w:t>sync_status</w:t>
              <w:br/>
              <w:t>issue_type</w:t>
            </w:r>
          </w:p>
        </w:tc>
      </w:tr>
    </w:tbl>
    <w:p>
      <w:pPr>
        <w:spacing w:after="0"/>
      </w:pPr>
    </w:p>
    <w:p>
      <w:r>
        <w:rPr>
          <w:rFonts w:ascii="Aptos" w:hAnsi="Aptos" w:eastAsia="Aptos"/>
          <w:b w:val="0"/>
          <w:i w:val="0"/>
          <w:color w:val="0A1628"/>
          <w:sz w:val="20"/>
        </w:rPr>
        <w:t>Return:</w:t>
      </w:r>
    </w:p>
    <w:p>
      <w:pPr>
        <w:pStyle w:val="ListBullet"/>
        <w:ind w:left="0"/>
      </w:pPr>
      <w:r>
        <w:rPr>
          <w:rFonts w:ascii="Aptos" w:hAnsi="Aptos" w:eastAsia="Aptos"/>
          <w:b w:val="0"/>
          <w:i w:val="0"/>
          <w:color w:val="0A1628"/>
          <w:sz w:val="20"/>
        </w:rPr>
        <w:t>Resolved rider/driver/helper identity.</w:t>
      </w:r>
    </w:p>
    <w:p>
      <w:pPr>
        <w:pStyle w:val="ListBullet"/>
        <w:ind w:left="0"/>
      </w:pPr>
      <w:r>
        <w:rPr>
          <w:rFonts w:ascii="Aptos" w:hAnsi="Aptos" w:eastAsia="Aptos"/>
          <w:b w:val="0"/>
          <w:i w:val="0"/>
          <w:color w:val="0A1628"/>
          <w:sz w:val="20"/>
        </w:rPr>
        <w:t>Linked account and PIN status.</w:t>
      </w:r>
    </w:p>
    <w:p>
      <w:pPr>
        <w:pStyle w:val="ListBullet"/>
        <w:ind w:left="0"/>
      </w:pPr>
      <w:r>
        <w:rPr>
          <w:rFonts w:ascii="Aptos" w:hAnsi="Aptos" w:eastAsia="Aptos"/>
          <w:b w:val="0"/>
          <w:i w:val="0"/>
          <w:color w:val="0A1628"/>
          <w:sz w:val="20"/>
        </w:rPr>
        <w:t>Assigned pickups.</w:t>
      </w:r>
    </w:p>
    <w:p>
      <w:pPr>
        <w:pStyle w:val="ListBullet"/>
        <w:ind w:left="0"/>
      </w:pPr>
      <w:r>
        <w:rPr>
          <w:rFonts w:ascii="Aptos" w:hAnsi="Aptos" w:eastAsia="Aptos"/>
          <w:b w:val="0"/>
          <w:i w:val="0"/>
          <w:color w:val="0A1628"/>
          <w:sz w:val="20"/>
        </w:rPr>
        <w:t>Assigned wayplans.</w:t>
      </w:r>
    </w:p>
    <w:p>
      <w:pPr>
        <w:pStyle w:val="ListBullet"/>
        <w:ind w:left="0"/>
      </w:pPr>
      <w:r>
        <w:rPr>
          <w:rFonts w:ascii="Aptos" w:hAnsi="Aptos" w:eastAsia="Aptos"/>
          <w:b w:val="0"/>
          <w:i w:val="0"/>
          <w:color w:val="0A1628"/>
          <w:sz w:val="20"/>
        </w:rPr>
        <w:t>Current delivery route.</w:t>
      </w:r>
    </w:p>
    <w:p>
      <w:pPr>
        <w:pStyle w:val="ListBullet"/>
        <w:ind w:left="0"/>
      </w:pPr>
      <w:r>
        <w:rPr>
          <w:rFonts w:ascii="Aptos" w:hAnsi="Aptos" w:eastAsia="Aptos"/>
          <w:b w:val="0"/>
          <w:i w:val="0"/>
          <w:color w:val="0A1628"/>
          <w:sz w:val="20"/>
        </w:rPr>
        <w:t>Device and browser metadata.</w:t>
      </w:r>
    </w:p>
    <w:p>
      <w:pPr>
        <w:pStyle w:val="ListBullet"/>
        <w:ind w:left="0"/>
      </w:pPr>
      <w:r>
        <w:rPr>
          <w:rFonts w:ascii="Aptos" w:hAnsi="Aptos" w:eastAsia="Aptos"/>
          <w:b w:val="0"/>
          <w:i w:val="0"/>
          <w:color w:val="0A1628"/>
          <w:sz w:val="20"/>
        </w:rPr>
        <w:t>GPS permission and latest location.</w:t>
      </w:r>
    </w:p>
    <w:p>
      <w:pPr>
        <w:pStyle w:val="ListBullet"/>
        <w:ind w:left="0"/>
      </w:pPr>
      <w:r>
        <w:rPr>
          <w:rFonts w:ascii="Aptos" w:hAnsi="Aptos" w:eastAsia="Aptos"/>
          <w:b w:val="0"/>
          <w:i w:val="0"/>
          <w:color w:val="0A1628"/>
          <w:sz w:val="20"/>
        </w:rPr>
        <w:t>Camera/photo diagnostics.</w:t>
      </w:r>
    </w:p>
    <w:p>
      <w:pPr>
        <w:pStyle w:val="ListBullet"/>
        <w:ind w:left="0"/>
      </w:pPr>
      <w:r>
        <w:rPr>
          <w:rFonts w:ascii="Aptos" w:hAnsi="Aptos" w:eastAsia="Aptos"/>
          <w:b w:val="0"/>
          <w:i w:val="0"/>
          <w:color w:val="0A1628"/>
          <w:sz w:val="20"/>
        </w:rPr>
        <w:t>Offline queue count and oldest event.</w:t>
      </w:r>
    </w:p>
    <w:p>
      <w:pPr>
        <w:pStyle w:val="ListBullet"/>
        <w:ind w:left="0"/>
      </w:pPr>
      <w:r>
        <w:rPr>
          <w:rFonts w:ascii="Aptos" w:hAnsi="Aptos" w:eastAsia="Aptos"/>
          <w:b w:val="0"/>
          <w:i w:val="0"/>
          <w:color w:val="0A1628"/>
          <w:sz w:val="20"/>
        </w:rPr>
        <w:t>Last successful synchronization.</w:t>
      </w:r>
    </w:p>
    <w:p>
      <w:pPr>
        <w:pStyle w:val="ListBullet"/>
        <w:ind w:left="0"/>
      </w:pPr>
      <w:r>
        <w:rPr>
          <w:rFonts w:ascii="Aptos" w:hAnsi="Aptos" w:eastAsia="Aptos"/>
          <w:b w:val="0"/>
          <w:i w:val="0"/>
          <w:color w:val="0A1628"/>
          <w:sz w:val="20"/>
        </w:rPr>
        <w:t>Failed mobile events.</w:t>
      </w:r>
    </w:p>
    <w:p>
      <w:pPr>
        <w:pStyle w:val="ListBullet"/>
        <w:ind w:left="0"/>
      </w:pPr>
      <w:r>
        <w:rPr>
          <w:rFonts w:ascii="Aptos" w:hAnsi="Aptos" w:eastAsia="Aptos"/>
          <w:b w:val="0"/>
          <w:i w:val="0"/>
          <w:color w:val="0A1628"/>
          <w:sz w:val="20"/>
        </w:rPr>
        <w:t>Notification status.</w:t>
      </w:r>
    </w:p>
    <w:p>
      <w:pPr>
        <w:pStyle w:val="ListBullet"/>
        <w:ind w:left="0"/>
      </w:pPr>
      <w:r>
        <w:rPr>
          <w:rFonts w:ascii="Aptos" w:hAnsi="Aptos" w:eastAsia="Aptos"/>
          <w:b w:val="0"/>
          <w:i w:val="0"/>
          <w:color w:val="0A1628"/>
          <w:sz w:val="20"/>
        </w:rPr>
        <w:t>Delivery proof status.</w:t>
      </w:r>
    </w:p>
    <w:p>
      <w:pPr>
        <w:pStyle w:val="ListBullet"/>
        <w:ind w:left="0"/>
      </w:pPr>
      <w:r>
        <w:rPr>
          <w:rFonts w:ascii="Aptos" w:hAnsi="Aptos" w:eastAsia="Aptos"/>
          <w:b w:val="0"/>
          <w:i w:val="0"/>
          <w:color w:val="0A1628"/>
          <w:sz w:val="20"/>
        </w:rPr>
        <w:t>COD handover status.</w:t>
      </w:r>
    </w:p>
    <w:p>
      <w:pPr>
        <w:pStyle w:val="ListBullet"/>
        <w:ind w:left="0"/>
      </w:pPr>
      <w:r>
        <w:rPr>
          <w:rFonts w:ascii="Aptos" w:hAnsi="Aptos" w:eastAsia="Aptos"/>
          <w:b w:val="0"/>
          <w:i w:val="0"/>
          <w:color w:val="0A1628"/>
          <w:sz w:val="20"/>
        </w:rPr>
        <w:t>Open support requests.</w:t>
      </w:r>
    </w:p>
    <w:p>
      <w:pPr>
        <w:pStyle w:val="ListBullet"/>
        <w:ind w:left="0"/>
      </w:pPr>
      <w:r>
        <w:rPr>
          <w:rFonts w:ascii="Aptos" w:hAnsi="Aptos" w:eastAsia="Aptos"/>
          <w:b w:val="0"/>
          <w:i w:val="0"/>
          <w:color w:val="0A1628"/>
          <w:sz w:val="20"/>
        </w:rPr>
        <w:t>Audit history.</w:t>
      </w:r>
    </w:p>
    <w:p>
      <w:pPr>
        <w:pStyle w:val="Heading3"/>
        <w:keepNext/>
      </w:pPr>
      <w:r>
        <w:rPr>
          <w:rFonts w:ascii="Aptos" w:hAnsi="Aptos" w:eastAsia="Aptos"/>
          <w:b w:val="0"/>
          <w:i w:val="0"/>
          <w:color w:val="0A1628"/>
          <w:sz w:val="20"/>
        </w:rPr>
        <w:t>16.3 Safe actions</w:t>
      </w:r>
    </w:p>
    <w:p>
      <w:r>
        <w:rPr>
          <w:rFonts w:ascii="Aptos" w:hAnsi="Aptos" w:eastAsia="Aptos"/>
          <w:b w:val="0"/>
          <w:i w:val="0"/>
          <w:color w:val="0A1628"/>
          <w:sz w:val="20"/>
        </w:rPr>
        <w:t>Create secured actions:</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be_mobile_operations_create_support_v54</w:t>
              <w:br/>
              <w:t>be_mobile_operations_safe_resync_v54</w:t>
              <w:br/>
              <w:t>be_mobile_operations_retry_event_v54</w:t>
              <w:br/>
              <w:t>be_mobile_operations_reset_pin_request_v54</w:t>
              <w:br/>
              <w:t>be_mobile_operations_unlock_account_v54</w:t>
            </w:r>
          </w:p>
        </w:tc>
      </w:tr>
    </w:tbl>
    <w:p>
      <w:pPr>
        <w:spacing w:after="0"/>
      </w:pPr>
    </w:p>
    <w:p>
      <w:r>
        <w:rPr>
          <w:rFonts w:ascii="Aptos" w:hAnsi="Aptos" w:eastAsia="Aptos"/>
          <w:b w:val="0"/>
          <w:i w:val="0"/>
          <w:color w:val="0A1628"/>
          <w:sz w:val="20"/>
        </w:rPr>
        <w:t>Safe resync must replay existing canonical queued events only. It must never create fake jobs, fake deliveries, fake GPS points, or synthetic proof records.</w:t>
      </w:r>
    </w:p>
    <w:p>
      <w:pPr>
        <w:pStyle w:val="Heading3"/>
        <w:keepNext/>
      </w:pPr>
      <w:r>
        <w:rPr>
          <w:rFonts w:ascii="Aptos" w:hAnsi="Aptos" w:eastAsia="Aptos"/>
          <w:b w:val="0"/>
          <w:i w:val="0"/>
          <w:color w:val="0A1628"/>
          <w:sz w:val="20"/>
        </w:rPr>
        <w:t>16.4 Acceptance criteria</w:t>
      </w:r>
    </w:p>
    <w:p>
      <w:pPr>
        <w:pStyle w:val="ListBullet"/>
        <w:ind w:left="0"/>
      </w:pPr>
      <w:r>
        <w:rPr>
          <w:rFonts w:ascii="Aptos" w:hAnsi="Aptos" w:eastAsia="Aptos"/>
          <w:b w:val="0"/>
          <w:i w:val="0"/>
          <w:color w:val="0A1628"/>
          <w:sz w:val="20"/>
        </w:rPr>
        <w:t>The support console is read-mostly.</w:t>
      </w:r>
    </w:p>
    <w:p>
      <w:pPr>
        <w:pStyle w:val="ListBullet"/>
        <w:ind w:left="0"/>
      </w:pPr>
      <w:r>
        <w:rPr>
          <w:rFonts w:ascii="Aptos" w:hAnsi="Aptos" w:eastAsia="Aptos"/>
          <w:b w:val="0"/>
          <w:i w:val="0"/>
          <w:color w:val="0A1628"/>
          <w:sz w:val="20"/>
        </w:rPr>
        <w:t>Every mutation names the real mobile event or account affected.</w:t>
      </w:r>
    </w:p>
    <w:p>
      <w:pPr>
        <w:pStyle w:val="ListBullet"/>
        <w:ind w:left="0"/>
      </w:pPr>
      <w:r>
        <w:rPr>
          <w:rFonts w:ascii="Aptos" w:hAnsi="Aptos" w:eastAsia="Aptos"/>
          <w:b w:val="0"/>
          <w:i w:val="0"/>
          <w:color w:val="0A1628"/>
          <w:sz w:val="20"/>
        </w:rPr>
        <w:t>Resync is idempotent.</w:t>
      </w:r>
    </w:p>
    <w:p>
      <w:pPr>
        <w:pStyle w:val="ListBullet"/>
        <w:ind w:left="0"/>
      </w:pPr>
      <w:r>
        <w:rPr>
          <w:rFonts w:ascii="Aptos" w:hAnsi="Aptos" w:eastAsia="Aptos"/>
          <w:b w:val="0"/>
          <w:i w:val="0"/>
          <w:color w:val="0A1628"/>
          <w:sz w:val="20"/>
        </w:rPr>
        <w:t>Rider field actions continue using existing real RPC flows.</w:t>
      </w:r>
    </w:p>
    <w:p>
      <w:pPr>
        <w:pStyle w:val="ListBullet"/>
        <w:ind w:left="0"/>
      </w:pPr>
      <w:r>
        <w:rPr>
          <w:rFonts w:ascii="Aptos" w:hAnsi="Aptos" w:eastAsia="Aptos"/>
          <w:b w:val="0"/>
          <w:i w:val="0"/>
          <w:color w:val="0A1628"/>
          <w:sz w:val="20"/>
        </w:rPr>
        <w:t>No production route is called "Sandbox".</w:t>
      </w:r>
    </w:p>
    <w:p>
      <w:pPr>
        <w:pStyle w:val="Heading2"/>
        <w:keepNext/>
      </w:pPr>
      <w:r>
        <w:rPr>
          <w:rFonts w:ascii="Aptos" w:hAnsi="Aptos" w:eastAsia="Aptos"/>
          <w:b w:val="0"/>
          <w:i w:val="0"/>
          <w:color w:val="0A1628"/>
          <w:sz w:val="20"/>
        </w:rPr>
        <w:t>17. Secured Admin and HR</w:t>
      </w:r>
    </w:p>
    <w:p>
      <w:pPr>
        <w:pStyle w:val="Heading3"/>
        <w:keepNext/>
      </w:pPr>
      <w:r>
        <w:rPr>
          <w:rFonts w:ascii="Aptos" w:hAnsi="Aptos" w:eastAsia="Aptos"/>
          <w:b w:val="0"/>
          <w:i w:val="0"/>
          <w:color w:val="0A1628"/>
          <w:sz w:val="20"/>
        </w:rPr>
        <w:t>17.1 Remove production fallback data</w:t>
      </w:r>
    </w:p>
    <w:p>
      <w:r>
        <w:rPr>
          <w:rFonts w:ascii="Aptos" w:hAnsi="Aptos" w:eastAsia="Aptos"/>
          <w:b w:val="0"/>
          <w:i w:val="0"/>
          <w:color w:val="0A1628"/>
          <w:sz w:val="20"/>
        </w:rPr>
        <w:t xml:space="preserve">Remove </w:t>
      </w:r>
      <w:r>
        <w:rPr>
          <w:rFonts w:ascii="Consolas" w:hAnsi="Consolas" w:eastAsia="Consolas"/>
          <w:b w:val="0"/>
          <w:i w:val="0"/>
          <w:color w:val="0A1628"/>
          <w:sz w:val="17"/>
          <w:shd w:fill="EEF2F6"/>
        </w:rPr>
        <w:t>FALLBACK_EMPLOYEES</w:t>
      </w:r>
      <w:r>
        <w:rPr>
          <w:rFonts w:ascii="Aptos" w:hAnsi="Aptos" w:eastAsia="Aptos"/>
          <w:b w:val="0"/>
          <w:i w:val="0"/>
          <w:color w:val="0A1628"/>
          <w:sz w:val="20"/>
        </w:rPr>
        <w:t xml:space="preserve"> from production behavior. A failed snapshot must display an error and a retry action. It must not display invented employees.</w:t>
      </w:r>
    </w:p>
    <w:p>
      <w:pPr>
        <w:pStyle w:val="Heading3"/>
        <w:keepNext/>
      </w:pPr>
      <w:r>
        <w:rPr>
          <w:rFonts w:ascii="Aptos" w:hAnsi="Aptos" w:eastAsia="Aptos"/>
          <w:b w:val="0"/>
          <w:i w:val="0"/>
          <w:color w:val="0A1628"/>
          <w:sz w:val="20"/>
        </w:rPr>
        <w:t>17.2 Employee model</w:t>
      </w:r>
    </w:p>
    <w:p>
      <w:r>
        <w:rPr>
          <w:rFonts w:ascii="Aptos" w:hAnsi="Aptos" w:eastAsia="Aptos"/>
          <w:b w:val="0"/>
          <w:i w:val="0"/>
          <w:color w:val="0A1628"/>
          <w:sz w:val="20"/>
        </w:rPr>
        <w:t>Standardize:</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employee_id</w:t>
              <w:br/>
              <w:t>employee_code</w:t>
              <w:br/>
              <w:t>display_name</w:t>
              <w:br/>
              <w:t>legal_name</w:t>
              <w:br/>
              <w:t>email</w:t>
              <w:br/>
              <w:t>phone_primary</w:t>
              <w:br/>
              <w:t>department_code</w:t>
              <w:br/>
              <w:t>position_code</w:t>
              <w:br/>
              <w:t>branch_code</w:t>
              <w:br/>
              <w:t>employment_status</w:t>
              <w:br/>
              <w:t>employment_start_date</w:t>
              <w:br/>
              <w:t>employment_end_date</w:t>
              <w:br/>
              <w:t>manager_employee_id</w:t>
              <w:br/>
              <w:t>linked_user_id</w:t>
              <w:br/>
              <w:t>is_active</w:t>
              <w:br/>
              <w:t>created_at</w:t>
              <w:br/>
              <w:t>updated_at</w:t>
            </w:r>
          </w:p>
        </w:tc>
      </w:tr>
    </w:tbl>
    <w:p>
      <w:pPr>
        <w:spacing w:after="0"/>
      </w:pPr>
    </w:p>
    <w:p>
      <w:r>
        <w:rPr>
          <w:rFonts w:ascii="Aptos" w:hAnsi="Aptos" w:eastAsia="Aptos"/>
          <w:b w:val="0"/>
          <w:i w:val="0"/>
          <w:color w:val="0A1628"/>
          <w:sz w:val="20"/>
        </w:rPr>
        <w:t>Create an employment-history table for department, branch, position, manager, and status changes.</w:t>
      </w:r>
    </w:p>
    <w:p>
      <w:pPr>
        <w:pStyle w:val="Heading3"/>
        <w:keepNext/>
      </w:pPr>
      <w:r>
        <w:rPr>
          <w:rFonts w:ascii="Aptos" w:hAnsi="Aptos" w:eastAsia="Aptos"/>
          <w:b w:val="0"/>
          <w:i w:val="0"/>
          <w:color w:val="0A1628"/>
          <w:sz w:val="20"/>
        </w:rPr>
        <w:t>17.3 Snapshot</w:t>
      </w:r>
    </w:p>
    <w:p>
      <w:r>
        <w:rPr>
          <w:rFonts w:ascii="Aptos" w:hAnsi="Aptos" w:eastAsia="Aptos"/>
          <w:b w:val="0"/>
          <w:i w:val="0"/>
          <w:color w:val="0A1628"/>
          <w:sz w:val="20"/>
        </w:rPr>
        <w:t>Create or finalize:</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be_admin_hr_snapshot(p_payload jsonb default '{}'::jsonb)</w:t>
            </w:r>
          </w:p>
        </w:tc>
      </w:tr>
    </w:tbl>
    <w:p>
      <w:pPr>
        <w:spacing w:after="0"/>
      </w:pPr>
    </w:p>
    <w:p>
      <w:r>
        <w:rPr>
          <w:rFonts w:ascii="Aptos" w:hAnsi="Aptos" w:eastAsia="Aptos"/>
          <w:b w:val="0"/>
          <w:i w:val="0"/>
          <w:color w:val="0A1628"/>
          <w:sz w:val="20"/>
        </w:rPr>
        <w:t>Return employees, departments, positions, branches, application roles, account-link state, and permissions.</w:t>
      </w:r>
    </w:p>
    <w:p>
      <w:pPr>
        <w:pStyle w:val="Heading3"/>
        <w:keepNext/>
      </w:pPr>
      <w:r>
        <w:rPr>
          <w:rFonts w:ascii="Aptos" w:hAnsi="Aptos" w:eastAsia="Aptos"/>
          <w:b w:val="0"/>
          <w:i w:val="0"/>
          <w:color w:val="0A1628"/>
          <w:sz w:val="20"/>
        </w:rPr>
        <w:t>17.4 Mutation RPCs</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be_hr_employee_create_v54</w:t>
              <w:br/>
              <w:t>be_hr_employee_update_v54</w:t>
              <w:br/>
              <w:t>be_hr_employee_set_status_v54</w:t>
              <w:br/>
              <w:t>be_hr_employee_transfer_department_v54</w:t>
              <w:br/>
              <w:t>be_hr_employee_change_branch_v54</w:t>
              <w:br/>
              <w:t>be_hr_employee_assign_position_v54</w:t>
              <w:br/>
              <w:t>be_hr_employee_assign_app_role_v54</w:t>
              <w:br/>
              <w:t>be_hr_employee_link_account_v54</w:t>
              <w:br/>
              <w:t>be_hr_employee_reset_access_v54</w:t>
              <w:br/>
              <w:t>be_hr_employee_history_v54</w:t>
            </w:r>
          </w:p>
        </w:tc>
      </w:tr>
    </w:tbl>
    <w:p>
      <w:pPr>
        <w:spacing w:after="0"/>
      </w:pPr>
    </w:p>
    <w:p>
      <w:pPr>
        <w:pStyle w:val="Heading3"/>
        <w:keepNext/>
      </w:pPr>
      <w:r>
        <w:rPr>
          <w:rFonts w:ascii="Aptos" w:hAnsi="Aptos" w:eastAsia="Aptos"/>
          <w:b w:val="0"/>
          <w:i w:val="0"/>
          <w:color w:val="0A1628"/>
          <w:sz w:val="20"/>
        </w:rPr>
        <w:t>17.5 Authorization</w:t>
      </w:r>
    </w:p>
    <w:p>
      <w:pPr>
        <w:pStyle w:val="ListBullet"/>
        <w:ind w:left="0"/>
      </w:pPr>
      <w:r>
        <w:rPr>
          <w:rFonts w:ascii="Aptos" w:hAnsi="Aptos" w:eastAsia="Aptos"/>
          <w:b w:val="0"/>
          <w:i w:val="0"/>
          <w:color w:val="0A1628"/>
          <w:sz w:val="20"/>
        </w:rPr>
        <w:t>Create/edit/transfer: HR administrator or superadmin.</w:t>
      </w:r>
    </w:p>
    <w:p>
      <w:pPr>
        <w:pStyle w:val="ListBullet"/>
        <w:ind w:left="0"/>
      </w:pPr>
      <w:r>
        <w:rPr>
          <w:rFonts w:ascii="Aptos" w:hAnsi="Aptos" w:eastAsia="Aptos"/>
          <w:b w:val="0"/>
          <w:i w:val="0"/>
          <w:color w:val="0A1628"/>
          <w:sz w:val="20"/>
        </w:rPr>
        <w:t>App-role assignment and account linking: administrator plus account-security permission.</w:t>
      </w:r>
    </w:p>
    <w:p>
      <w:pPr>
        <w:pStyle w:val="ListBullet"/>
        <w:ind w:left="0"/>
      </w:pPr>
      <w:r>
        <w:rPr>
          <w:rFonts w:ascii="Aptos" w:hAnsi="Aptos" w:eastAsia="Aptos"/>
          <w:b w:val="0"/>
          <w:i w:val="0"/>
          <w:color w:val="0A1628"/>
          <w:sz w:val="20"/>
        </w:rPr>
        <w:t>Deactivation or termination: HR administrator, with reason and effective date.</w:t>
      </w:r>
    </w:p>
    <w:p>
      <w:pPr>
        <w:pStyle w:val="ListBullet"/>
        <w:ind w:left="0"/>
      </w:pPr>
      <w:r>
        <w:rPr>
          <w:rFonts w:ascii="Aptos" w:hAnsi="Aptos" w:eastAsia="Aptos"/>
          <w:b w:val="0"/>
          <w:i w:val="0"/>
          <w:color w:val="0A1628"/>
          <w:sz w:val="20"/>
        </w:rPr>
        <w:t>Reset access: authorized security administrator only.</w:t>
      </w:r>
    </w:p>
    <w:p>
      <w:pPr>
        <w:pStyle w:val="ListBullet"/>
        <w:ind w:left="0"/>
      </w:pPr>
      <w:r>
        <w:rPr>
          <w:rFonts w:ascii="Aptos" w:hAnsi="Aptos" w:eastAsia="Aptos"/>
          <w:b w:val="0"/>
          <w:i w:val="0"/>
          <w:color w:val="0A1628"/>
          <w:sz w:val="20"/>
        </w:rPr>
        <w:t>Users may not mutate their own privileged role or approval state.</w:t>
      </w:r>
    </w:p>
    <w:p>
      <w:pPr>
        <w:pStyle w:val="Heading3"/>
        <w:keepNext/>
      </w:pPr>
      <w:r>
        <w:rPr>
          <w:rFonts w:ascii="Aptos" w:hAnsi="Aptos" w:eastAsia="Aptos"/>
          <w:b w:val="0"/>
          <w:i w:val="0"/>
          <w:color w:val="0A1628"/>
          <w:sz w:val="20"/>
        </w:rPr>
        <w:t>17.6 Frontend</w:t>
      </w:r>
    </w:p>
    <w:p>
      <w:r>
        <w:rPr>
          <w:rFonts w:ascii="Aptos" w:hAnsi="Aptos" w:eastAsia="Aptos"/>
          <w:b w:val="0"/>
          <w:i w:val="0"/>
          <w:color w:val="0A1628"/>
          <w:sz w:val="20"/>
        </w:rPr>
        <w:t>Connect Add Employee and Manage controls to validated forms. Show before/after confirmation for branch, department, position, active status, and application-role changes.</w:t>
      </w:r>
    </w:p>
    <w:p>
      <w:pPr>
        <w:pStyle w:val="Heading3"/>
        <w:keepNext/>
      </w:pPr>
      <w:r>
        <w:rPr>
          <w:rFonts w:ascii="Aptos" w:hAnsi="Aptos" w:eastAsia="Aptos"/>
          <w:b w:val="0"/>
          <w:i w:val="0"/>
          <w:color w:val="0A1628"/>
          <w:sz w:val="20"/>
        </w:rPr>
        <w:t>17.7 Acceptance criteria</w:t>
      </w:r>
    </w:p>
    <w:p>
      <w:pPr>
        <w:pStyle w:val="ListBullet"/>
        <w:ind w:left="0"/>
      </w:pPr>
      <w:r>
        <w:rPr>
          <w:rFonts w:ascii="Aptos" w:hAnsi="Aptos" w:eastAsia="Aptos"/>
          <w:b w:val="0"/>
          <w:i w:val="0"/>
          <w:color w:val="0A1628"/>
          <w:sz w:val="20"/>
        </w:rPr>
        <w:t>Every mutation creates history and audit records.</w:t>
      </w:r>
    </w:p>
    <w:p>
      <w:pPr>
        <w:pStyle w:val="ListBullet"/>
        <w:ind w:left="0"/>
      </w:pPr>
      <w:r>
        <w:rPr>
          <w:rFonts w:ascii="Aptos" w:hAnsi="Aptos" w:eastAsia="Aptos"/>
          <w:b w:val="0"/>
          <w:i w:val="0"/>
          <w:color w:val="0A1628"/>
          <w:sz w:val="20"/>
        </w:rPr>
        <w:t>Direct client writes to employee/security tables are denied.</w:t>
      </w:r>
    </w:p>
    <w:p>
      <w:pPr>
        <w:pStyle w:val="ListBullet"/>
        <w:ind w:left="0"/>
      </w:pPr>
      <w:r>
        <w:rPr>
          <w:rFonts w:ascii="Aptos" w:hAnsi="Aptos" w:eastAsia="Aptos"/>
          <w:b w:val="0"/>
          <w:i w:val="0"/>
          <w:color w:val="0A1628"/>
          <w:sz w:val="20"/>
        </w:rPr>
        <w:t>Deactivated employees cannot remain eligible for workforce commission after their employment end date.</w:t>
      </w:r>
    </w:p>
    <w:p>
      <w:pPr>
        <w:pStyle w:val="ListBullet"/>
        <w:ind w:left="0"/>
      </w:pPr>
      <w:r>
        <w:rPr>
          <w:rFonts w:ascii="Aptos" w:hAnsi="Aptos" w:eastAsia="Aptos"/>
          <w:b w:val="0"/>
          <w:i w:val="0"/>
          <w:color w:val="0A1628"/>
          <w:sz w:val="20"/>
        </w:rPr>
        <w:t>Linked user and employee identities are unique and traceable.</w:t>
      </w:r>
    </w:p>
    <w:p>
      <w:pPr>
        <w:pStyle w:val="ListBullet"/>
        <w:ind w:left="0"/>
      </w:pPr>
      <w:r>
        <w:rPr>
          <w:rFonts w:ascii="Aptos" w:hAnsi="Aptos" w:eastAsia="Aptos"/>
          <w:b w:val="0"/>
          <w:i w:val="0"/>
          <w:color w:val="0A1628"/>
          <w:sz w:val="20"/>
        </w:rPr>
        <w:t>Export uses current filters and excludes secret account data.</w:t>
      </w:r>
    </w:p>
    <w:p>
      <w:pPr>
        <w:pStyle w:val="Heading2"/>
        <w:keepNext/>
      </w:pPr>
      <w:r>
        <w:rPr>
          <w:rFonts w:ascii="Aptos" w:hAnsi="Aptos" w:eastAsia="Aptos"/>
          <w:b w:val="0"/>
          <w:i w:val="0"/>
          <w:color w:val="0A1628"/>
          <w:sz w:val="20"/>
        </w:rPr>
        <w:t>18. Accounts and Permissions</w:t>
      </w:r>
    </w:p>
    <w:p>
      <w:pPr>
        <w:pStyle w:val="Heading3"/>
        <w:keepNext/>
      </w:pPr>
      <w:r>
        <w:rPr>
          <w:rFonts w:ascii="Aptos" w:hAnsi="Aptos" w:eastAsia="Aptos"/>
          <w:b w:val="0"/>
          <w:i w:val="0"/>
          <w:color w:val="0A1628"/>
          <w:sz w:val="20"/>
        </w:rPr>
        <w:t>18.1 Trusted administration boundary</w:t>
      </w:r>
    </w:p>
    <w:p>
      <w:r>
        <w:rPr>
          <w:rFonts w:ascii="Aptos" w:hAnsi="Aptos" w:eastAsia="Aptos"/>
          <w:b w:val="0"/>
          <w:i w:val="0"/>
          <w:color w:val="0A1628"/>
          <w:sz w:val="20"/>
        </w:rPr>
        <w:t>Privileged auth operations must run in a trusted server-side service or Supabase Edge Function using protected administrative credentials. The browser must never receive a service-role key.</w:t>
      </w:r>
    </w:p>
    <w:p>
      <w:r>
        <w:rPr>
          <w:rFonts w:ascii="Aptos" w:hAnsi="Aptos" w:eastAsia="Aptos"/>
          <w:b w:val="0"/>
          <w:i w:val="0"/>
          <w:color w:val="0A1628"/>
          <w:sz w:val="20"/>
        </w:rPr>
        <w:t>Database RPCs may manage requests, profiles, roles, permissions, branches, expiry, and audit records, while the trusted auth-admin service creates users, sends recovery actions, or performs provider-level blocks.</w:t>
      </w:r>
    </w:p>
    <w:p>
      <w:pPr>
        <w:pStyle w:val="Heading3"/>
        <w:keepNext/>
      </w:pPr>
      <w:r>
        <w:rPr>
          <w:rFonts w:ascii="Aptos" w:hAnsi="Aptos" w:eastAsia="Aptos"/>
          <w:b w:val="0"/>
          <w:i w:val="0"/>
          <w:color w:val="0A1628"/>
          <w:sz w:val="20"/>
        </w:rPr>
        <w:t>18.2 Account states</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REQUESTED</w:t>
              <w:br/>
              <w:t>PENDING_APPROVAL</w:t>
              <w:br/>
              <w:t>ACTIVE</w:t>
              <w:br/>
              <w:t>BLOCKED</w:t>
              <w:br/>
              <w:t>SUSPENDED</w:t>
              <w:br/>
              <w:t>EXPIRED</w:t>
              <w:br/>
              <w:t>DEACTIVATED</w:t>
              <w:br/>
              <w:t>REJECTED</w:t>
            </w:r>
          </w:p>
        </w:tc>
      </w:tr>
    </w:tbl>
    <w:p>
      <w:pPr>
        <w:spacing w:after="0"/>
      </w:pPr>
    </w:p>
    <w:p>
      <w:pPr>
        <w:pStyle w:val="Heading3"/>
        <w:keepNext/>
      </w:pPr>
      <w:r>
        <w:rPr>
          <w:rFonts w:ascii="Aptos" w:hAnsi="Aptos" w:eastAsia="Aptos"/>
          <w:b w:val="0"/>
          <w:i w:val="0"/>
          <w:color w:val="0A1628"/>
          <w:sz w:val="20"/>
        </w:rPr>
        <w:t>18.3 Required operations</w:t>
      </w:r>
    </w:p>
    <w:p>
      <w:pPr>
        <w:pStyle w:val="ListBullet"/>
        <w:ind w:left="0"/>
      </w:pPr>
      <w:r>
        <w:rPr>
          <w:rFonts w:ascii="Aptos" w:hAnsi="Aptos" w:eastAsia="Aptos"/>
          <w:b w:val="0"/>
          <w:i w:val="0"/>
          <w:color w:val="0A1628"/>
          <w:sz w:val="20"/>
        </w:rPr>
        <w:t>Create account request.</w:t>
      </w:r>
    </w:p>
    <w:p>
      <w:pPr>
        <w:pStyle w:val="ListBullet"/>
        <w:ind w:left="0"/>
      </w:pPr>
      <w:r>
        <w:rPr>
          <w:rFonts w:ascii="Aptos" w:hAnsi="Aptos" w:eastAsia="Aptos"/>
          <w:b w:val="0"/>
          <w:i w:val="0"/>
          <w:color w:val="0A1628"/>
          <w:sz w:val="20"/>
        </w:rPr>
        <w:t>Approve or reject request.</w:t>
      </w:r>
    </w:p>
    <w:p>
      <w:pPr>
        <w:pStyle w:val="ListBullet"/>
        <w:ind w:left="0"/>
      </w:pPr>
      <w:r>
        <w:rPr>
          <w:rFonts w:ascii="Aptos" w:hAnsi="Aptos" w:eastAsia="Aptos"/>
          <w:b w:val="0"/>
          <w:i w:val="0"/>
          <w:color w:val="0A1628"/>
          <w:sz w:val="20"/>
        </w:rPr>
        <w:t>Create/link authenticated account.</w:t>
      </w:r>
    </w:p>
    <w:p>
      <w:pPr>
        <w:pStyle w:val="ListBullet"/>
        <w:ind w:left="0"/>
      </w:pPr>
      <w:r>
        <w:rPr>
          <w:rFonts w:ascii="Aptos" w:hAnsi="Aptos" w:eastAsia="Aptos"/>
          <w:b w:val="0"/>
          <w:i w:val="0"/>
          <w:color w:val="0A1628"/>
          <w:sz w:val="20"/>
        </w:rPr>
        <w:t>Reset password or PIN.</w:t>
      </w:r>
    </w:p>
    <w:p>
      <w:pPr>
        <w:pStyle w:val="ListBullet"/>
        <w:ind w:left="0"/>
      </w:pPr>
      <w:r>
        <w:rPr>
          <w:rFonts w:ascii="Aptos" w:hAnsi="Aptos" w:eastAsia="Aptos"/>
          <w:b w:val="0"/>
          <w:i w:val="0"/>
          <w:color w:val="0A1628"/>
          <w:sz w:val="20"/>
        </w:rPr>
        <w:t>Block/unblock.</w:t>
      </w:r>
    </w:p>
    <w:p>
      <w:pPr>
        <w:pStyle w:val="ListBullet"/>
        <w:ind w:left="0"/>
      </w:pPr>
      <w:r>
        <w:rPr>
          <w:rFonts w:ascii="Aptos" w:hAnsi="Aptos" w:eastAsia="Aptos"/>
          <w:b w:val="0"/>
          <w:i w:val="0"/>
          <w:color w:val="0A1628"/>
          <w:sz w:val="20"/>
        </w:rPr>
        <w:t>Activate/deactivate.</w:t>
      </w:r>
    </w:p>
    <w:p>
      <w:pPr>
        <w:pStyle w:val="ListBullet"/>
        <w:ind w:left="0"/>
      </w:pPr>
      <w:r>
        <w:rPr>
          <w:rFonts w:ascii="Aptos" w:hAnsi="Aptos" w:eastAsia="Aptos"/>
          <w:b w:val="0"/>
          <w:i w:val="0"/>
          <w:color w:val="0A1628"/>
          <w:sz w:val="20"/>
        </w:rPr>
        <w:t>Assign role.</w:t>
      </w:r>
    </w:p>
    <w:p>
      <w:pPr>
        <w:pStyle w:val="ListBullet"/>
        <w:ind w:left="0"/>
      </w:pPr>
      <w:r>
        <w:rPr>
          <w:rFonts w:ascii="Aptos" w:hAnsi="Aptos" w:eastAsia="Aptos"/>
          <w:b w:val="0"/>
          <w:i w:val="0"/>
          <w:color w:val="0A1628"/>
          <w:sz w:val="20"/>
        </w:rPr>
        <w:t>Assign granular permissions.</w:t>
      </w:r>
    </w:p>
    <w:p>
      <w:pPr>
        <w:pStyle w:val="ListBullet"/>
        <w:ind w:left="0"/>
      </w:pPr>
      <w:r>
        <w:rPr>
          <w:rFonts w:ascii="Aptos" w:hAnsi="Aptos" w:eastAsia="Aptos"/>
          <w:b w:val="0"/>
          <w:i w:val="0"/>
          <w:color w:val="0A1628"/>
          <w:sz w:val="20"/>
        </w:rPr>
        <w:t>Restrict branch.</w:t>
      </w:r>
    </w:p>
    <w:p>
      <w:pPr>
        <w:pStyle w:val="ListBullet"/>
        <w:ind w:left="0"/>
      </w:pPr>
      <w:r>
        <w:rPr>
          <w:rFonts w:ascii="Aptos" w:hAnsi="Aptos" w:eastAsia="Aptos"/>
          <w:b w:val="0"/>
          <w:i w:val="0"/>
          <w:color w:val="0A1628"/>
          <w:sz w:val="20"/>
        </w:rPr>
        <w:t>Set account expiry.</w:t>
      </w:r>
    </w:p>
    <w:p>
      <w:pPr>
        <w:pStyle w:val="ListBullet"/>
        <w:ind w:left="0"/>
      </w:pPr>
      <w:r>
        <w:rPr>
          <w:rFonts w:ascii="Aptos" w:hAnsi="Aptos" w:eastAsia="Aptos"/>
          <w:b w:val="0"/>
          <w:i w:val="0"/>
          <w:color w:val="0A1628"/>
          <w:sz w:val="20"/>
        </w:rPr>
        <w:t>View login history.</w:t>
      </w:r>
    </w:p>
    <w:p>
      <w:pPr>
        <w:pStyle w:val="ListBullet"/>
        <w:ind w:left="0"/>
      </w:pPr>
      <w:r>
        <w:rPr>
          <w:rFonts w:ascii="Aptos" w:hAnsi="Aptos" w:eastAsia="Aptos"/>
          <w:b w:val="0"/>
          <w:i w:val="0"/>
          <w:color w:val="0A1628"/>
          <w:sz w:val="20"/>
        </w:rPr>
        <w:t>View audit history.</w:t>
      </w:r>
    </w:p>
    <w:p>
      <w:pPr>
        <w:pStyle w:val="Heading3"/>
        <w:keepNext/>
      </w:pPr>
      <w:r>
        <w:rPr>
          <w:rFonts w:ascii="Aptos" w:hAnsi="Aptos" w:eastAsia="Aptos"/>
          <w:b w:val="0"/>
          <w:i w:val="0"/>
          <w:color w:val="0A1628"/>
          <w:sz w:val="20"/>
        </w:rPr>
        <w:t>18.4 APIs</w:t>
      </w:r>
    </w:p>
    <w:p>
      <w:r>
        <w:rPr>
          <w:rFonts w:ascii="Aptos" w:hAnsi="Aptos" w:eastAsia="Aptos"/>
          <w:b w:val="0"/>
          <w:i w:val="0"/>
          <w:color w:val="0A1628"/>
          <w:sz w:val="20"/>
        </w:rPr>
        <w:t>Trusted server endpoints or Edge Functions:</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POST /account-admin/create</w:t>
              <w:br/>
              <w:t>POST /account-admin/reset-password</w:t>
              <w:br/>
              <w:t>POST /account-admin/reset-pin</w:t>
              <w:br/>
              <w:t>POST /account-admin/block</w:t>
              <w:br/>
              <w:t>POST /account-admin/unblock</w:t>
            </w:r>
          </w:p>
        </w:tc>
      </w:tr>
    </w:tbl>
    <w:p>
      <w:pPr>
        <w:spacing w:after="0"/>
      </w:pPr>
    </w:p>
    <w:p>
      <w:r>
        <w:rPr>
          <w:rFonts w:ascii="Aptos" w:hAnsi="Aptos" w:eastAsia="Aptos"/>
          <w:b w:val="0"/>
          <w:i w:val="0"/>
          <w:color w:val="0A1628"/>
          <w:sz w:val="20"/>
        </w:rPr>
        <w:t>Secured database RPCs:</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be_account_request_create_v54</w:t>
              <w:br/>
              <w:t>be_account_request_review_v54</w:t>
              <w:br/>
              <w:t>be_account_profile_update_v54</w:t>
              <w:br/>
              <w:t>be_account_role_assign_v54</w:t>
              <w:br/>
              <w:t>be_account_permission_assign_v54</w:t>
              <w:br/>
              <w:t>be_account_branch_restrict_v54</w:t>
              <w:br/>
              <w:t>be_account_expiry_set_v54</w:t>
              <w:br/>
              <w:t>be_account_login_history_v54</w:t>
              <w:br/>
              <w:t>be_account_audit_history_v54</w:t>
            </w:r>
          </w:p>
        </w:tc>
      </w:tr>
    </w:tbl>
    <w:p>
      <w:pPr>
        <w:spacing w:after="0"/>
      </w:pPr>
    </w:p>
    <w:p>
      <w:pPr>
        <w:pStyle w:val="Heading3"/>
        <w:keepNext/>
      </w:pPr>
      <w:r>
        <w:rPr>
          <w:rFonts w:ascii="Aptos" w:hAnsi="Aptos" w:eastAsia="Aptos"/>
          <w:b w:val="0"/>
          <w:i w:val="0"/>
          <w:color w:val="0A1628"/>
          <w:sz w:val="20"/>
        </w:rPr>
        <w:t>18.5 Maker-checker controls</w:t>
      </w:r>
    </w:p>
    <w:p>
      <w:r>
        <w:rPr>
          <w:rFonts w:ascii="Aptos" w:hAnsi="Aptos" w:eastAsia="Aptos"/>
          <w:b w:val="0"/>
          <w:i w:val="0"/>
          <w:color w:val="0A1628"/>
          <w:sz w:val="20"/>
        </w:rPr>
        <w:t xml:space="preserve">Role assignment to </w:t>
      </w:r>
      <w:r>
        <w:rPr>
          <w:rFonts w:ascii="Consolas" w:hAnsi="Consolas" w:eastAsia="Consolas"/>
          <w:b w:val="0"/>
          <w:i w:val="0"/>
          <w:color w:val="0A1628"/>
          <w:sz w:val="17"/>
          <w:shd w:fill="EEF2F6"/>
        </w:rPr>
        <w:t>superadmin</w:t>
      </w:r>
      <w:r>
        <w:rPr>
          <w:rFonts w:ascii="Aptos" w:hAnsi="Aptos" w:eastAsia="Aptos"/>
          <w:b w:val="0"/>
          <w:i w:val="0"/>
          <w:color w:val="0A1628"/>
          <w:sz w:val="20"/>
        </w:rPr>
        <w:t xml:space="preserve">, </w:t>
      </w:r>
      <w:r>
        <w:rPr>
          <w:rFonts w:ascii="Consolas" w:hAnsi="Consolas" w:eastAsia="Consolas"/>
          <w:b w:val="0"/>
          <w:i w:val="0"/>
          <w:color w:val="0A1628"/>
          <w:sz w:val="17"/>
          <w:shd w:fill="EEF2F6"/>
        </w:rPr>
        <w:t>admin</w:t>
      </w:r>
      <w:r>
        <w:rPr>
          <w:rFonts w:ascii="Aptos" w:hAnsi="Aptos" w:eastAsia="Aptos"/>
          <w:b w:val="0"/>
          <w:i w:val="0"/>
          <w:color w:val="0A1628"/>
          <w:sz w:val="20"/>
        </w:rPr>
        <w:t xml:space="preserve">, </w:t>
      </w:r>
      <w:r>
        <w:rPr>
          <w:rFonts w:ascii="Consolas" w:hAnsi="Consolas" w:eastAsia="Consolas"/>
          <w:b w:val="0"/>
          <w:i w:val="0"/>
          <w:color w:val="0A1628"/>
          <w:sz w:val="17"/>
          <w:shd w:fill="EEF2F6"/>
        </w:rPr>
        <w:t>finance_approver</w:t>
      </w:r>
      <w:r>
        <w:rPr>
          <w:rFonts w:ascii="Aptos" w:hAnsi="Aptos" w:eastAsia="Aptos"/>
          <w:b w:val="0"/>
          <w:i w:val="0"/>
          <w:color w:val="0A1628"/>
          <w:sz w:val="20"/>
        </w:rPr>
        <w:t>, or equivalent privileged roles must require a second authorized approver and must not be self-approved.</w:t>
      </w:r>
    </w:p>
    <w:p>
      <w:pPr>
        <w:pStyle w:val="Heading3"/>
        <w:keepNext/>
      </w:pPr>
      <w:r>
        <w:rPr>
          <w:rFonts w:ascii="Aptos" w:hAnsi="Aptos" w:eastAsia="Aptos"/>
          <w:b w:val="0"/>
          <w:i w:val="0"/>
          <w:color w:val="0A1628"/>
          <w:sz w:val="20"/>
        </w:rPr>
        <w:t>18.6 Frontend</w:t>
      </w:r>
    </w:p>
    <w:p>
      <w:r>
        <w:rPr>
          <w:rFonts w:ascii="Aptos" w:hAnsi="Aptos" w:eastAsia="Aptos"/>
          <w:b w:val="0"/>
          <w:i w:val="0"/>
          <w:color w:val="0A1628"/>
          <w:sz w:val="20"/>
        </w:rPr>
        <w:t>Replace presentation-only buttons with:</w:t>
      </w:r>
    </w:p>
    <w:p>
      <w:pPr>
        <w:pStyle w:val="ListBullet"/>
        <w:ind w:left="0"/>
      </w:pPr>
      <w:r>
        <w:rPr>
          <w:rFonts w:ascii="Aptos" w:hAnsi="Aptos" w:eastAsia="Aptos"/>
          <w:b w:val="0"/>
          <w:i w:val="0"/>
          <w:color w:val="0A1628"/>
          <w:sz w:val="20"/>
        </w:rPr>
        <w:t>Account registry and filters.</w:t>
      </w:r>
    </w:p>
    <w:p>
      <w:pPr>
        <w:pStyle w:val="ListBullet"/>
        <w:ind w:left="0"/>
      </w:pPr>
      <w:r>
        <w:rPr>
          <w:rFonts w:ascii="Aptos" w:hAnsi="Aptos" w:eastAsia="Aptos"/>
          <w:b w:val="0"/>
          <w:i w:val="0"/>
          <w:color w:val="0A1628"/>
          <w:sz w:val="20"/>
        </w:rPr>
        <w:t>Account request queue.</w:t>
      </w:r>
    </w:p>
    <w:p>
      <w:pPr>
        <w:pStyle w:val="ListBullet"/>
        <w:ind w:left="0"/>
      </w:pPr>
      <w:r>
        <w:rPr>
          <w:rFonts w:ascii="Aptos" w:hAnsi="Aptos" w:eastAsia="Aptos"/>
          <w:b w:val="0"/>
          <w:i w:val="0"/>
          <w:color w:val="0A1628"/>
          <w:sz w:val="20"/>
        </w:rPr>
        <w:t>Create/approve modal.</w:t>
      </w:r>
    </w:p>
    <w:p>
      <w:pPr>
        <w:pStyle w:val="ListBullet"/>
        <w:ind w:left="0"/>
      </w:pPr>
      <w:r>
        <w:rPr>
          <w:rFonts w:ascii="Aptos" w:hAnsi="Aptos" w:eastAsia="Aptos"/>
          <w:b w:val="0"/>
          <w:i w:val="0"/>
          <w:color w:val="0A1628"/>
          <w:sz w:val="20"/>
        </w:rPr>
        <w:t>Status action modal.</w:t>
      </w:r>
    </w:p>
    <w:p>
      <w:pPr>
        <w:pStyle w:val="ListBullet"/>
        <w:ind w:left="0"/>
      </w:pPr>
      <w:r>
        <w:rPr>
          <w:rFonts w:ascii="Aptos" w:hAnsi="Aptos" w:eastAsia="Aptos"/>
          <w:b w:val="0"/>
          <w:i w:val="0"/>
          <w:color w:val="0A1628"/>
          <w:sz w:val="20"/>
        </w:rPr>
        <w:t>Roles and permissions editor.</w:t>
      </w:r>
    </w:p>
    <w:p>
      <w:pPr>
        <w:pStyle w:val="ListBullet"/>
        <w:ind w:left="0"/>
      </w:pPr>
      <w:r>
        <w:rPr>
          <w:rFonts w:ascii="Aptos" w:hAnsi="Aptos" w:eastAsia="Aptos"/>
          <w:b w:val="0"/>
          <w:i w:val="0"/>
          <w:color w:val="0A1628"/>
          <w:sz w:val="20"/>
        </w:rPr>
        <w:t>Branch/expiry editor.</w:t>
      </w:r>
    </w:p>
    <w:p>
      <w:pPr>
        <w:pStyle w:val="ListBullet"/>
        <w:ind w:left="0"/>
      </w:pPr>
      <w:r>
        <w:rPr>
          <w:rFonts w:ascii="Aptos" w:hAnsi="Aptos" w:eastAsia="Aptos"/>
          <w:b w:val="0"/>
          <w:i w:val="0"/>
          <w:color w:val="0A1628"/>
          <w:sz w:val="20"/>
        </w:rPr>
        <w:t>Login and audit history drawers.</w:t>
      </w:r>
    </w:p>
    <w:p>
      <w:pPr>
        <w:pStyle w:val="Heading3"/>
        <w:keepNext/>
      </w:pPr>
      <w:r>
        <w:rPr>
          <w:rFonts w:ascii="Aptos" w:hAnsi="Aptos" w:eastAsia="Aptos"/>
          <w:b w:val="0"/>
          <w:i w:val="0"/>
          <w:color w:val="0A1628"/>
          <w:sz w:val="20"/>
        </w:rPr>
        <w:t>18.7 Acceptance criteria</w:t>
      </w:r>
    </w:p>
    <w:p>
      <w:pPr>
        <w:pStyle w:val="ListBullet"/>
        <w:ind w:left="0"/>
      </w:pPr>
      <w:r>
        <w:rPr>
          <w:rFonts w:ascii="Aptos" w:hAnsi="Aptos" w:eastAsia="Aptos"/>
          <w:b w:val="0"/>
          <w:i w:val="0"/>
          <w:color w:val="0A1628"/>
          <w:sz w:val="20"/>
        </w:rPr>
        <w:t>No privileged account is created directly from browser Supabase calls.</w:t>
      </w:r>
    </w:p>
    <w:p>
      <w:pPr>
        <w:pStyle w:val="ListBullet"/>
        <w:ind w:left="0"/>
      </w:pPr>
      <w:r>
        <w:rPr>
          <w:rFonts w:ascii="Aptos" w:hAnsi="Aptos" w:eastAsia="Aptos"/>
          <w:b w:val="0"/>
          <w:i w:val="0"/>
          <w:color w:val="0A1628"/>
          <w:sz w:val="20"/>
        </w:rPr>
        <w:t>Role and permission changes are transactional and audited.</w:t>
      </w:r>
    </w:p>
    <w:p>
      <w:pPr>
        <w:pStyle w:val="ListBullet"/>
        <w:ind w:left="0"/>
      </w:pPr>
      <w:r>
        <w:rPr>
          <w:rFonts w:ascii="Aptos" w:hAnsi="Aptos" w:eastAsia="Aptos"/>
          <w:b w:val="0"/>
          <w:i w:val="0"/>
          <w:color w:val="0A1628"/>
          <w:sz w:val="20"/>
        </w:rPr>
        <w:t>Blocked, inactive, expired, or unapproved users cannot access protected routes or mutation RPCs.</w:t>
      </w:r>
    </w:p>
    <w:p>
      <w:pPr>
        <w:pStyle w:val="ListBullet"/>
        <w:ind w:left="0"/>
      </w:pPr>
      <w:r>
        <w:rPr>
          <w:rFonts w:ascii="Aptos" w:hAnsi="Aptos" w:eastAsia="Aptos"/>
          <w:b w:val="0"/>
          <w:i w:val="0"/>
          <w:color w:val="0A1628"/>
          <w:sz w:val="20"/>
        </w:rPr>
        <w:t>Branch restrictions are enforced server-side.</w:t>
      </w:r>
    </w:p>
    <w:p>
      <w:pPr>
        <w:pStyle w:val="ListBullet"/>
        <w:ind w:left="0"/>
      </w:pPr>
      <w:r>
        <w:rPr>
          <w:rFonts w:ascii="Aptos" w:hAnsi="Aptos" w:eastAsia="Aptos"/>
          <w:b w:val="0"/>
          <w:i w:val="0"/>
          <w:color w:val="0A1628"/>
          <w:sz w:val="20"/>
        </w:rPr>
        <w:t>Failed auth-admin actions do not leave partially linked employee/profile records.</w:t>
      </w:r>
    </w:p>
    <w:p>
      <w:pPr>
        <w:pStyle w:val="Heading2"/>
        <w:keepNext/>
      </w:pPr>
      <w:r>
        <w:rPr>
          <w:rFonts w:ascii="Aptos" w:hAnsi="Aptos" w:eastAsia="Aptos"/>
          <w:b w:val="0"/>
          <w:i w:val="0"/>
          <w:color w:val="0A1628"/>
          <w:sz w:val="20"/>
        </w:rPr>
        <w:t>19. Production Environment and UAT Removal</w:t>
      </w:r>
    </w:p>
    <w:p>
      <w:pPr>
        <w:pStyle w:val="Heading3"/>
        <w:keepNext/>
      </w:pPr>
      <w:r>
        <w:rPr>
          <w:rFonts w:ascii="Aptos" w:hAnsi="Aptos" w:eastAsia="Aptos"/>
          <w:b w:val="0"/>
          <w:i w:val="0"/>
          <w:color w:val="0A1628"/>
          <w:sz w:val="20"/>
        </w:rPr>
        <w:t>19.1 Central environment resolver</w:t>
      </w:r>
    </w:p>
    <w:p>
      <w:r>
        <w:rPr>
          <w:rFonts w:ascii="Aptos" w:hAnsi="Aptos" w:eastAsia="Aptos"/>
          <w:b w:val="0"/>
          <w:i w:val="0"/>
          <w:color w:val="0A1628"/>
          <w:sz w:val="20"/>
        </w:rPr>
        <w:t>Create one resolver:</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export const APP_ENVIRONMENT =</w:t>
              <w:br/>
              <w:t xml:space="preserve">  String(import.meta.env.VITE_APP_ENVIRONMENT || 'PRODUCTION').toUpperCase();</w:t>
              <w:br/>
              <w:br/>
              <w:t>export const IS_PRODUCTION = APP_ENVIRONMENT === 'PRODUCTION';</w:t>
            </w:r>
          </w:p>
        </w:tc>
      </w:tr>
    </w:tbl>
    <w:p>
      <w:pPr>
        <w:spacing w:after="0"/>
      </w:pPr>
    </w:p>
    <w:p>
      <w:r>
        <w:rPr>
          <w:rFonts w:ascii="Aptos" w:hAnsi="Aptos" w:eastAsia="Aptos"/>
          <w:b w:val="0"/>
          <w:i w:val="0"/>
          <w:color w:val="0A1628"/>
          <w:sz w:val="20"/>
        </w:rPr>
        <w:t xml:space="preserve">The badge must derive from this resolver. In production it must show </w:t>
      </w:r>
      <w:r>
        <w:rPr>
          <w:rFonts w:ascii="Consolas" w:hAnsi="Consolas" w:eastAsia="Consolas"/>
          <w:b w:val="0"/>
          <w:i w:val="0"/>
          <w:color w:val="0A1628"/>
          <w:sz w:val="17"/>
          <w:shd w:fill="EEF2F6"/>
        </w:rPr>
        <w:t>BRITIUM PRODUCTION</w:t>
      </w:r>
      <w:r>
        <w:rPr>
          <w:rFonts w:ascii="Aptos" w:hAnsi="Aptos" w:eastAsia="Aptos"/>
          <w:b w:val="0"/>
          <w:i w:val="0"/>
          <w:color w:val="0A1628"/>
          <w:sz w:val="20"/>
        </w:rPr>
        <w:t xml:space="preserve"> or be hidden.</w:t>
      </w:r>
    </w:p>
    <w:p>
      <w:pPr>
        <w:pStyle w:val="Heading3"/>
        <w:keepNext/>
      </w:pPr>
      <w:r>
        <w:rPr>
          <w:rFonts w:ascii="Aptos" w:hAnsi="Aptos" w:eastAsia="Aptos"/>
          <w:b w:val="0"/>
          <w:i w:val="0"/>
          <w:color w:val="0A1628"/>
          <w:sz w:val="20"/>
        </w:rPr>
        <w:t>19.2 Route policy</w:t>
      </w:r>
    </w:p>
    <w:p>
      <w:r>
        <w:rPr>
          <w:rFonts w:ascii="Aptos" w:hAnsi="Aptos" w:eastAsia="Aptos"/>
          <w:b w:val="0"/>
          <w:i w:val="0"/>
          <w:color w:val="0A1628"/>
          <w:sz w:val="20"/>
        </w:rPr>
        <w:t>In production:</w:t>
      </w:r>
    </w:p>
    <w:p>
      <w:pPr>
        <w:pStyle w:val="ListBullet"/>
        <w:ind w:left="0"/>
      </w:pPr>
      <w:r>
        <w:rPr>
          <w:rFonts w:ascii="Aptos" w:hAnsi="Aptos" w:eastAsia="Aptos"/>
          <w:b w:val="0"/>
          <w:i w:val="0"/>
          <w:color w:val="0A1628"/>
          <w:sz w:val="20"/>
        </w:rPr>
        <w:t xml:space="preserve">Remove or hide </w:t>
      </w:r>
      <w:r>
        <w:rPr>
          <w:rFonts w:ascii="Consolas" w:hAnsi="Consolas" w:eastAsia="Consolas"/>
          <w:b w:val="0"/>
          <w:i w:val="0"/>
          <w:color w:val="0A1628"/>
          <w:sz w:val="17"/>
          <w:shd w:fill="EEF2F6"/>
        </w:rPr>
        <w:t>/data-entry-uat</w:t>
      </w:r>
      <w:r>
        <w:rPr>
          <w:rFonts w:ascii="Aptos" w:hAnsi="Aptos" w:eastAsia="Aptos"/>
          <w:b w:val="0"/>
          <w:i w:val="0"/>
          <w:color w:val="0A1628"/>
          <w:sz w:val="20"/>
        </w:rPr>
        <w:t>.</w:t>
      </w:r>
    </w:p>
    <w:p>
      <w:pPr>
        <w:pStyle w:val="ListBullet"/>
        <w:ind w:left="0"/>
      </w:pPr>
      <w:r>
        <w:rPr>
          <w:rFonts w:ascii="Aptos" w:hAnsi="Aptos" w:eastAsia="Aptos"/>
          <w:b w:val="0"/>
          <w:i w:val="0"/>
          <w:color w:val="0A1628"/>
          <w:sz w:val="20"/>
        </w:rPr>
        <w:t xml:space="preserve">Remove or hide </w:t>
      </w:r>
      <w:r>
        <w:rPr>
          <w:rFonts w:ascii="Consolas" w:hAnsi="Consolas" w:eastAsia="Consolas"/>
          <w:b w:val="0"/>
          <w:i w:val="0"/>
          <w:color w:val="0A1628"/>
          <w:sz w:val="17"/>
          <w:shd w:fill="EEF2F6"/>
        </w:rPr>
        <w:t>/warehouse-uat</w:t>
      </w:r>
      <w:r>
        <w:rPr>
          <w:rFonts w:ascii="Aptos" w:hAnsi="Aptos" w:eastAsia="Aptos"/>
          <w:b w:val="0"/>
          <w:i w:val="0"/>
          <w:color w:val="0A1628"/>
          <w:sz w:val="20"/>
        </w:rPr>
        <w:t>.</w:t>
      </w:r>
    </w:p>
    <w:p>
      <w:pPr>
        <w:pStyle w:val="ListBullet"/>
        <w:ind w:left="0"/>
      </w:pPr>
      <w:r>
        <w:rPr>
          <w:rFonts w:ascii="Aptos" w:hAnsi="Aptos" w:eastAsia="Aptos"/>
          <w:b w:val="0"/>
          <w:i w:val="0"/>
          <w:color w:val="0A1628"/>
          <w:sz w:val="20"/>
        </w:rPr>
        <w:t>Rename or replace the UAT readiness page with a production readiness/health page.</w:t>
      </w:r>
    </w:p>
    <w:p>
      <w:pPr>
        <w:pStyle w:val="ListBullet"/>
        <w:ind w:left="0"/>
      </w:pPr>
      <w:r>
        <w:rPr>
          <w:rFonts w:ascii="Aptos" w:hAnsi="Aptos" w:eastAsia="Aptos"/>
          <w:b w:val="0"/>
          <w:i w:val="0"/>
          <w:color w:val="0A1628"/>
          <w:sz w:val="20"/>
        </w:rPr>
        <w:t>Do not import UAT-only modules into the production route registry when they are not permitted.</w:t>
      </w:r>
    </w:p>
    <w:p>
      <w:pPr>
        <w:pStyle w:val="ListBullet"/>
        <w:ind w:left="0"/>
      </w:pPr>
      <w:r>
        <w:rPr>
          <w:rFonts w:ascii="Aptos" w:hAnsi="Aptos" w:eastAsia="Aptos"/>
          <w:b w:val="0"/>
          <w:i w:val="0"/>
          <w:color w:val="0A1628"/>
          <w:sz w:val="20"/>
        </w:rPr>
        <w:t>Redirect retired routes to the production equivalent with an audit/log message where needed.</w:t>
      </w:r>
    </w:p>
    <w:p>
      <w:pPr>
        <w:pStyle w:val="Heading3"/>
        <w:keepNext/>
      </w:pPr>
      <w:r>
        <w:rPr>
          <w:rFonts w:ascii="Aptos" w:hAnsi="Aptos" w:eastAsia="Aptos"/>
          <w:b w:val="0"/>
          <w:i w:val="0"/>
          <w:color w:val="0A1628"/>
          <w:sz w:val="20"/>
        </w:rPr>
        <w:t>19.3 Build checks</w:t>
      </w:r>
    </w:p>
    <w:p>
      <w:r>
        <w:rPr>
          <w:rFonts w:ascii="Aptos" w:hAnsi="Aptos" w:eastAsia="Aptos"/>
          <w:b w:val="0"/>
          <w:i w:val="0"/>
          <w:color w:val="0A1628"/>
          <w:sz w:val="20"/>
        </w:rPr>
        <w:t xml:space="preserve">Add a CI check after </w:t>
      </w:r>
      <w:r>
        <w:rPr>
          <w:rFonts w:ascii="Consolas" w:hAnsi="Consolas" w:eastAsia="Consolas"/>
          <w:b w:val="0"/>
          <w:i w:val="0"/>
          <w:color w:val="0A1628"/>
          <w:sz w:val="17"/>
          <w:shd w:fill="EEF2F6"/>
        </w:rPr>
        <w:t>vite build</w:t>
      </w:r>
      <w:r>
        <w:rPr>
          <w:rFonts w:ascii="Aptos" w:hAnsi="Aptos" w:eastAsia="Aptos"/>
          <w:b w:val="0"/>
          <w:i w:val="0"/>
          <w:color w:val="0A1628"/>
          <w:sz w:val="20"/>
        </w:rPr>
        <w:t>:</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if grep -R "BRITIUM GO-LIVE UAT" dist; then</w:t>
              <w:br/>
              <w:t xml:space="preserve">  echo "UAT label found in production bundle"</w:t>
              <w:br/>
              <w:t xml:space="preserve">  exit 1</w:t>
              <w:br/>
              <w:t>fi</w:t>
            </w:r>
          </w:p>
        </w:tc>
      </w:tr>
    </w:tbl>
    <w:p>
      <w:pPr>
        <w:spacing w:after="0"/>
      </w:pPr>
    </w:p>
    <w:p>
      <w:r>
        <w:rPr>
          <w:rFonts w:ascii="Aptos" w:hAnsi="Aptos" w:eastAsia="Aptos"/>
          <w:b w:val="0"/>
          <w:i w:val="0"/>
          <w:color w:val="0A1628"/>
          <w:sz w:val="20"/>
        </w:rPr>
        <w:t xml:space="preserve">Also reject forbidden production sidebar labels such as </w:t>
      </w:r>
      <w:r>
        <w:rPr>
          <w:rFonts w:ascii="Consolas" w:hAnsi="Consolas" w:eastAsia="Consolas"/>
          <w:b w:val="0"/>
          <w:i w:val="0"/>
          <w:color w:val="0A1628"/>
          <w:sz w:val="17"/>
          <w:shd w:fill="EEF2F6"/>
        </w:rPr>
        <w:t>Mobile Sandbox</w:t>
      </w:r>
      <w:r>
        <w:rPr>
          <w:rFonts w:ascii="Aptos" w:hAnsi="Aptos" w:eastAsia="Aptos"/>
          <w:b w:val="0"/>
          <w:i w:val="0"/>
          <w:color w:val="0A1628"/>
          <w:sz w:val="20"/>
        </w:rPr>
        <w:t>.</w:t>
      </w:r>
    </w:p>
    <w:p>
      <w:pPr>
        <w:pStyle w:val="Heading3"/>
        <w:keepNext/>
      </w:pPr>
      <w:r>
        <w:rPr>
          <w:rFonts w:ascii="Aptos" w:hAnsi="Aptos" w:eastAsia="Aptos"/>
          <w:b w:val="0"/>
          <w:i w:val="0"/>
          <w:color w:val="0A1628"/>
          <w:sz w:val="20"/>
        </w:rPr>
        <w:t>19.4 Acceptance criteria</w:t>
      </w:r>
    </w:p>
    <w:p>
      <w:pPr>
        <w:pStyle w:val="ListBullet"/>
        <w:ind w:left="0"/>
      </w:pPr>
      <w:r>
        <w:rPr>
          <w:rFonts w:ascii="Aptos" w:hAnsi="Aptos" w:eastAsia="Aptos"/>
          <w:b w:val="0"/>
          <w:i w:val="0"/>
          <w:color w:val="0A1628"/>
          <w:sz w:val="20"/>
        </w:rPr>
        <w:t>Production hostname never shows a UAT badge.</w:t>
      </w:r>
    </w:p>
    <w:p>
      <w:pPr>
        <w:pStyle w:val="ListBullet"/>
        <w:ind w:left="0"/>
      </w:pPr>
      <w:r>
        <w:rPr>
          <w:rFonts w:ascii="Aptos" w:hAnsi="Aptos" w:eastAsia="Aptos"/>
          <w:b w:val="0"/>
          <w:i w:val="0"/>
          <w:color w:val="0A1628"/>
          <w:sz w:val="20"/>
        </w:rPr>
        <w:t>UAT-only routes are inaccessible in production.</w:t>
      </w:r>
    </w:p>
    <w:p>
      <w:pPr>
        <w:pStyle w:val="ListBullet"/>
        <w:ind w:left="0"/>
      </w:pPr>
      <w:r>
        <w:rPr>
          <w:rFonts w:ascii="Aptos" w:hAnsi="Aptos" w:eastAsia="Aptos"/>
          <w:b w:val="0"/>
          <w:i w:val="0"/>
          <w:color w:val="0A1628"/>
          <w:sz w:val="20"/>
        </w:rPr>
        <w:t>Environment labels are not hardcoded in feature pages.</w:t>
      </w:r>
    </w:p>
    <w:p>
      <w:pPr>
        <w:pStyle w:val="ListBullet"/>
        <w:ind w:left="0"/>
      </w:pPr>
      <w:r>
        <w:rPr>
          <w:rFonts w:ascii="Aptos" w:hAnsi="Aptos" w:eastAsia="Aptos"/>
          <w:b w:val="0"/>
          <w:i w:val="0"/>
          <w:color w:val="0A1628"/>
          <w:sz w:val="20"/>
        </w:rPr>
        <w:t>Development and staging can still expose their correct environment labels.</w:t>
      </w:r>
    </w:p>
    <w:p>
      <w:pPr>
        <w:pStyle w:val="Heading2"/>
        <w:keepNext/>
      </w:pPr>
      <w:r>
        <w:rPr>
          <w:rFonts w:ascii="Aptos" w:hAnsi="Aptos" w:eastAsia="Aptos"/>
          <w:b w:val="0"/>
          <w:i w:val="0"/>
          <w:color w:val="0A1628"/>
          <w:sz w:val="20"/>
        </w:rPr>
        <w:t>20. Database and API Migration Sequence</w:t>
      </w:r>
    </w:p>
    <w:p>
      <w:pPr>
        <w:pStyle w:val="Heading3"/>
        <w:keepNext/>
      </w:pPr>
      <w:r>
        <w:rPr>
          <w:rFonts w:ascii="Aptos" w:hAnsi="Aptos" w:eastAsia="Aptos"/>
          <w:b w:val="0"/>
          <w:i w:val="0"/>
          <w:color w:val="0A1628"/>
          <w:sz w:val="20"/>
        </w:rPr>
        <w:t>Phase 0 - Inventory and backups</w:t>
      </w:r>
    </w:p>
    <w:p>
      <w:pPr>
        <w:pStyle w:val="ListBullet"/>
        <w:ind w:left="0"/>
      </w:pPr>
      <w:r>
        <w:rPr>
          <w:rFonts w:ascii="Aptos" w:hAnsi="Aptos" w:eastAsia="Aptos"/>
          <w:b w:val="0"/>
          <w:i w:val="0"/>
          <w:color w:val="0A1628"/>
          <w:sz w:val="20"/>
        </w:rPr>
        <w:t>Export current definitions of all called RPCs.</w:t>
      </w:r>
    </w:p>
    <w:p>
      <w:pPr>
        <w:pStyle w:val="ListBullet"/>
        <w:ind w:left="0"/>
      </w:pPr>
      <w:r>
        <w:rPr>
          <w:rFonts w:ascii="Aptos" w:hAnsi="Aptos" w:eastAsia="Aptos"/>
          <w:b w:val="0"/>
          <w:i w:val="0"/>
          <w:color w:val="0A1628"/>
          <w:sz w:val="20"/>
        </w:rPr>
        <w:t>Export table schemas, policies, grants, triggers, and dependent views.</w:t>
      </w:r>
    </w:p>
    <w:p>
      <w:pPr>
        <w:pStyle w:val="ListBullet"/>
        <w:ind w:left="0"/>
      </w:pPr>
      <w:r>
        <w:rPr>
          <w:rFonts w:ascii="Aptos" w:hAnsi="Aptos" w:eastAsia="Aptos"/>
          <w:b w:val="0"/>
          <w:i w:val="0"/>
          <w:color w:val="0A1628"/>
          <w:sz w:val="20"/>
        </w:rPr>
        <w:t>Snapshot mismatch counts and financial totals.</w:t>
      </w:r>
    </w:p>
    <w:p>
      <w:pPr>
        <w:pStyle w:val="ListBullet"/>
        <w:ind w:left="0"/>
      </w:pPr>
      <w:r>
        <w:rPr>
          <w:rFonts w:ascii="Aptos" w:hAnsi="Aptos" w:eastAsia="Aptos"/>
          <w:b w:val="0"/>
          <w:i w:val="0"/>
          <w:color w:val="0A1628"/>
          <w:sz w:val="20"/>
        </w:rPr>
        <w:t>Record the current production build and migration version.</w:t>
      </w:r>
    </w:p>
    <w:p>
      <w:pPr>
        <w:pStyle w:val="Heading3"/>
        <w:keepNext/>
      </w:pPr>
      <w:r>
        <w:rPr>
          <w:rFonts w:ascii="Aptos" w:hAnsi="Aptos" w:eastAsia="Aptos"/>
          <w:b w:val="0"/>
          <w:i w:val="0"/>
          <w:color w:val="0A1628"/>
          <w:sz w:val="20"/>
        </w:rPr>
        <w:t>Phase 1 - Canonical lineage</w:t>
      </w:r>
    </w:p>
    <w:p>
      <w:pPr>
        <w:pStyle w:val="ListBullet"/>
        <w:ind w:left="0"/>
      </w:pPr>
      <w:r>
        <w:rPr>
          <w:rFonts w:ascii="Aptos" w:hAnsi="Aptos" w:eastAsia="Aptos"/>
          <w:b w:val="0"/>
          <w:i w:val="0"/>
          <w:color w:val="0A1628"/>
          <w:sz w:val="20"/>
        </w:rPr>
        <w:t>Add shared ID parser.</w:t>
      </w:r>
    </w:p>
    <w:p>
      <w:pPr>
        <w:pStyle w:val="ListBullet"/>
        <w:ind w:left="0"/>
      </w:pPr>
      <w:r>
        <w:rPr>
          <w:rFonts w:ascii="Aptos" w:hAnsi="Aptos" w:eastAsia="Aptos"/>
          <w:b w:val="0"/>
          <w:i w:val="0"/>
          <w:color w:val="0A1628"/>
          <w:sz w:val="20"/>
        </w:rPr>
        <w:t xml:space="preserve">Standardize </w:t>
      </w:r>
      <w:r>
        <w:rPr>
          <w:rFonts w:ascii="Consolas" w:hAnsi="Consolas" w:eastAsia="Consolas"/>
          <w:b w:val="0"/>
          <w:i w:val="0"/>
          <w:color w:val="0A1628"/>
          <w:sz w:val="17"/>
          <w:shd w:fill="EEF2F6"/>
        </w:rPr>
        <w:t>pickup_id</w:t>
      </w:r>
      <w:r>
        <w:rPr>
          <w:rFonts w:ascii="Aptos" w:hAnsi="Aptos" w:eastAsia="Aptos"/>
          <w:b w:val="0"/>
          <w:i w:val="0"/>
          <w:color w:val="0A1628"/>
          <w:sz w:val="20"/>
        </w:rPr>
        <w:t>.</w:t>
      </w:r>
    </w:p>
    <w:p>
      <w:pPr>
        <w:pStyle w:val="ListBullet"/>
        <w:ind w:left="0"/>
      </w:pPr>
      <w:r>
        <w:rPr>
          <w:rFonts w:ascii="Aptos" w:hAnsi="Aptos" w:eastAsia="Aptos"/>
          <w:b w:val="0"/>
          <w:i w:val="0"/>
          <w:color w:val="0A1628"/>
          <w:sz w:val="20"/>
        </w:rPr>
        <w:t>Correct final-sync refresh and certification guards.</w:t>
      </w:r>
    </w:p>
    <w:p>
      <w:pPr>
        <w:pStyle w:val="ListBullet"/>
        <w:ind w:left="0"/>
      </w:pPr>
      <w:r>
        <w:rPr>
          <w:rFonts w:ascii="Aptos" w:hAnsi="Aptos" w:eastAsia="Aptos"/>
          <w:b w:val="0"/>
          <w:i w:val="0"/>
          <w:color w:val="0A1628"/>
          <w:sz w:val="20"/>
        </w:rPr>
        <w:t>Audit and backfill lineage.</w:t>
      </w:r>
    </w:p>
    <w:p>
      <w:pPr>
        <w:pStyle w:val="Heading3"/>
        <w:keepNext/>
      </w:pPr>
      <w:r>
        <w:rPr>
          <w:rFonts w:ascii="Aptos" w:hAnsi="Aptos" w:eastAsia="Aptos"/>
          <w:b w:val="0"/>
          <w:i w:val="0"/>
          <w:color w:val="0A1628"/>
          <w:sz w:val="20"/>
        </w:rPr>
        <w:t>Phase 2 - Financial V2</w:t>
      </w:r>
    </w:p>
    <w:p>
      <w:pPr>
        <w:pStyle w:val="ListBullet"/>
        <w:ind w:left="0"/>
      </w:pPr>
      <w:r>
        <w:rPr>
          <w:rFonts w:ascii="Aptos" w:hAnsi="Aptos" w:eastAsia="Aptos"/>
          <w:b w:val="0"/>
          <w:i w:val="0"/>
          <w:color w:val="0A1628"/>
          <w:sz w:val="20"/>
        </w:rPr>
        <w:t>Add canonical financial columns and compatibility views.</w:t>
      </w:r>
    </w:p>
    <w:p>
      <w:pPr>
        <w:pStyle w:val="ListBullet"/>
        <w:ind w:left="0"/>
      </w:pPr>
      <w:r>
        <w:rPr>
          <w:rFonts w:ascii="Aptos" w:hAnsi="Aptos" w:eastAsia="Aptos"/>
          <w:b w:val="0"/>
          <w:i w:val="0"/>
          <w:color w:val="0A1628"/>
          <w:sz w:val="20"/>
        </w:rPr>
        <w:t>Deploy calculation, save, import, and waybill RPCs.</w:t>
      </w:r>
    </w:p>
    <w:p>
      <w:pPr>
        <w:pStyle w:val="ListBullet"/>
        <w:ind w:left="0"/>
      </w:pPr>
      <w:r>
        <w:rPr>
          <w:rFonts w:ascii="Aptos" w:hAnsi="Aptos" w:eastAsia="Aptos"/>
          <w:b w:val="0"/>
          <w:i w:val="0"/>
          <w:color w:val="0A1628"/>
          <w:sz w:val="20"/>
        </w:rPr>
        <w:t>Deploy new Data Entry screen behind a feature flag.</w:t>
      </w:r>
    </w:p>
    <w:p>
      <w:pPr>
        <w:pStyle w:val="ListBullet"/>
        <w:ind w:left="0"/>
      </w:pPr>
      <w:r>
        <w:rPr>
          <w:rFonts w:ascii="Aptos" w:hAnsi="Aptos" w:eastAsia="Aptos"/>
          <w:b w:val="0"/>
          <w:i w:val="0"/>
          <w:color w:val="0A1628"/>
          <w:sz w:val="20"/>
        </w:rPr>
        <w:t>Reconcile a controlled parcel sample before full rollout.</w:t>
      </w:r>
    </w:p>
    <w:p>
      <w:pPr>
        <w:pStyle w:val="Heading3"/>
        <w:keepNext/>
      </w:pPr>
      <w:r>
        <w:rPr>
          <w:rFonts w:ascii="Aptos" w:hAnsi="Aptos" w:eastAsia="Aptos"/>
          <w:b w:val="0"/>
          <w:i w:val="0"/>
          <w:color w:val="0A1628"/>
          <w:sz w:val="20"/>
        </w:rPr>
        <w:t>Phase 3 - Security</w:t>
      </w:r>
    </w:p>
    <w:p>
      <w:pPr>
        <w:pStyle w:val="ListBullet"/>
        <w:ind w:left="0"/>
      </w:pPr>
      <w:r>
        <w:rPr>
          <w:rFonts w:ascii="Aptos" w:hAnsi="Aptos" w:eastAsia="Aptos"/>
          <w:b w:val="0"/>
          <w:i w:val="0"/>
          <w:color w:val="0A1628"/>
          <w:sz w:val="20"/>
        </w:rPr>
        <w:t>Deploy audit model and role checks.</w:t>
      </w:r>
    </w:p>
    <w:p>
      <w:pPr>
        <w:pStyle w:val="ListBullet"/>
        <w:ind w:left="0"/>
      </w:pPr>
      <w:r>
        <w:rPr>
          <w:rFonts w:ascii="Aptos" w:hAnsi="Aptos" w:eastAsia="Aptos"/>
          <w:b w:val="0"/>
          <w:i w:val="0"/>
          <w:color w:val="0A1628"/>
          <w:sz w:val="20"/>
        </w:rPr>
        <w:t>Deploy Admin/HR mutations.</w:t>
      </w:r>
    </w:p>
    <w:p>
      <w:pPr>
        <w:pStyle w:val="ListBullet"/>
        <w:ind w:left="0"/>
      </w:pPr>
      <w:r>
        <w:rPr>
          <w:rFonts w:ascii="Aptos" w:hAnsi="Aptos" w:eastAsia="Aptos"/>
          <w:b w:val="0"/>
          <w:i w:val="0"/>
          <w:color w:val="0A1628"/>
          <w:sz w:val="20"/>
        </w:rPr>
        <w:t>Deploy trusted account-admin service and account RPCs.</w:t>
      </w:r>
    </w:p>
    <w:p>
      <w:pPr>
        <w:pStyle w:val="ListBullet"/>
        <w:ind w:left="0"/>
      </w:pPr>
      <w:r>
        <w:rPr>
          <w:rFonts w:ascii="Aptos" w:hAnsi="Aptos" w:eastAsia="Aptos"/>
          <w:b w:val="0"/>
          <w:i w:val="0"/>
          <w:color w:val="0A1628"/>
          <w:sz w:val="20"/>
        </w:rPr>
        <w:t>Remove broad direct-write policies from protected tables.</w:t>
      </w:r>
    </w:p>
    <w:p>
      <w:pPr>
        <w:pStyle w:val="Heading3"/>
        <w:keepNext/>
      </w:pPr>
      <w:r>
        <w:rPr>
          <w:rFonts w:ascii="Aptos" w:hAnsi="Aptos" w:eastAsia="Aptos"/>
          <w:b w:val="0"/>
          <w:i w:val="0"/>
          <w:color w:val="0A1628"/>
          <w:sz w:val="20"/>
        </w:rPr>
        <w:t>Phase 4 - Network fulfillment and outsourced settlement</w:t>
      </w:r>
    </w:p>
    <w:p>
      <w:pPr>
        <w:pStyle w:val="ListBullet"/>
        <w:ind w:left="0"/>
      </w:pPr>
      <w:r>
        <w:rPr>
          <w:rFonts w:ascii="Aptos" w:hAnsi="Aptos" w:eastAsia="Aptos"/>
          <w:b w:val="0"/>
          <w:i w:val="0"/>
          <w:color w:val="0A1628"/>
          <w:sz w:val="20"/>
        </w:rPr>
        <w:t>Deploy provider, branch, coverage, partner tariff, and status-mapping masters.</w:t>
      </w:r>
    </w:p>
    <w:p>
      <w:pPr>
        <w:pStyle w:val="ListBullet"/>
        <w:ind w:left="0"/>
      </w:pPr>
      <w:r>
        <w:rPr>
          <w:rFonts w:ascii="Aptos" w:hAnsi="Aptos" w:eastAsia="Aptos"/>
          <w:b w:val="0"/>
          <w:i w:val="0"/>
          <w:color w:val="0A1628"/>
          <w:sz w:val="20"/>
        </w:rPr>
        <w:t>Seed the attached township list as coverage candidates and explicitly classify direct, branch, and outsourced reachability.</w:t>
      </w:r>
    </w:p>
    <w:p>
      <w:pPr>
        <w:pStyle w:val="ListBullet"/>
        <w:ind w:left="0"/>
      </w:pPr>
      <w:r>
        <w:rPr>
          <w:rFonts w:ascii="Aptos" w:hAnsi="Aptos" w:eastAsia="Aptos"/>
          <w:b w:val="0"/>
          <w:i w:val="0"/>
          <w:color w:val="0A1628"/>
          <w:sz w:val="20"/>
        </w:rPr>
        <w:t>Deploy routing, assignment, manifest, tracking, POD, COD custody, partner settlement, and branch reconciliation RPCs.</w:t>
      </w:r>
    </w:p>
    <w:p>
      <w:pPr>
        <w:pStyle w:val="ListBullet"/>
        <w:ind w:left="0"/>
      </w:pPr>
      <w:r>
        <w:rPr>
          <w:rFonts w:ascii="Aptos" w:hAnsi="Aptos" w:eastAsia="Aptos"/>
          <w:b w:val="0"/>
          <w:i w:val="0"/>
          <w:color w:val="0A1628"/>
          <w:sz w:val="20"/>
        </w:rPr>
        <w:t>Configure Mandalay-to-DK and Nay Pyi Taw branch-managed rules with effective dates.</w:t>
      </w:r>
    </w:p>
    <w:p>
      <w:pPr>
        <w:pStyle w:val="ListBullet"/>
        <w:ind w:left="0"/>
      </w:pPr>
      <w:r>
        <w:rPr>
          <w:rFonts w:ascii="Aptos" w:hAnsi="Aptos" w:eastAsia="Aptos"/>
          <w:b w:val="0"/>
          <w:i w:val="0"/>
          <w:color w:val="0A1628"/>
          <w:sz w:val="20"/>
        </w:rPr>
        <w:t>Pilot one provider and one branch before enabling all providers.</w:t>
      </w:r>
    </w:p>
    <w:p>
      <w:pPr>
        <w:pStyle w:val="Heading3"/>
        <w:keepNext/>
      </w:pPr>
      <w:r>
        <w:rPr>
          <w:rFonts w:ascii="Aptos" w:hAnsi="Aptos" w:eastAsia="Aptos"/>
          <w:b w:val="0"/>
          <w:i w:val="0"/>
          <w:color w:val="0A1628"/>
          <w:sz w:val="20"/>
        </w:rPr>
        <w:t>Phase 5 - Operational support and environment</w:t>
      </w:r>
    </w:p>
    <w:p>
      <w:pPr>
        <w:pStyle w:val="ListBullet"/>
        <w:ind w:left="0"/>
      </w:pPr>
      <w:r>
        <w:rPr>
          <w:rFonts w:ascii="Aptos" w:hAnsi="Aptos" w:eastAsia="Aptos"/>
          <w:b w:val="0"/>
          <w:i w:val="0"/>
          <w:color w:val="0A1628"/>
          <w:sz w:val="20"/>
        </w:rPr>
        <w:t>Add Mobile Operations route and console.</w:t>
      </w:r>
    </w:p>
    <w:p>
      <w:pPr>
        <w:pStyle w:val="ListBullet"/>
        <w:ind w:left="0"/>
      </w:pPr>
      <w:r>
        <w:rPr>
          <w:rFonts w:ascii="Aptos" w:hAnsi="Aptos" w:eastAsia="Aptos"/>
          <w:b w:val="0"/>
          <w:i w:val="0"/>
          <w:color w:val="0A1628"/>
          <w:sz w:val="20"/>
        </w:rPr>
        <w:t>Separate rider field route.</w:t>
      </w:r>
    </w:p>
    <w:p>
      <w:pPr>
        <w:pStyle w:val="ListBullet"/>
        <w:ind w:left="0"/>
      </w:pPr>
      <w:r>
        <w:rPr>
          <w:rFonts w:ascii="Aptos" w:hAnsi="Aptos" w:eastAsia="Aptos"/>
          <w:b w:val="0"/>
          <w:i w:val="0"/>
          <w:color w:val="0A1628"/>
          <w:sz w:val="20"/>
        </w:rPr>
        <w:t>Remove UAT presentation and routes from production.</w:t>
      </w:r>
    </w:p>
    <w:p>
      <w:pPr>
        <w:pStyle w:val="Heading3"/>
        <w:keepNext/>
      </w:pPr>
      <w:r>
        <w:rPr>
          <w:rFonts w:ascii="Aptos" w:hAnsi="Aptos" w:eastAsia="Aptos"/>
          <w:b w:val="0"/>
          <w:i w:val="0"/>
          <w:color w:val="0A1628"/>
          <w:sz w:val="20"/>
        </w:rPr>
        <w:t>Phase 6 - Growth dashboards</w:t>
      </w:r>
    </w:p>
    <w:p>
      <w:pPr>
        <w:pStyle w:val="ListBullet"/>
        <w:ind w:left="0"/>
      </w:pPr>
      <w:r>
        <w:rPr>
          <w:rFonts w:ascii="Aptos" w:hAnsi="Aptos" w:eastAsia="Aptos"/>
          <w:b w:val="0"/>
          <w:i w:val="0"/>
          <w:color w:val="0A1628"/>
          <w:sz w:val="20"/>
        </w:rPr>
        <w:t>Deploy consolidated BD RPC and page.</w:t>
      </w:r>
    </w:p>
    <w:p>
      <w:pPr>
        <w:pStyle w:val="ListBullet"/>
        <w:ind w:left="0"/>
      </w:pPr>
      <w:r>
        <w:rPr>
          <w:rFonts w:ascii="Aptos" w:hAnsi="Aptos" w:eastAsia="Aptos"/>
          <w:b w:val="0"/>
          <w:i w:val="0"/>
          <w:color w:val="0A1628"/>
          <w:sz w:val="20"/>
        </w:rPr>
        <w:t>Deploy Live Marketing analytics.</w:t>
      </w:r>
    </w:p>
    <w:p>
      <w:pPr>
        <w:pStyle w:val="ListBullet"/>
        <w:ind w:left="0"/>
      </w:pPr>
      <w:r>
        <w:rPr>
          <w:rFonts w:ascii="Aptos" w:hAnsi="Aptos" w:eastAsia="Aptos"/>
          <w:b w:val="0"/>
          <w:i w:val="0"/>
          <w:color w:val="0A1628"/>
          <w:sz w:val="20"/>
        </w:rPr>
        <w:t>Deploy Marketing Portal workflows.</w:t>
      </w:r>
    </w:p>
    <w:p>
      <w:pPr>
        <w:pStyle w:val="ListBullet"/>
        <w:ind w:left="0"/>
      </w:pPr>
      <w:r>
        <w:rPr>
          <w:rFonts w:ascii="Aptos" w:hAnsi="Aptos" w:eastAsia="Aptos"/>
          <w:b w:val="0"/>
          <w:i w:val="0"/>
          <w:color w:val="0A1628"/>
          <w:sz w:val="20"/>
        </w:rPr>
        <w:t>Remove static and duplicate pages after validation.</w:t>
      </w:r>
    </w:p>
    <w:p>
      <w:pPr>
        <w:pStyle w:val="Heading2"/>
        <w:keepNext/>
      </w:pPr>
      <w:r>
        <w:rPr>
          <w:rFonts w:ascii="Aptos" w:hAnsi="Aptos" w:eastAsia="Aptos"/>
          <w:b w:val="0"/>
          <w:i w:val="0"/>
          <w:color w:val="0A1628"/>
          <w:sz w:val="20"/>
        </w:rPr>
        <w:t>21. Testing Strategy</w:t>
      </w:r>
    </w:p>
    <w:p>
      <w:pPr>
        <w:pStyle w:val="Heading3"/>
        <w:keepNext/>
      </w:pPr>
      <w:r>
        <w:rPr>
          <w:rFonts w:ascii="Aptos" w:hAnsi="Aptos" w:eastAsia="Aptos"/>
          <w:b w:val="0"/>
          <w:i w:val="0"/>
          <w:color w:val="0A1628"/>
          <w:sz w:val="20"/>
        </w:rPr>
        <w:t>21.1 Database tests</w:t>
      </w:r>
    </w:p>
    <w:p>
      <w:pPr>
        <w:pStyle w:val="ListBullet"/>
        <w:ind w:left="0"/>
      </w:pPr>
      <w:r>
        <w:rPr>
          <w:rFonts w:ascii="Aptos" w:hAnsi="Aptos" w:eastAsia="Aptos"/>
          <w:b w:val="0"/>
          <w:i w:val="0"/>
          <w:color w:val="0A1628"/>
          <w:sz w:val="20"/>
        </w:rPr>
        <w:t>Canonical ID parser tests.</w:t>
      </w:r>
    </w:p>
    <w:p>
      <w:pPr>
        <w:pStyle w:val="ListBullet"/>
        <w:ind w:left="0"/>
      </w:pPr>
      <w:r>
        <w:rPr>
          <w:rFonts w:ascii="Aptos" w:hAnsi="Aptos" w:eastAsia="Aptos"/>
          <w:b w:val="0"/>
          <w:i w:val="0"/>
          <w:color w:val="0A1628"/>
          <w:sz w:val="20"/>
        </w:rPr>
        <w:t>Lineage mismatch tests.</w:t>
      </w:r>
    </w:p>
    <w:p>
      <w:pPr>
        <w:pStyle w:val="ListBullet"/>
        <w:ind w:left="0"/>
      </w:pPr>
      <w:r>
        <w:rPr>
          <w:rFonts w:ascii="Aptos" w:hAnsi="Aptos" w:eastAsia="Aptos"/>
          <w:b w:val="0"/>
          <w:i w:val="0"/>
          <w:color w:val="0A1628"/>
          <w:sz w:val="20"/>
        </w:rPr>
        <w:t>Certification rejection tests.</w:t>
      </w:r>
    </w:p>
    <w:p>
      <w:pPr>
        <w:pStyle w:val="ListBullet"/>
        <w:ind w:left="0"/>
      </w:pPr>
      <w:r>
        <w:rPr>
          <w:rFonts w:ascii="Aptos" w:hAnsi="Aptos" w:eastAsia="Aptos"/>
          <w:b w:val="0"/>
          <w:i w:val="0"/>
          <w:color w:val="0A1628"/>
          <w:sz w:val="20"/>
        </w:rPr>
        <w:t>Financial calculation tests for all amount-entry types.</w:t>
      </w:r>
    </w:p>
    <w:p>
      <w:pPr>
        <w:pStyle w:val="ListBullet"/>
        <w:ind w:left="0"/>
      </w:pPr>
      <w:r>
        <w:rPr>
          <w:rFonts w:ascii="Aptos" w:hAnsi="Aptos" w:eastAsia="Aptos"/>
          <w:b w:val="0"/>
          <w:i w:val="0"/>
          <w:color w:val="0A1628"/>
          <w:sz w:val="20"/>
        </w:rPr>
        <w:t>Tariff snapshot persistence tests.</w:t>
      </w:r>
    </w:p>
    <w:p>
      <w:pPr>
        <w:pStyle w:val="ListBullet"/>
        <w:ind w:left="0"/>
      </w:pPr>
      <w:r>
        <w:rPr>
          <w:rFonts w:ascii="Aptos" w:hAnsi="Aptos" w:eastAsia="Aptos"/>
          <w:b w:val="0"/>
          <w:i w:val="0"/>
          <w:color w:val="0A1628"/>
          <w:sz w:val="20"/>
        </w:rPr>
        <w:t>Highway station code/alias resolution and effective-date tests.</w:t>
      </w:r>
    </w:p>
    <w:p>
      <w:pPr>
        <w:pStyle w:val="ListBullet"/>
        <w:ind w:left="0"/>
      </w:pPr>
      <w:r>
        <w:rPr>
          <w:rFonts w:ascii="Aptos" w:hAnsi="Aptos" w:eastAsia="Aptos"/>
          <w:b w:val="0"/>
          <w:i w:val="0"/>
          <w:color w:val="0A1628"/>
          <w:sz w:val="20"/>
        </w:rPr>
        <w:t>Highway station base-rate tests for Downtown, Bayintnaung, Dagon Thiri, Aung Mingalar, and Parami.</w:t>
      </w:r>
    </w:p>
    <w:p>
      <w:pPr>
        <w:pStyle w:val="ListBullet"/>
        <w:ind w:left="0"/>
      </w:pPr>
      <w:r>
        <w:rPr>
          <w:rFonts w:ascii="Aptos" w:hAnsi="Aptos" w:eastAsia="Aptos"/>
          <w:b w:val="0"/>
          <w:i w:val="0"/>
          <w:color w:val="0A1628"/>
          <w:sz w:val="20"/>
        </w:rPr>
        <w:t>Highway station surcharge tests using Standard, Royal, and Commitment included-weight rules.</w:t>
      </w:r>
    </w:p>
    <w:p>
      <w:pPr>
        <w:pStyle w:val="ListBullet"/>
        <w:ind w:left="0"/>
      </w:pPr>
      <w:r>
        <w:rPr>
          <w:rFonts w:ascii="Aptos" w:hAnsi="Aptos" w:eastAsia="Aptos"/>
          <w:b w:val="0"/>
          <w:i w:val="0"/>
          <w:color w:val="0A1628"/>
          <w:sz w:val="20"/>
        </w:rPr>
        <w:t>Rejection tests for free-text or unknown highway stations.</w:t>
      </w:r>
    </w:p>
    <w:p>
      <w:pPr>
        <w:pStyle w:val="ListBullet"/>
        <w:ind w:left="0"/>
      </w:pPr>
      <w:r>
        <w:rPr>
          <w:rFonts w:ascii="Aptos" w:hAnsi="Aptos" w:eastAsia="Aptos"/>
          <w:b w:val="0"/>
          <w:i w:val="0"/>
          <w:color w:val="0A1628"/>
          <w:sz w:val="20"/>
        </w:rPr>
        <w:t>Idempotency tests.</w:t>
      </w:r>
    </w:p>
    <w:p>
      <w:pPr>
        <w:pStyle w:val="ListBullet"/>
        <w:ind w:left="0"/>
      </w:pPr>
      <w:r>
        <w:rPr>
          <w:rFonts w:ascii="Aptos" w:hAnsi="Aptos" w:eastAsia="Aptos"/>
          <w:b w:val="0"/>
          <w:i w:val="0"/>
          <w:color w:val="0A1628"/>
          <w:sz w:val="20"/>
        </w:rPr>
        <w:t>Role, branch, expiry, inactive-account, and self-escalation tests.</w:t>
      </w:r>
    </w:p>
    <w:p>
      <w:pPr>
        <w:pStyle w:val="ListBullet"/>
        <w:ind w:left="0"/>
      </w:pPr>
      <w:r>
        <w:rPr>
          <w:rFonts w:ascii="Aptos" w:hAnsi="Aptos" w:eastAsia="Aptos"/>
          <w:b w:val="0"/>
          <w:i w:val="0"/>
          <w:color w:val="0A1628"/>
          <w:sz w:val="20"/>
        </w:rPr>
        <w:t>Audit atomicity tests.</w:t>
      </w:r>
    </w:p>
    <w:p>
      <w:pPr>
        <w:pStyle w:val="ListBullet"/>
        <w:ind w:left="0"/>
      </w:pPr>
      <w:r>
        <w:rPr>
          <w:rFonts w:ascii="Aptos" w:hAnsi="Aptos" w:eastAsia="Aptos"/>
          <w:b w:val="0"/>
          <w:i w:val="0"/>
          <w:color w:val="0A1628"/>
          <w:sz w:val="20"/>
        </w:rPr>
        <w:t>Coverage and routing-priority tests.</w:t>
      </w:r>
    </w:p>
    <w:p>
      <w:pPr>
        <w:pStyle w:val="ListBullet"/>
        <w:ind w:left="0"/>
      </w:pPr>
      <w:r>
        <w:rPr>
          <w:rFonts w:ascii="Aptos" w:hAnsi="Aptos" w:eastAsia="Aptos"/>
          <w:b w:val="0"/>
          <w:i w:val="0"/>
          <w:color w:val="0A1628"/>
          <w:sz w:val="20"/>
        </w:rPr>
        <w:t>Provider tariff snapshot tests.</w:t>
      </w:r>
    </w:p>
    <w:p>
      <w:pPr>
        <w:pStyle w:val="ListBullet"/>
        <w:ind w:left="0"/>
      </w:pPr>
      <w:r>
        <w:rPr>
          <w:rFonts w:ascii="Aptos" w:hAnsi="Aptos" w:eastAsia="Aptos"/>
          <w:b w:val="0"/>
          <w:i w:val="0"/>
          <w:color w:val="0A1628"/>
          <w:sz w:val="20"/>
        </w:rPr>
        <w:t>Partner tracking event idempotency and out-of-order event tests.</w:t>
      </w:r>
    </w:p>
    <w:p>
      <w:pPr>
        <w:pStyle w:val="ListBullet"/>
        <w:ind w:left="0"/>
      </w:pPr>
      <w:r>
        <w:rPr>
          <w:rFonts w:ascii="Aptos" w:hAnsi="Aptos" w:eastAsia="Aptos"/>
          <w:b w:val="0"/>
          <w:i w:val="0"/>
          <w:color w:val="0A1628"/>
          <w:sz w:val="20"/>
        </w:rPr>
        <w:t>Manifest parcel-count and acceptance tests.</w:t>
      </w:r>
    </w:p>
    <w:p>
      <w:pPr>
        <w:pStyle w:val="ListBullet"/>
        <w:ind w:left="0"/>
      </w:pPr>
      <w:r>
        <w:rPr>
          <w:rFonts w:ascii="Aptos" w:hAnsi="Aptos" w:eastAsia="Aptos"/>
          <w:b w:val="0"/>
          <w:i w:val="0"/>
          <w:color w:val="0A1628"/>
          <w:sz w:val="20"/>
        </w:rPr>
        <w:t>COD custody and remittance tests for gross and netted settlement methods.</w:t>
      </w:r>
    </w:p>
    <w:p>
      <w:pPr>
        <w:pStyle w:val="ListBullet"/>
        <w:ind w:left="0"/>
      </w:pPr>
      <w:r>
        <w:rPr>
          <w:rFonts w:ascii="Aptos" w:hAnsi="Aptos" w:eastAsia="Aptos"/>
          <w:b w:val="0"/>
          <w:i w:val="0"/>
          <w:color w:val="0A1628"/>
          <w:sz w:val="20"/>
        </w:rPr>
        <w:t>Duplicate partner charge and double-payment prevention tests.</w:t>
      </w:r>
    </w:p>
    <w:p>
      <w:pPr>
        <w:pStyle w:val="ListBullet"/>
        <w:ind w:left="0"/>
      </w:pPr>
      <w:r>
        <w:rPr>
          <w:rFonts w:ascii="Aptos" w:hAnsi="Aptos" w:eastAsia="Aptos"/>
          <w:b w:val="0"/>
          <w:i w:val="0"/>
          <w:color w:val="0A1628"/>
          <w:sz w:val="20"/>
        </w:rPr>
        <w:t>Branch cash reconciliation tests.</w:t>
      </w:r>
    </w:p>
    <w:p>
      <w:pPr>
        <w:pStyle w:val="Heading3"/>
        <w:keepNext/>
      </w:pPr>
      <w:r>
        <w:rPr>
          <w:rFonts w:ascii="Aptos" w:hAnsi="Aptos" w:eastAsia="Aptos"/>
          <w:b w:val="0"/>
          <w:i w:val="0"/>
          <w:color w:val="0A1628"/>
          <w:sz w:val="20"/>
        </w:rPr>
        <w:t>21.2 Frontend tests</w:t>
      </w:r>
    </w:p>
    <w:p>
      <w:pPr>
        <w:pStyle w:val="ListBullet"/>
        <w:ind w:left="0"/>
      </w:pPr>
      <w:r>
        <w:rPr>
          <w:rFonts w:ascii="Aptos" w:hAnsi="Aptos" w:eastAsia="Aptos"/>
          <w:b w:val="0"/>
          <w:i w:val="0"/>
          <w:color w:val="0A1628"/>
          <w:sz w:val="20"/>
        </w:rPr>
        <w:t>Active route renders intended page.</w:t>
      </w:r>
    </w:p>
    <w:p>
      <w:pPr>
        <w:pStyle w:val="ListBullet"/>
        <w:ind w:left="0"/>
      </w:pPr>
      <w:r>
        <w:rPr>
          <w:rFonts w:ascii="Aptos" w:hAnsi="Aptos" w:eastAsia="Aptos"/>
          <w:b w:val="0"/>
          <w:i w:val="0"/>
          <w:color w:val="0A1628"/>
          <w:sz w:val="20"/>
        </w:rPr>
        <w:t>No static demo values appear after RPC failure.</w:t>
      </w:r>
    </w:p>
    <w:p>
      <w:pPr>
        <w:pStyle w:val="ListBullet"/>
        <w:ind w:left="0"/>
      </w:pPr>
      <w:r>
        <w:rPr>
          <w:rFonts w:ascii="Aptos" w:hAnsi="Aptos" w:eastAsia="Aptos"/>
          <w:b w:val="0"/>
          <w:i w:val="0"/>
          <w:color w:val="0A1628"/>
          <w:sz w:val="20"/>
        </w:rPr>
        <w:t>Read-only server fields cannot be edited.</w:t>
      </w:r>
    </w:p>
    <w:p>
      <w:pPr>
        <w:pStyle w:val="ListBullet"/>
        <w:ind w:left="0"/>
      </w:pPr>
      <w:r>
        <w:rPr>
          <w:rFonts w:ascii="Aptos" w:hAnsi="Aptos" w:eastAsia="Aptos"/>
          <w:b w:val="0"/>
          <w:i w:val="0"/>
          <w:color w:val="0A1628"/>
          <w:sz w:val="20"/>
        </w:rPr>
        <w:t>Server validation is displayed correctly.</w:t>
      </w:r>
    </w:p>
    <w:p>
      <w:pPr>
        <w:pStyle w:val="ListBullet"/>
        <w:ind w:left="0"/>
      </w:pPr>
      <w:r>
        <w:rPr>
          <w:rFonts w:ascii="Aptos" w:hAnsi="Aptos" w:eastAsia="Aptos"/>
          <w:b w:val="0"/>
          <w:i w:val="0"/>
          <w:color w:val="0A1628"/>
          <w:sz w:val="20"/>
        </w:rPr>
        <w:t>Mobile Operations and Rider App have distinct role-aware routes.</w:t>
      </w:r>
    </w:p>
    <w:p>
      <w:pPr>
        <w:pStyle w:val="ListBullet"/>
        <w:ind w:left="0"/>
      </w:pPr>
      <w:r>
        <w:rPr>
          <w:rFonts w:ascii="Aptos" w:hAnsi="Aptos" w:eastAsia="Aptos"/>
          <w:b w:val="0"/>
          <w:i w:val="0"/>
          <w:color w:val="0A1628"/>
          <w:sz w:val="20"/>
        </w:rPr>
        <w:t>Production environment hides UAT routes and text.</w:t>
      </w:r>
    </w:p>
    <w:p>
      <w:pPr>
        <w:pStyle w:val="ListBullet"/>
        <w:ind w:left="0"/>
      </w:pPr>
      <w:r>
        <w:rPr>
          <w:rFonts w:ascii="Aptos" w:hAnsi="Aptos" w:eastAsia="Aptos"/>
          <w:b w:val="0"/>
          <w:i w:val="0"/>
          <w:color w:val="0A1628"/>
          <w:sz w:val="20"/>
        </w:rPr>
        <w:t>Network Fulfillment shows the managing branch and executing provider separately.</w:t>
      </w:r>
    </w:p>
    <w:p>
      <w:pPr>
        <w:pStyle w:val="ListBullet"/>
        <w:ind w:left="0"/>
      </w:pPr>
      <w:r>
        <w:rPr>
          <w:rFonts w:ascii="Aptos" w:hAnsi="Aptos" w:eastAsia="Aptos"/>
          <w:b w:val="0"/>
          <w:i w:val="0"/>
          <w:color w:val="0A1628"/>
          <w:sz w:val="20"/>
        </w:rPr>
        <w:t>Partner users cannot access another provider's parcels or rates.</w:t>
      </w:r>
    </w:p>
    <w:p>
      <w:pPr>
        <w:pStyle w:val="ListBullet"/>
        <w:ind w:left="0"/>
      </w:pPr>
      <w:r>
        <w:rPr>
          <w:rFonts w:ascii="Aptos" w:hAnsi="Aptos" w:eastAsia="Aptos"/>
          <w:b w:val="0"/>
          <w:i w:val="0"/>
          <w:color w:val="0A1628"/>
          <w:sz w:val="20"/>
        </w:rPr>
        <w:t>Merchant users cannot see internal partner costs or branch reconciliation data.</w:t>
      </w:r>
    </w:p>
    <w:p>
      <w:pPr>
        <w:pStyle w:val="Heading3"/>
        <w:keepNext/>
      </w:pPr>
      <w:r>
        <w:rPr>
          <w:rFonts w:ascii="Aptos" w:hAnsi="Aptos" w:eastAsia="Aptos"/>
          <w:b w:val="0"/>
          <w:i w:val="0"/>
          <w:color w:val="0A1628"/>
          <w:sz w:val="20"/>
        </w:rPr>
        <w:t>21.3 Reconciliation tests</w:t>
      </w:r>
    </w:p>
    <w:p>
      <w:pPr>
        <w:pStyle w:val="ListBullet"/>
        <w:ind w:left="0"/>
      </w:pPr>
      <w:r>
        <w:rPr>
          <w:rFonts w:ascii="Aptos" w:hAnsi="Aptos" w:eastAsia="Aptos"/>
          <w:b w:val="0"/>
          <w:i w:val="0"/>
          <w:color w:val="0A1628"/>
          <w:sz w:val="20"/>
        </w:rPr>
        <w:t>Final Sync row count equals canonical Data Entry Way count within defined status scope.</w:t>
      </w:r>
    </w:p>
    <w:p>
      <w:pPr>
        <w:pStyle w:val="ListBullet"/>
        <w:ind w:left="0"/>
      </w:pPr>
      <w:r>
        <w:rPr>
          <w:rFonts w:ascii="Aptos" w:hAnsi="Aptos" w:eastAsia="Aptos"/>
          <w:b w:val="0"/>
          <w:i w:val="0"/>
          <w:color w:val="0A1628"/>
          <w:sz w:val="20"/>
        </w:rPr>
        <w:t>Merchant, branch, township, COD, and settlement drill-down totals equal dashboard totals.</w:t>
      </w:r>
    </w:p>
    <w:p>
      <w:pPr>
        <w:pStyle w:val="ListBullet"/>
        <w:ind w:left="0"/>
      </w:pPr>
      <w:r>
        <w:rPr>
          <w:rFonts w:ascii="Aptos" w:hAnsi="Aptos" w:eastAsia="Aptos"/>
          <w:b w:val="0"/>
          <w:i w:val="0"/>
          <w:color w:val="0A1628"/>
          <w:sz w:val="20"/>
        </w:rPr>
        <w:t>Data Entry customer collection reconciles to merchant settlement plus company-owned charges.</w:t>
      </w:r>
    </w:p>
    <w:p>
      <w:pPr>
        <w:pStyle w:val="ListBullet"/>
        <w:ind w:left="0"/>
      </w:pPr>
      <w:r>
        <w:rPr>
          <w:rFonts w:ascii="Aptos" w:hAnsi="Aptos" w:eastAsia="Aptos"/>
          <w:b w:val="0"/>
          <w:i w:val="0"/>
          <w:color w:val="0A1628"/>
          <w:sz w:val="20"/>
        </w:rPr>
        <w:t>Outsourced Ways reconcile customer COD, merchant settlement, Britium revenue, partner expense, and partner remittance.</w:t>
      </w:r>
    </w:p>
    <w:p>
      <w:pPr>
        <w:pStyle w:val="ListBullet"/>
        <w:ind w:left="0"/>
      </w:pPr>
      <w:r>
        <w:rPr>
          <w:rFonts w:ascii="Aptos" w:hAnsi="Aptos" w:eastAsia="Aptos"/>
          <w:b w:val="0"/>
          <w:i w:val="0"/>
          <w:color w:val="0A1628"/>
          <w:sz w:val="20"/>
        </w:rPr>
        <w:t>Branch COD received reconciles to bank deposits, headquarters transfers, approved expenses, and outstanding cash.</w:t>
      </w:r>
    </w:p>
    <w:p>
      <w:pPr>
        <w:pStyle w:val="ListBullet"/>
        <w:ind w:left="0"/>
      </w:pPr>
      <w:r>
        <w:rPr>
          <w:rFonts w:ascii="Aptos" w:hAnsi="Aptos" w:eastAsia="Aptos"/>
          <w:b w:val="0"/>
          <w:i w:val="0"/>
          <w:color w:val="0A1628"/>
          <w:sz w:val="20"/>
        </w:rPr>
        <w:t>Partner settlement totals reconcile to approved Way-level tariff snapshots and POD eligibility.</w:t>
      </w:r>
    </w:p>
    <w:p>
      <w:pPr>
        <w:pStyle w:val="Heading3"/>
        <w:keepNext/>
      </w:pPr>
      <w:r>
        <w:rPr>
          <w:rFonts w:ascii="Aptos" w:hAnsi="Aptos" w:eastAsia="Aptos"/>
          <w:b w:val="0"/>
          <w:i w:val="0"/>
          <w:color w:val="0A1628"/>
          <w:sz w:val="20"/>
        </w:rPr>
        <w:t>21.4 Production smoke tests</w:t>
      </w:r>
    </w:p>
    <w:p>
      <w:pPr>
        <w:pStyle w:val="ListBullet"/>
        <w:ind w:left="0"/>
      </w:pPr>
      <w:r>
        <w:rPr>
          <w:rFonts w:ascii="Aptos" w:hAnsi="Aptos" w:eastAsia="Aptos"/>
          <w:b w:val="0"/>
          <w:i w:val="0"/>
          <w:color w:val="0A1628"/>
          <w:sz w:val="20"/>
        </w:rPr>
        <w:t>Create and save one Financial V2 parcel.</w:t>
      </w:r>
    </w:p>
    <w:p>
      <w:pPr>
        <w:pStyle w:val="ListBullet"/>
        <w:ind w:left="0"/>
      </w:pPr>
      <w:r>
        <w:rPr>
          <w:rFonts w:ascii="Aptos" w:hAnsi="Aptos" w:eastAsia="Aptos"/>
          <w:b w:val="0"/>
          <w:i w:val="0"/>
          <w:color w:val="0A1628"/>
          <w:sz w:val="20"/>
        </w:rPr>
        <w:t>Create one Highway Station Drop-Off parcel for each configured station and verify its base rate.</w:t>
      </w:r>
    </w:p>
    <w:p>
      <w:pPr>
        <w:pStyle w:val="ListBullet"/>
        <w:ind w:left="0"/>
      </w:pPr>
      <w:r>
        <w:rPr>
          <w:rFonts w:ascii="Aptos" w:hAnsi="Aptos" w:eastAsia="Aptos"/>
          <w:b w:val="0"/>
          <w:i w:val="0"/>
          <w:color w:val="0A1628"/>
          <w:sz w:val="20"/>
        </w:rPr>
        <w:t>Verify a 4.2 kg Standard parcel adds two extra kilograms at the active extra-kilogram rate.</w:t>
      </w:r>
    </w:p>
    <w:p>
      <w:pPr>
        <w:pStyle w:val="ListBullet"/>
        <w:ind w:left="0"/>
      </w:pPr>
      <w:r>
        <w:rPr>
          <w:rFonts w:ascii="Aptos" w:hAnsi="Aptos" w:eastAsia="Aptos"/>
          <w:b w:val="0"/>
          <w:i w:val="0"/>
          <w:color w:val="0A1628"/>
          <w:sz w:val="20"/>
        </w:rPr>
        <w:t>Generate its waybill.</w:t>
      </w:r>
    </w:p>
    <w:p>
      <w:pPr>
        <w:pStyle w:val="ListBullet"/>
        <w:ind w:left="0"/>
      </w:pPr>
      <w:r>
        <w:rPr>
          <w:rFonts w:ascii="Aptos" w:hAnsi="Aptos" w:eastAsia="Aptos"/>
          <w:b w:val="0"/>
          <w:i w:val="0"/>
          <w:color w:val="0A1628"/>
          <w:sz w:val="20"/>
        </w:rPr>
        <w:t>Refresh Final Sync and verify canonical pickup lineage.</w:t>
      </w:r>
    </w:p>
    <w:p>
      <w:pPr>
        <w:pStyle w:val="ListBullet"/>
        <w:ind w:left="0"/>
      </w:pPr>
      <w:r>
        <w:rPr>
          <w:rFonts w:ascii="Aptos" w:hAnsi="Aptos" w:eastAsia="Aptos"/>
          <w:b w:val="0"/>
          <w:i w:val="0"/>
          <w:color w:val="0A1628"/>
          <w:sz w:val="20"/>
        </w:rPr>
        <w:t>Attempt certification with a forced mismatch and confirm server rejection.</w:t>
      </w:r>
    </w:p>
    <w:p>
      <w:pPr>
        <w:pStyle w:val="ListBullet"/>
        <w:ind w:left="0"/>
      </w:pPr>
      <w:r>
        <w:rPr>
          <w:rFonts w:ascii="Aptos" w:hAnsi="Aptos" w:eastAsia="Aptos"/>
          <w:b w:val="0"/>
          <w:i w:val="0"/>
          <w:color w:val="0A1628"/>
          <w:sz w:val="20"/>
        </w:rPr>
        <w:t>Create/update an employee through HR.</w:t>
      </w:r>
    </w:p>
    <w:p>
      <w:pPr>
        <w:pStyle w:val="ListBullet"/>
        <w:ind w:left="0"/>
      </w:pPr>
      <w:r>
        <w:rPr>
          <w:rFonts w:ascii="Aptos" w:hAnsi="Aptos" w:eastAsia="Aptos"/>
          <w:b w:val="0"/>
          <w:i w:val="0"/>
          <w:color w:val="0A1628"/>
          <w:sz w:val="20"/>
        </w:rPr>
        <w:t>Create and approve a non-privileged account request.</w:t>
      </w:r>
    </w:p>
    <w:p>
      <w:pPr>
        <w:pStyle w:val="ListBullet"/>
        <w:ind w:left="0"/>
      </w:pPr>
      <w:r>
        <w:rPr>
          <w:rFonts w:ascii="Aptos" w:hAnsi="Aptos" w:eastAsia="Aptos"/>
          <w:b w:val="0"/>
          <w:i w:val="0"/>
          <w:color w:val="0A1628"/>
          <w:sz w:val="20"/>
        </w:rPr>
        <w:t>Load BD, Marketing, Mobile Operations, and Accounts with real empty/error states.</w:t>
      </w:r>
    </w:p>
    <w:p>
      <w:pPr>
        <w:pStyle w:val="ListBullet"/>
        <w:ind w:left="0"/>
      </w:pPr>
      <w:r>
        <w:rPr>
          <w:rFonts w:ascii="Aptos" w:hAnsi="Aptos" w:eastAsia="Aptos"/>
          <w:b w:val="0"/>
          <w:i w:val="0"/>
          <w:color w:val="0A1628"/>
          <w:sz w:val="20"/>
        </w:rPr>
        <w:t>Route one Mandalay Way to DK Delivery, record manifest acceptance, delivery event, POD, COD remittance, and partner settlement.</w:t>
      </w:r>
    </w:p>
    <w:p>
      <w:pPr>
        <w:pStyle w:val="ListBullet"/>
        <w:ind w:left="0"/>
      </w:pPr>
      <w:r>
        <w:rPr>
          <w:rFonts w:ascii="Aptos" w:hAnsi="Aptos" w:eastAsia="Aptos"/>
          <w:b w:val="0"/>
          <w:i w:val="0"/>
          <w:color w:val="0A1628"/>
          <w:sz w:val="20"/>
        </w:rPr>
        <w:t>Route one Nay Pyi Taw Way through branch handling and complete branch cash reconciliation.</w:t>
      </w:r>
    </w:p>
    <w:p>
      <w:pPr>
        <w:pStyle w:val="ListBullet"/>
        <w:ind w:left="0"/>
      </w:pPr>
      <w:r>
        <w:rPr>
          <w:rFonts w:ascii="Aptos" w:hAnsi="Aptos" w:eastAsia="Aptos"/>
          <w:b w:val="0"/>
          <w:i w:val="0"/>
          <w:color w:val="0A1628"/>
          <w:sz w:val="20"/>
        </w:rPr>
        <w:t>Force a provider invoice mismatch and confirm settlement is blocked.</w:t>
      </w:r>
    </w:p>
    <w:p>
      <w:pPr>
        <w:pStyle w:val="Heading2"/>
        <w:keepNext/>
      </w:pPr>
      <w:r>
        <w:rPr>
          <w:rFonts w:ascii="Aptos" w:hAnsi="Aptos" w:eastAsia="Aptos"/>
          <w:b w:val="0"/>
          <w:i w:val="0"/>
          <w:color w:val="0A1628"/>
          <w:sz w:val="20"/>
        </w:rPr>
        <w:t>22. Deployment Gates</w:t>
      </w:r>
    </w:p>
    <w:p>
      <w:r>
        <w:rPr>
          <w:rFonts w:ascii="Aptos" w:hAnsi="Aptos" w:eastAsia="Aptos"/>
          <w:b w:val="0"/>
          <w:i w:val="0"/>
          <w:color w:val="0A1628"/>
          <w:sz w:val="20"/>
        </w:rPr>
        <w:t>Deployment is blocked when any of the following is true:</w:t>
      </w:r>
    </w:p>
    <w:p>
      <w:pPr>
        <w:pStyle w:val="ListBullet"/>
        <w:ind w:left="0"/>
      </w:pPr>
      <w:r>
        <w:rPr>
          <w:rFonts w:ascii="Aptos" w:hAnsi="Aptos" w:eastAsia="Aptos"/>
          <w:b w:val="0"/>
          <w:i w:val="0"/>
          <w:color w:val="0A1628"/>
          <w:sz w:val="20"/>
        </w:rPr>
        <w:t>Critical RPC SQL definitions have not been exported and reviewed.</w:t>
      </w:r>
    </w:p>
    <w:p>
      <w:pPr>
        <w:pStyle w:val="ListBullet"/>
        <w:ind w:left="0"/>
      </w:pPr>
      <w:r>
        <w:rPr>
          <w:rFonts w:ascii="Aptos" w:hAnsi="Aptos" w:eastAsia="Aptos"/>
          <w:b w:val="0"/>
          <w:i w:val="0"/>
          <w:color w:val="0A1628"/>
          <w:sz w:val="20"/>
        </w:rPr>
        <w:t>Backend and workbook Financial V2 schema versions differ.</w:t>
      </w:r>
    </w:p>
    <w:p>
      <w:pPr>
        <w:pStyle w:val="ListBullet"/>
        <w:ind w:left="0"/>
      </w:pPr>
      <w:r>
        <w:rPr>
          <w:rFonts w:ascii="Aptos" w:hAnsi="Aptos" w:eastAsia="Aptos"/>
          <w:b w:val="0"/>
          <w:i w:val="0"/>
          <w:color w:val="0A1628"/>
          <w:sz w:val="20"/>
        </w:rPr>
        <w:t>Any canonical-lineage mismatch can reach certification.</w:t>
      </w:r>
    </w:p>
    <w:p>
      <w:pPr>
        <w:pStyle w:val="ListBullet"/>
        <w:ind w:left="0"/>
      </w:pPr>
      <w:r>
        <w:rPr>
          <w:rFonts w:ascii="Aptos" w:hAnsi="Aptos" w:eastAsia="Aptos"/>
          <w:b w:val="0"/>
          <w:i w:val="0"/>
          <w:color w:val="0A1628"/>
          <w:sz w:val="20"/>
        </w:rPr>
        <w:t>The browser can persist trusted financial outputs.</w:t>
      </w:r>
    </w:p>
    <w:p>
      <w:pPr>
        <w:pStyle w:val="ListBullet"/>
        <w:ind w:left="0"/>
      </w:pPr>
      <w:r>
        <w:rPr>
          <w:rFonts w:ascii="Aptos" w:hAnsi="Aptos" w:eastAsia="Aptos"/>
          <w:b w:val="0"/>
          <w:i w:val="0"/>
          <w:color w:val="0A1628"/>
          <w:sz w:val="20"/>
        </w:rPr>
        <w:t>Admin or Accounts pages can directly write protected security tables.</w:t>
      </w:r>
    </w:p>
    <w:p>
      <w:pPr>
        <w:pStyle w:val="ListBullet"/>
        <w:ind w:left="0"/>
      </w:pPr>
      <w:r>
        <w:rPr>
          <w:rFonts w:ascii="Aptos" w:hAnsi="Aptos" w:eastAsia="Aptos"/>
          <w:b w:val="0"/>
          <w:i w:val="0"/>
          <w:color w:val="0A1628"/>
          <w:sz w:val="20"/>
        </w:rPr>
        <w:t>Production bundle contains the UAT brand label or Mobile Sandbox label.</w:t>
      </w:r>
    </w:p>
    <w:p>
      <w:pPr>
        <w:pStyle w:val="ListBullet"/>
        <w:ind w:left="0"/>
      </w:pPr>
      <w:r>
        <w:rPr>
          <w:rFonts w:ascii="Aptos" w:hAnsi="Aptos" w:eastAsia="Aptos"/>
          <w:b w:val="0"/>
          <w:i w:val="0"/>
          <w:color w:val="0A1628"/>
          <w:sz w:val="20"/>
        </w:rPr>
        <w:t>Static leads, employees, or KPI values remain in active production pages.</w:t>
      </w:r>
    </w:p>
    <w:p>
      <w:pPr>
        <w:pStyle w:val="ListBullet"/>
        <w:ind w:left="0"/>
      </w:pPr>
      <w:r>
        <w:rPr>
          <w:rFonts w:ascii="Aptos" w:hAnsi="Aptos" w:eastAsia="Aptos"/>
          <w:b w:val="0"/>
          <w:i w:val="0"/>
          <w:color w:val="0A1628"/>
          <w:sz w:val="20"/>
        </w:rPr>
        <w:t>A non-direct Way can proceed without a managing branch, executing provider, or handover record.</w:t>
      </w:r>
    </w:p>
    <w:p>
      <w:pPr>
        <w:pStyle w:val="ListBullet"/>
        <w:ind w:left="0"/>
      </w:pPr>
      <w:r>
        <w:rPr>
          <w:rFonts w:ascii="Aptos" w:hAnsi="Aptos" w:eastAsia="Aptos"/>
          <w:b w:val="0"/>
          <w:i w:val="0"/>
          <w:color w:val="0A1628"/>
          <w:sz w:val="20"/>
        </w:rPr>
        <w:t>Partner settlement can be approved without tariff snapshot, POD eligibility, and COD reconciliation.</w:t>
      </w:r>
    </w:p>
    <w:p>
      <w:pPr>
        <w:pStyle w:val="ListBullet"/>
        <w:ind w:left="0"/>
      </w:pPr>
      <w:r>
        <w:rPr>
          <w:rFonts w:ascii="Aptos" w:hAnsi="Aptos" w:eastAsia="Aptos"/>
          <w:b w:val="0"/>
          <w:i w:val="0"/>
          <w:color w:val="0A1628"/>
          <w:sz w:val="20"/>
        </w:rPr>
        <w:t>The same partner service charge can be paid by both branch and headquarters.</w:t>
      </w:r>
    </w:p>
    <w:p>
      <w:pPr>
        <w:pStyle w:val="ListBullet"/>
        <w:ind w:left="0"/>
      </w:pPr>
      <w:r>
        <w:rPr>
          <w:rFonts w:ascii="Aptos" w:hAnsi="Aptos" w:eastAsia="Aptos"/>
          <w:b w:val="0"/>
          <w:i w:val="0"/>
          <w:color w:val="0A1628"/>
          <w:sz w:val="20"/>
        </w:rPr>
        <w:t>Gross COD and partner service fees are stored only as one net value.</w:t>
      </w:r>
    </w:p>
    <w:p>
      <w:pPr>
        <w:pStyle w:val="ListBullet"/>
        <w:ind w:left="0"/>
      </w:pPr>
      <w:r>
        <w:rPr>
          <w:rFonts w:ascii="Aptos" w:hAnsi="Aptos" w:eastAsia="Aptos"/>
          <w:b w:val="0"/>
          <w:i w:val="0"/>
          <w:color w:val="0A1628"/>
          <w:sz w:val="20"/>
        </w:rPr>
        <w:t>A Highway Station Drop-Off Way can be saved with a free-text, unknown, inactive, or non-effective station rate.</w:t>
      </w:r>
    </w:p>
    <w:p>
      <w:pPr>
        <w:pStyle w:val="Heading2"/>
        <w:keepNext/>
      </w:pPr>
      <w:r>
        <w:rPr>
          <w:rFonts w:ascii="Aptos" w:hAnsi="Aptos" w:eastAsia="Aptos"/>
          <w:b w:val="0"/>
          <w:i w:val="0"/>
          <w:color w:val="0A1628"/>
          <w:sz w:val="20"/>
        </w:rPr>
        <w:t>23. Rollback</w:t>
      </w:r>
    </w:p>
    <w:p>
      <w:pPr>
        <w:pStyle w:val="ListBullet"/>
        <w:ind w:left="0"/>
      </w:pPr>
      <w:r>
        <w:rPr>
          <w:rFonts w:ascii="Aptos" w:hAnsi="Aptos" w:eastAsia="Aptos"/>
          <w:b w:val="0"/>
          <w:i w:val="0"/>
          <w:color w:val="0A1628"/>
          <w:sz w:val="20"/>
        </w:rPr>
        <w:t>Keep pre-migration RPC definitions in versioned migration files.</w:t>
      </w:r>
    </w:p>
    <w:p>
      <w:pPr>
        <w:pStyle w:val="ListBullet"/>
        <w:ind w:left="0"/>
      </w:pPr>
      <w:r>
        <w:rPr>
          <w:rFonts w:ascii="Aptos" w:hAnsi="Aptos" w:eastAsia="Aptos"/>
          <w:b w:val="0"/>
          <w:i w:val="0"/>
          <w:color w:val="0A1628"/>
          <w:sz w:val="20"/>
        </w:rPr>
        <w:t>Use compatibility views and wrappers rather than destructive column removal during first release.</w:t>
      </w:r>
    </w:p>
    <w:p>
      <w:pPr>
        <w:pStyle w:val="ListBullet"/>
        <w:ind w:left="0"/>
      </w:pPr>
      <w:r>
        <w:rPr>
          <w:rFonts w:ascii="Aptos" w:hAnsi="Aptos" w:eastAsia="Aptos"/>
          <w:b w:val="0"/>
          <w:i w:val="0"/>
          <w:color w:val="0A1628"/>
          <w:sz w:val="20"/>
        </w:rPr>
        <w:t>Feature-flag the Financial V2 page and new dashboards.</w:t>
      </w:r>
    </w:p>
    <w:p>
      <w:pPr>
        <w:pStyle w:val="ListBullet"/>
        <w:ind w:left="0"/>
      </w:pPr>
      <w:r>
        <w:rPr>
          <w:rFonts w:ascii="Aptos" w:hAnsi="Aptos" w:eastAsia="Aptos"/>
          <w:b w:val="0"/>
          <w:i w:val="0"/>
          <w:color w:val="0A1628"/>
          <w:sz w:val="20"/>
        </w:rPr>
        <w:t>Do not roll back canonical repaired data by restoring arbitrary pickup aggregates.</w:t>
      </w:r>
    </w:p>
    <w:p>
      <w:pPr>
        <w:pStyle w:val="ListBullet"/>
        <w:ind w:left="0"/>
      </w:pPr>
      <w:r>
        <w:rPr>
          <w:rFonts w:ascii="Aptos" w:hAnsi="Aptos" w:eastAsia="Aptos"/>
          <w:b w:val="0"/>
          <w:i w:val="0"/>
          <w:color w:val="0A1628"/>
          <w:sz w:val="20"/>
        </w:rPr>
        <w:t>Reverse security changes only through reviewed migrations; never re-enable unrestricted direct client writes as a temporary fix.</w:t>
      </w:r>
    </w:p>
    <w:p>
      <w:pPr>
        <w:pStyle w:val="ListBullet"/>
        <w:ind w:left="0"/>
      </w:pPr>
      <w:r>
        <w:rPr>
          <w:rFonts w:ascii="Aptos" w:hAnsi="Aptos" w:eastAsia="Aptos"/>
          <w:b w:val="0"/>
          <w:i w:val="0"/>
          <w:color w:val="0A1628"/>
          <w:sz w:val="20"/>
        </w:rPr>
        <w:t>Preserve partner tracking events, manifest acknowledgements, POD, COD custody, and settlement audit records during rollback.</w:t>
      </w:r>
    </w:p>
    <w:p>
      <w:pPr>
        <w:pStyle w:val="ListBullet"/>
        <w:ind w:left="0"/>
      </w:pPr>
      <w:r>
        <w:rPr>
          <w:rFonts w:ascii="Aptos" w:hAnsi="Aptos" w:eastAsia="Aptos"/>
          <w:b w:val="0"/>
          <w:i w:val="0"/>
          <w:color w:val="0A1628"/>
          <w:sz w:val="20"/>
        </w:rPr>
        <w:t>Disable new routing rules through effective dates or feature flags rather than deleting historical provider assignments.</w:t>
      </w:r>
    </w:p>
    <w:p>
      <w:pPr>
        <w:pStyle w:val="Heading2"/>
        <w:keepNext/>
      </w:pPr>
      <w:r>
        <w:rPr>
          <w:rFonts w:ascii="Aptos" w:hAnsi="Aptos" w:eastAsia="Aptos"/>
          <w:b w:val="0"/>
          <w:i w:val="0"/>
          <w:color w:val="0A1628"/>
          <w:sz w:val="20"/>
        </w:rPr>
        <w:t>24. Required Inputs Before an Exact Production Patch</w:t>
      </w:r>
    </w:p>
    <w:p>
      <w:r>
        <w:rPr>
          <w:rFonts w:ascii="Aptos" w:hAnsi="Aptos" w:eastAsia="Aptos"/>
          <w:b w:val="0"/>
          <w:i w:val="0"/>
          <w:color w:val="0A1628"/>
          <w:sz w:val="20"/>
        </w:rPr>
        <w:t>The supplied archive is sufficient for this implementation specification but not for a safe exact patch. The following definitions/files are called or imported but not included:</w:t>
      </w:r>
    </w:p>
    <w:p>
      <w:pPr>
        <w:pStyle w:val="ListBullet"/>
        <w:ind w:left="0"/>
      </w:pPr>
      <w:r>
        <w:rPr>
          <w:rFonts w:ascii="Aptos" w:hAnsi="Aptos" w:eastAsia="Aptos"/>
          <w:b w:val="0"/>
          <w:i w:val="0"/>
          <w:color w:val="0A1628"/>
          <w:sz w:val="20"/>
        </w:rPr>
        <w:t xml:space="preserve">SQL bodies for </w:t>
      </w:r>
      <w:r>
        <w:rPr>
          <w:rFonts w:ascii="Consolas" w:hAnsi="Consolas" w:eastAsia="Consolas"/>
          <w:b w:val="0"/>
          <w:i w:val="0"/>
          <w:color w:val="0A1628"/>
          <w:sz w:val="17"/>
          <w:shd w:fill="EEF2F6"/>
        </w:rPr>
        <w:t>be_final_sync_snapshot_v50</w:t>
      </w:r>
      <w:r>
        <w:rPr>
          <w:rFonts w:ascii="Aptos" w:hAnsi="Aptos" w:eastAsia="Aptos"/>
          <w:b w:val="0"/>
          <w:i w:val="0"/>
          <w:color w:val="0A1628"/>
          <w:sz w:val="20"/>
        </w:rPr>
        <w:t xml:space="preserve">, </w:t>
      </w:r>
      <w:r>
        <w:rPr>
          <w:rFonts w:ascii="Consolas" w:hAnsi="Consolas" w:eastAsia="Consolas"/>
          <w:b w:val="0"/>
          <w:i w:val="0"/>
          <w:color w:val="0A1628"/>
          <w:sz w:val="17"/>
          <w:shd w:fill="EEF2F6"/>
        </w:rPr>
        <w:t>be_final_sync_refresh_v50</w:t>
      </w:r>
      <w:r>
        <w:rPr>
          <w:rFonts w:ascii="Aptos" w:hAnsi="Aptos" w:eastAsia="Aptos"/>
          <w:b w:val="0"/>
          <w:i w:val="0"/>
          <w:color w:val="0A1628"/>
          <w:sz w:val="20"/>
        </w:rPr>
        <w:t xml:space="preserve">, and </w:t>
      </w:r>
      <w:r>
        <w:rPr>
          <w:rFonts w:ascii="Consolas" w:hAnsi="Consolas" w:eastAsia="Consolas"/>
          <w:b w:val="0"/>
          <w:i w:val="0"/>
          <w:color w:val="0A1628"/>
          <w:sz w:val="17"/>
          <w:shd w:fill="EEF2F6"/>
        </w:rPr>
        <w:t>be_final_sync_certify_v50</w:t>
      </w:r>
      <w:r>
        <w:rPr>
          <w:rFonts w:ascii="Aptos" w:hAnsi="Aptos" w:eastAsia="Aptos"/>
          <w:b w:val="0"/>
          <w:i w:val="0"/>
          <w:color w:val="0A1628"/>
          <w:sz w:val="20"/>
        </w:rPr>
        <w:t>.</w:t>
      </w:r>
    </w:p>
    <w:p>
      <w:pPr>
        <w:pStyle w:val="ListBullet"/>
        <w:ind w:left="0"/>
      </w:pPr>
      <w:r>
        <w:rPr>
          <w:rFonts w:ascii="Aptos" w:hAnsi="Aptos" w:eastAsia="Aptos"/>
          <w:b w:val="0"/>
          <w:i w:val="0"/>
          <w:color w:val="0A1628"/>
          <w:sz w:val="20"/>
        </w:rPr>
        <w:t xml:space="preserve">SQL bodies for the Data Entry calculate/save/waybill RPCs used by </w:t>
      </w:r>
      <w:r>
        <w:rPr>
          <w:rFonts w:ascii="Consolas" w:hAnsi="Consolas" w:eastAsia="Consolas"/>
          <w:b w:val="0"/>
          <w:i w:val="0"/>
          <w:color w:val="0A1628"/>
          <w:sz w:val="17"/>
          <w:shd w:fill="EEF2F6"/>
        </w:rPr>
        <w:t>DataEntryPage.tsx</w:t>
      </w:r>
      <w:r>
        <w:rPr>
          <w:rFonts w:ascii="Aptos" w:hAnsi="Aptos" w:eastAsia="Aptos"/>
          <w:b w:val="0"/>
          <w:i w:val="0"/>
          <w:color w:val="0A1628"/>
          <w:sz w:val="20"/>
        </w:rPr>
        <w:t>.</w:t>
      </w:r>
    </w:p>
    <w:p>
      <w:pPr>
        <w:pStyle w:val="ListBullet"/>
        <w:ind w:left="0"/>
      </w:pPr>
      <w:r>
        <w:rPr>
          <w:rFonts w:ascii="Aptos" w:hAnsi="Aptos" w:eastAsia="Aptos"/>
          <w:b w:val="0"/>
          <w:i w:val="0"/>
          <w:color w:val="0A1628"/>
          <w:sz w:val="20"/>
        </w:rPr>
        <w:t xml:space="preserve">SQL bodies for Business Development and </w:t>
      </w:r>
      <w:r>
        <w:rPr>
          <w:rFonts w:ascii="Consolas" w:hAnsi="Consolas" w:eastAsia="Consolas"/>
          <w:b w:val="0"/>
          <w:i w:val="0"/>
          <w:color w:val="0A1628"/>
          <w:sz w:val="17"/>
          <w:shd w:fill="EEF2F6"/>
        </w:rPr>
        <w:t>be_admin_hr_snapshot</w:t>
      </w:r>
      <w:r>
        <w:rPr>
          <w:rFonts w:ascii="Aptos" w:hAnsi="Aptos" w:eastAsia="Aptos"/>
          <w:b w:val="0"/>
          <w:i w:val="0"/>
          <w:color w:val="0A1628"/>
          <w:sz w:val="20"/>
        </w:rPr>
        <w:t xml:space="preserve"> RPCs.</w:t>
      </w:r>
    </w:p>
    <w:p>
      <w:pPr>
        <w:pStyle w:val="ListBullet"/>
        <w:ind w:left="0"/>
      </w:pPr>
      <w:r>
        <w:rPr>
          <w:rFonts w:ascii="Consolas" w:hAnsi="Consolas" w:eastAsia="Consolas"/>
          <w:b w:val="0"/>
          <w:i w:val="0"/>
          <w:color w:val="0A1628"/>
          <w:sz w:val="17"/>
          <w:shd w:fill="EEF2F6"/>
        </w:rPr>
        <w:t>EnvironmentBadge.tsx</w:t>
      </w:r>
      <w:r>
        <w:rPr>
          <w:rFonts w:ascii="Aptos" w:hAnsi="Aptos" w:eastAsia="Aptos"/>
          <w:b w:val="0"/>
          <w:i w:val="0"/>
          <w:color w:val="0A1628"/>
          <w:sz w:val="20"/>
        </w:rPr>
        <w:t>.</w:t>
      </w:r>
    </w:p>
    <w:p>
      <w:pPr>
        <w:pStyle w:val="ListBullet"/>
        <w:ind w:left="0"/>
      </w:pPr>
      <w:r>
        <w:rPr>
          <w:rFonts w:ascii="Aptos" w:hAnsi="Aptos" w:eastAsia="Aptos"/>
          <w:b w:val="0"/>
          <w:i w:val="0"/>
          <w:color w:val="0A1628"/>
          <w:sz w:val="20"/>
        </w:rPr>
        <w:t>UAT page source files.</w:t>
      </w:r>
    </w:p>
    <w:p>
      <w:pPr>
        <w:pStyle w:val="ListBullet"/>
        <w:ind w:left="0"/>
      </w:pPr>
      <w:r>
        <w:rPr>
          <w:rFonts w:ascii="Aptos" w:hAnsi="Aptos" w:eastAsia="Aptos"/>
          <w:b w:val="0"/>
          <w:i w:val="0"/>
          <w:color w:val="0A1628"/>
          <w:sz w:val="20"/>
        </w:rPr>
        <w:t>The authoritative workbook referred to as the 50-column Financial V2 contract.</w:t>
      </w:r>
    </w:p>
    <w:p>
      <w:pPr>
        <w:pStyle w:val="ListBullet"/>
        <w:ind w:left="0"/>
      </w:pPr>
      <w:r>
        <w:rPr>
          <w:rFonts w:ascii="Aptos" w:hAnsi="Aptos" w:eastAsia="Aptos"/>
          <w:b w:val="0"/>
          <w:i w:val="0"/>
          <w:color w:val="0A1628"/>
          <w:sz w:val="20"/>
        </w:rPr>
        <w:t>The complete generated Supabase TypeScript types file.</w:t>
      </w:r>
    </w:p>
    <w:p>
      <w:pPr>
        <w:pStyle w:val="ListBullet"/>
        <w:ind w:left="0"/>
      </w:pPr>
      <w:r>
        <w:rPr>
          <w:rFonts w:ascii="Aptos" w:hAnsi="Aptos" w:eastAsia="Aptos"/>
          <w:b w:val="0"/>
          <w:i w:val="0"/>
          <w:color w:val="0A1628"/>
          <w:sz w:val="20"/>
        </w:rPr>
        <w:t>Signed or approved rate cards and settlement methods for Royal Express, DK Delivery, Arlu Post, Ninja Van, and Safe Delivery Services.</w:t>
      </w:r>
    </w:p>
    <w:p>
      <w:pPr>
        <w:pStyle w:val="ListBullet"/>
        <w:ind w:left="0"/>
      </w:pPr>
      <w:r>
        <w:rPr>
          <w:rFonts w:ascii="Aptos" w:hAnsi="Aptos" w:eastAsia="Aptos"/>
          <w:b w:val="0"/>
          <w:i w:val="0"/>
          <w:color w:val="0A1628"/>
          <w:sz w:val="20"/>
        </w:rPr>
        <w:t>Confirmed direct-reach, branch-reach, and partner-reach classifications for every township in the attached list.</w:t>
      </w:r>
    </w:p>
    <w:p>
      <w:pPr>
        <w:pStyle w:val="ListBullet"/>
        <w:ind w:left="0"/>
      </w:pPr>
      <w:r>
        <w:rPr>
          <w:rFonts w:ascii="Aptos" w:hAnsi="Aptos" w:eastAsia="Aptos"/>
          <w:b w:val="0"/>
          <w:i w:val="0"/>
          <w:color w:val="0A1628"/>
          <w:sz w:val="20"/>
        </w:rPr>
        <w:t>Provider API/webhook specifications, CSV formats, status codes, and POD formats where integrations exist.</w:t>
      </w:r>
    </w:p>
    <w:p>
      <w:pPr>
        <w:pStyle w:val="ListBullet"/>
        <w:ind w:left="0"/>
      </w:pPr>
      <w:r>
        <w:rPr>
          <w:rFonts w:ascii="Aptos" w:hAnsi="Aptos" w:eastAsia="Aptos"/>
          <w:b w:val="0"/>
          <w:i w:val="0"/>
          <w:color w:val="0A1628"/>
          <w:sz w:val="20"/>
        </w:rPr>
        <w:t>Branch COD handover, cash-expense, and partner-payment ownership policies for Mandalay and Nay Pyi Taw.</w:t>
      </w:r>
    </w:p>
    <w:p>
      <w:pPr>
        <w:pStyle w:val="ListBullet"/>
        <w:ind w:left="0"/>
      </w:pPr>
      <w:r>
        <w:rPr>
          <w:rFonts w:ascii="Aptos" w:hAnsi="Aptos" w:eastAsia="Aptos"/>
          <w:b w:val="0"/>
          <w:i w:val="0"/>
          <w:color w:val="0A1628"/>
          <w:sz w:val="20"/>
        </w:rPr>
        <w:t>SLA, redelivery, return, loss/damage, tax, and dispute terms for every provider contract.</w:t>
      </w:r>
    </w:p>
    <w:p>
      <w:r>
        <w:rPr>
          <w:rFonts w:ascii="Aptos" w:hAnsi="Aptos" w:eastAsia="Aptos"/>
          <w:b w:val="0"/>
          <w:i w:val="0"/>
          <w:color w:val="0A1628"/>
          <w:sz w:val="20"/>
        </w:rPr>
        <w:t>Before code patching, export these definitions from the active production database/repository and compare their signatures with the frontend callers.</w:t>
      </w:r>
    </w:p>
    <w:p>
      <w:pPr>
        <w:pStyle w:val="Heading2"/>
        <w:keepNext/>
      </w:pPr>
      <w:r>
        <w:rPr>
          <w:rFonts w:ascii="Aptos" w:hAnsi="Aptos" w:eastAsia="Aptos"/>
          <w:b w:val="0"/>
          <w:i w:val="0"/>
          <w:color w:val="0A1628"/>
          <w:sz w:val="20"/>
        </w:rPr>
        <w:t>25. Definition of Done</w:t>
      </w:r>
    </w:p>
    <w:p>
      <w:r>
        <w:rPr>
          <w:rFonts w:ascii="Aptos" w:hAnsi="Aptos" w:eastAsia="Aptos"/>
          <w:b w:val="0"/>
          <w:i w:val="0"/>
          <w:color w:val="0A1628"/>
          <w:sz w:val="20"/>
        </w:rPr>
        <w:t>The integrated program is complete only when all of the following are true:</w:t>
      </w:r>
    </w:p>
    <w:p>
      <w:pPr>
        <w:pStyle w:val="ListNumber"/>
        <w:ind w:left="0"/>
      </w:pPr>
      <w:r>
        <w:rPr>
          <w:rFonts w:ascii="Aptos" w:hAnsi="Aptos" w:eastAsia="Aptos"/>
          <w:b w:val="0"/>
          <w:i w:val="0"/>
          <w:color w:val="0A1628"/>
          <w:sz w:val="20"/>
        </w:rPr>
        <w:t>Customer collection, Britium tariff, merchant settlement, branch share, provider cost, COD custody, employee commission, and company margin are separate and reconciled.</w:t>
      </w:r>
    </w:p>
    <w:p>
      <w:pPr>
        <w:pStyle w:val="ListNumber"/>
        <w:ind w:left="0"/>
      </w:pPr>
      <w:r>
        <w:rPr>
          <w:rFonts w:ascii="Aptos" w:hAnsi="Aptos" w:eastAsia="Aptos"/>
          <w:b w:val="0"/>
          <w:i w:val="0"/>
          <w:color w:val="0A1628"/>
          <w:sz w:val="20"/>
        </w:rPr>
        <w:t>The backend recalculates and snapshots every financial result.</w:t>
      </w:r>
    </w:p>
    <w:p>
      <w:pPr>
        <w:pStyle w:val="ListNumber"/>
        <w:ind w:left="0"/>
      </w:pPr>
      <w:r>
        <w:rPr>
          <w:rFonts w:ascii="Aptos" w:hAnsi="Aptos" w:eastAsia="Aptos"/>
          <w:b w:val="0"/>
          <w:i w:val="0"/>
          <w:color w:val="0A1628"/>
          <w:sz w:val="20"/>
        </w:rPr>
        <w:t>Financial V2 Data Entry, import, waybill, settlement, and adjustment workflows share one versioned contract.</w:t>
      </w:r>
    </w:p>
    <w:p>
      <w:pPr>
        <w:pStyle w:val="ListNumber"/>
        <w:ind w:left="0"/>
      </w:pPr>
      <w:r>
        <w:rPr>
          <w:rFonts w:ascii="Aptos" w:hAnsi="Aptos" w:eastAsia="Aptos"/>
          <w:b w:val="0"/>
          <w:i w:val="0"/>
          <w:color w:val="0A1628"/>
          <w:sz w:val="20"/>
        </w:rPr>
        <w:t>Merchant-declared delivery excess/shortfall is handled only through merchant settlement.</w:t>
      </w:r>
    </w:p>
    <w:p>
      <w:pPr>
        <w:pStyle w:val="ListNumber"/>
        <w:ind w:left="0"/>
      </w:pPr>
      <w:r>
        <w:rPr>
          <w:rFonts w:ascii="Aptos" w:hAnsi="Aptos" w:eastAsia="Aptos"/>
          <w:b w:val="0"/>
          <w:i w:val="0"/>
          <w:color w:val="0A1628"/>
          <w:sz w:val="20"/>
        </w:rPr>
        <w:t>Naypyitaw's active branch rule is versioned, approved, and batch-settled.</w:t>
      </w:r>
    </w:p>
    <w:p>
      <w:pPr>
        <w:pStyle w:val="ListNumber"/>
        <w:ind w:left="0"/>
      </w:pPr>
      <w:r>
        <w:rPr>
          <w:rFonts w:ascii="Aptos" w:hAnsi="Aptos" w:eastAsia="Aptos"/>
          <w:b w:val="0"/>
          <w:i w:val="0"/>
          <w:color w:val="0A1628"/>
          <w:sz w:val="20"/>
        </w:rPr>
        <w:t>Highway Station Drop-Off parcels use the approved station matrix (4,000 MMK for Downtown, Bayintnaung, and Dagon Thiri; 3,000 MMK for Aung Mingalar and Parami) plus the standard Britium surcharges.</w:t>
      </w:r>
    </w:p>
    <w:p>
      <w:pPr>
        <w:pStyle w:val="ListNumber"/>
        <w:ind w:left="0"/>
      </w:pPr>
      <w:r>
        <w:rPr>
          <w:rFonts w:ascii="Aptos" w:hAnsi="Aptos" w:eastAsia="Aptos"/>
          <w:b w:val="0"/>
          <w:i w:val="0"/>
          <w:color w:val="0A1628"/>
          <w:sz w:val="20"/>
        </w:rPr>
        <w:t>Mandalay parcels use the Britium 6,000 MMK customer tariff plus approved Britium surcharges, while highway and DK costs are recorded separately.</w:t>
      </w:r>
    </w:p>
    <w:p>
      <w:pPr>
        <w:pStyle w:val="ListNumber"/>
        <w:ind w:left="0"/>
      </w:pPr>
      <w:r>
        <w:rPr>
          <w:rFonts w:ascii="Aptos" w:hAnsi="Aptos" w:eastAsia="Aptos"/>
          <w:b w:val="0"/>
          <w:i w:val="0"/>
          <w:color w:val="0A1628"/>
          <w:sz w:val="20"/>
        </w:rPr>
        <w:t>Royal Express customer rates, discounted partner rates, COD fees, and monthly rebates are separate components and are not double-counted.</w:t>
      </w:r>
    </w:p>
    <w:p>
      <w:pPr>
        <w:pStyle w:val="ListNumber"/>
        <w:ind w:left="0"/>
      </w:pPr>
      <w:r>
        <w:rPr>
          <w:rFonts w:ascii="Aptos" w:hAnsi="Aptos" w:eastAsia="Aptos"/>
          <w:b w:val="0"/>
          <w:i w:val="0"/>
          <w:color w:val="0A1628"/>
          <w:sz w:val="20"/>
        </w:rPr>
        <w:t>Missing or ambiguous provider rates block partner settlement.</w:t>
      </w:r>
    </w:p>
    <w:p>
      <w:pPr>
        <w:pStyle w:val="ListNumber"/>
        <w:ind w:left="0"/>
      </w:pPr>
      <w:r>
        <w:rPr>
          <w:rFonts w:ascii="Aptos" w:hAnsi="Aptos" w:eastAsia="Aptos"/>
          <w:b w:val="0"/>
          <w:i w:val="0"/>
          <w:color w:val="0A1628"/>
          <w:sz w:val="20"/>
        </w:rPr>
        <w:t>COD custody and remittance reconcile at Way, manifest, batch, and accounting levels.</w:t>
      </w:r>
    </w:p>
    <w:p>
      <w:pPr>
        <w:pStyle w:val="ListNumber"/>
        <w:ind w:left="0"/>
      </w:pPr>
      <w:r>
        <w:rPr>
          <w:rFonts w:ascii="Aptos" w:hAnsi="Aptos" w:eastAsia="Aptos"/>
          <w:b w:val="0"/>
          <w:i w:val="0"/>
          <w:color w:val="0A1628"/>
          <w:sz w:val="20"/>
        </w:rPr>
        <w:t>Referral commission is generated once per eligible completed Way only while both employment and referral assignment are effective.</w:t>
      </w:r>
    </w:p>
    <w:p>
      <w:pPr>
        <w:pStyle w:val="ListNumber"/>
        <w:ind w:left="0"/>
      </w:pPr>
      <w:r>
        <w:rPr>
          <w:rFonts w:ascii="Aptos" w:hAnsi="Aptos" w:eastAsia="Aptos"/>
          <w:b w:val="0"/>
          <w:i w:val="0"/>
          <w:color w:val="0A1628"/>
          <w:sz w:val="20"/>
        </w:rPr>
        <w:t>Canonical Way/Pickup/merchant lineage is enforced server-side.</w:t>
      </w:r>
    </w:p>
    <w:p>
      <w:pPr>
        <w:pStyle w:val="ListNumber"/>
        <w:ind w:left="0"/>
      </w:pPr>
      <w:r>
        <w:rPr>
          <w:rFonts w:ascii="Aptos" w:hAnsi="Aptos" w:eastAsia="Aptos"/>
          <w:b w:val="0"/>
          <w:i w:val="0"/>
          <w:color w:val="0A1628"/>
          <w:sz w:val="20"/>
        </w:rPr>
        <w:t>Business Development, Marketing, Mobile Operations, Admin/HR, and Accounts use live secured data and real mutations.</w:t>
      </w:r>
    </w:p>
    <w:p>
      <w:pPr>
        <w:pStyle w:val="ListNumber"/>
        <w:ind w:left="0"/>
      </w:pPr>
      <w:r>
        <w:rPr>
          <w:rFonts w:ascii="Aptos" w:hAnsi="Aptos" w:eastAsia="Aptos"/>
          <w:b w:val="0"/>
          <w:i w:val="0"/>
          <w:color w:val="0A1628"/>
          <w:sz w:val="20"/>
        </w:rPr>
        <w:t>Production contains no UAT-only route, sandbox label, hardcoded operational data, or browser-selectable privilege mode.</w:t>
      </w:r>
    </w:p>
    <w:p>
      <w:pPr>
        <w:pStyle w:val="ListNumber"/>
        <w:ind w:left="0"/>
      </w:pPr>
      <w:r>
        <w:rPr>
          <w:rFonts w:ascii="Aptos" w:hAnsi="Aptos" w:eastAsia="Aptos"/>
          <w:b w:val="0"/>
          <w:i w:val="0"/>
          <w:color w:val="0A1628"/>
          <w:sz w:val="20"/>
        </w:rPr>
        <w:t>All workflows pass database, API, UI, security, reconciliation, migration, rollback, and production smoke tests.</w:t>
      </w:r>
    </w:p>
    <w:p>
      <w:pPr>
        <w:pBdr>
          <w:bottom w:val="single" w:sz="5" w:space="3" w:color="B8C4D1"/>
        </w:pBdr>
        <w:spacing w:after="100"/>
      </w:pPr>
    </w:p>
    <w:p>
      <w:pPr>
        <w:pStyle w:val="Heading1"/>
        <w:pBdr>
          <w:bottom w:val="single" w:sz="12" w:space="3" w:color="C09B30"/>
        </w:pBdr>
        <w:keepNext/>
      </w:pPr>
      <w:r>
        <w:rPr>
          <w:rFonts w:ascii="Aptos" w:hAnsi="Aptos" w:eastAsia="Aptos"/>
          <w:b w:val="0"/>
          <w:i w:val="0"/>
          <w:color w:val="0A1628"/>
          <w:sz w:val="20"/>
        </w:rPr>
        <w:t>Part III - Open Business Decisions and Activation Checklist</w:t>
      </w:r>
    </w:p>
    <w:p>
      <w:pPr>
        <w:pStyle w:val="Heading2"/>
        <w:keepNext/>
      </w:pPr>
      <w:r>
        <w:rPr>
          <w:rFonts w:ascii="Aptos" w:hAnsi="Aptos" w:eastAsia="Aptos"/>
          <w:b w:val="0"/>
          <w:i w:val="0"/>
          <w:color w:val="0A1628"/>
          <w:sz w:val="20"/>
        </w:rPr>
        <w:t>26. Mandatory Confirmations Before Production Activation</w:t>
      </w:r>
    </w:p>
    <w:tbl>
      <w:tblPr>
        <w:tblW w:type="pct" w:w="5000"/>
        <w:jc w:val="center"/>
        <w:tblLayout w:type="autofit"/>
        <w:tblLook w:firstColumn="1" w:firstRow="1" w:lastColumn="0" w:lastRow="0" w:noHBand="0" w:noVBand="1" w:val="04A0"/>
        <w:tblBorders>
          <w:top w:val="single" w:sz="4" w:color="B8C4D1"/>
          <w:start w:val="single" w:sz="4" w:color="B8C4D1"/>
          <w:bottom w:val="single" w:sz="4" w:color="B8C4D1"/>
          <w:end w:val="single" w:sz="4" w:color="B8C4D1"/>
          <w:insideH w:val="single" w:sz="4" w:color="B8C4D1"/>
          <w:insideV w:val="single" w:sz="4" w:color="B8C4D1"/>
        </w:tblBorders>
      </w:tblPr>
      <w:tblGrid>
        <w:gridCol w:w="3456"/>
        <w:gridCol w:w="3456"/>
        <w:gridCol w:w="3456"/>
      </w:tblGrid>
      <w:tr>
        <w:trPr>
          <w:tblHeader w:val="true"/>
          <w:cantSplit/>
        </w:trPr>
        <w:tc>
          <w:tcPr>
            <w:tcW w:type="dxa" w:w="3456"/>
            <w:vAlign w:val="center"/>
            <w:tcMar>
              <w:top w:w="75" w:type="dxa"/>
              <w:start w:w="80" w:type="dxa"/>
              <w:bottom w:w="75" w:type="dxa"/>
              <w:end w:w="80" w:type="dxa"/>
            </w:tcMar>
            <w:shd w:fill="17365D"/>
          </w:tcPr>
          <w:p>
            <w:pPr>
              <w:spacing w:after="0" w:line="240" w:lineRule="auto"/>
            </w:pPr>
            <w:r>
              <w:rPr>
                <w:b/>
                <w:color w:val="FFFFFF"/>
                <w:sz w:val="17"/>
              </w:rPr>
            </w:r>
            <w:r>
              <w:rPr>
                <w:rFonts w:ascii="Aptos" w:hAnsi="Aptos" w:eastAsia="Aptos"/>
                <w:b/>
                <w:i w:val="0"/>
                <w:color w:val="FFFFFF"/>
                <w:sz w:val="17"/>
              </w:rPr>
              <w:t>Decision</w:t>
            </w:r>
          </w:p>
        </w:tc>
        <w:tc>
          <w:tcPr>
            <w:tcW w:type="dxa" w:w="3456"/>
            <w:vAlign w:val="center"/>
            <w:tcMar>
              <w:top w:w="75" w:type="dxa"/>
              <w:start w:w="80" w:type="dxa"/>
              <w:bottom w:w="75" w:type="dxa"/>
              <w:end w:w="80" w:type="dxa"/>
            </w:tcMar>
            <w:shd w:fill="17365D"/>
          </w:tcPr>
          <w:p>
            <w:pPr>
              <w:spacing w:after="0" w:line="240" w:lineRule="auto"/>
            </w:pPr>
            <w:r>
              <w:rPr>
                <w:b/>
                <w:color w:val="FFFFFF"/>
                <w:sz w:val="17"/>
              </w:rPr>
            </w:r>
            <w:r>
              <w:rPr>
                <w:rFonts w:ascii="Aptos" w:hAnsi="Aptos" w:eastAsia="Aptos"/>
                <w:b/>
                <w:i w:val="0"/>
                <w:color w:val="FFFFFF"/>
                <w:sz w:val="17"/>
              </w:rPr>
              <w:t>Current status</w:t>
            </w:r>
          </w:p>
        </w:tc>
        <w:tc>
          <w:tcPr>
            <w:tcW w:type="dxa" w:w="3456"/>
            <w:vAlign w:val="center"/>
            <w:tcMar>
              <w:top w:w="75" w:type="dxa"/>
              <w:start w:w="80" w:type="dxa"/>
              <w:bottom w:w="75" w:type="dxa"/>
              <w:end w:w="80" w:type="dxa"/>
            </w:tcMar>
            <w:shd w:fill="17365D"/>
          </w:tcPr>
          <w:p>
            <w:pPr>
              <w:spacing w:after="0" w:line="240" w:lineRule="auto"/>
            </w:pPr>
            <w:r>
              <w:rPr>
                <w:b/>
                <w:color w:val="FFFFFF"/>
                <w:sz w:val="17"/>
              </w:rPr>
            </w:r>
            <w:r>
              <w:rPr>
                <w:rFonts w:ascii="Aptos" w:hAnsi="Aptos" w:eastAsia="Aptos"/>
                <w:b/>
                <w:i w:val="0"/>
                <w:color w:val="FFFFFF"/>
                <w:sz w:val="17"/>
              </w:rPr>
              <w:t>Blocking effect</w:t>
            </w:r>
          </w:p>
        </w:tc>
      </w:tr>
      <w:tr>
        <w:trPr>
          <w:cantSplit/>
        </w:trPr>
        <w:tc>
          <w:tcPr>
            <w:tcW w:type="dxa" w:w="3456"/>
            <w:vAlign w:val="center"/>
            <w:tcMar>
              <w:top w:w="75" w:type="dxa"/>
              <w:start w:w="80" w:type="dxa"/>
              <w:bottom w:w="75" w:type="dxa"/>
              <w:end w:w="80" w:type="dxa"/>
            </w:tcMar>
          </w:tcPr>
          <w:p>
            <w:pPr>
              <w:spacing w:after="0" w:line="240" w:lineRule="auto"/>
            </w:pPr>
            <w:r>
              <w:rPr>
                <w:color w:val="0A1628"/>
                <w:sz w:val="17"/>
              </w:rPr>
            </w:r>
            <w:r>
              <w:rPr>
                <w:rFonts w:ascii="Aptos" w:hAnsi="Aptos" w:eastAsia="Aptos"/>
                <w:b w:val="0"/>
                <w:i w:val="0"/>
                <w:color w:val="0A1628"/>
                <w:sz w:val="17"/>
              </w:rPr>
              <w:t>Authoritative Financial V2 field count and schema version (47 vs 50 observed)</w:t>
            </w:r>
          </w:p>
        </w:tc>
        <w:tc>
          <w:tcPr>
            <w:tcW w:type="dxa" w:w="3456"/>
            <w:vAlign w:val="center"/>
            <w:tcMar>
              <w:top w:w="75" w:type="dxa"/>
              <w:start w:w="80" w:type="dxa"/>
              <w:bottom w:w="75" w:type="dxa"/>
              <w:end w:w="80" w:type="dxa"/>
            </w:tcMar>
          </w:tcPr>
          <w:p>
            <w:pPr>
              <w:spacing w:after="0" w:line="240" w:lineRule="auto"/>
            </w:pPr>
            <w:r>
              <w:rPr>
                <w:color w:val="0A1628"/>
                <w:sz w:val="17"/>
              </w:rPr>
            </w:r>
            <w:r>
              <w:rPr>
                <w:rFonts w:ascii="Aptos" w:hAnsi="Aptos" w:eastAsia="Aptos"/>
                <w:b w:val="0"/>
                <w:i w:val="0"/>
                <w:color w:val="0A1628"/>
                <w:sz w:val="17"/>
              </w:rPr>
              <w:t>Pending</w:t>
            </w:r>
          </w:p>
        </w:tc>
        <w:tc>
          <w:tcPr>
            <w:tcW w:type="dxa" w:w="3456"/>
            <w:vAlign w:val="center"/>
            <w:tcMar>
              <w:top w:w="75" w:type="dxa"/>
              <w:start w:w="80" w:type="dxa"/>
              <w:bottom w:w="75" w:type="dxa"/>
              <w:end w:w="80" w:type="dxa"/>
            </w:tcMar>
          </w:tcPr>
          <w:p>
            <w:pPr>
              <w:spacing w:after="0" w:line="240" w:lineRule="auto"/>
            </w:pPr>
            <w:r>
              <w:rPr>
                <w:color w:val="0A1628"/>
                <w:sz w:val="17"/>
              </w:rPr>
            </w:r>
            <w:r>
              <w:rPr>
                <w:rFonts w:ascii="Aptos" w:hAnsi="Aptos" w:eastAsia="Aptos"/>
                <w:b w:val="0"/>
                <w:i w:val="0"/>
                <w:color w:val="0A1628"/>
                <w:sz w:val="17"/>
              </w:rPr>
              <w:t>Blocks import and Data Entry activation</w:t>
            </w:r>
          </w:p>
        </w:tc>
      </w:tr>
      <w:tr>
        <w:trPr>
          <w:cantSplit/>
        </w:trPr>
        <w:tc>
          <w:tcPr>
            <w:tcW w:type="dxa" w:w="3456"/>
            <w:vAlign w:val="center"/>
            <w:tcMar>
              <w:top w:w="75" w:type="dxa"/>
              <w:start w:w="80" w:type="dxa"/>
              <w:bottom w:w="75" w:type="dxa"/>
              <w:end w:w="80" w:type="dxa"/>
            </w:tcMar>
            <w:shd w:fill="F7F9FC"/>
          </w:tcPr>
          <w:p>
            <w:pPr>
              <w:spacing w:after="0" w:line="240" w:lineRule="auto"/>
            </w:pPr>
            <w:r>
              <w:rPr>
                <w:color w:val="0A1628"/>
                <w:sz w:val="17"/>
              </w:rPr>
            </w:r>
            <w:r>
              <w:rPr>
                <w:rFonts w:ascii="Aptos" w:hAnsi="Aptos" w:eastAsia="Aptos"/>
                <w:b w:val="0"/>
                <w:i w:val="0"/>
                <w:color w:val="0A1628"/>
                <w:sz w:val="17"/>
              </w:rPr>
              <w:t>NPT management fee basis</w:t>
            </w:r>
          </w:p>
        </w:tc>
        <w:tc>
          <w:tcPr>
            <w:tcW w:type="dxa" w:w="3456"/>
            <w:vAlign w:val="center"/>
            <w:tcMar>
              <w:top w:w="75" w:type="dxa"/>
              <w:start w:w="80" w:type="dxa"/>
              <w:bottom w:w="75" w:type="dxa"/>
              <w:end w:w="80" w:type="dxa"/>
            </w:tcMar>
            <w:shd w:fill="F7F9FC"/>
          </w:tcPr>
          <w:p>
            <w:pPr>
              <w:spacing w:after="0" w:line="240" w:lineRule="auto"/>
            </w:pPr>
            <w:r>
              <w:rPr>
                <w:color w:val="0A1628"/>
                <w:sz w:val="17"/>
              </w:rPr>
            </w:r>
            <w:r>
              <w:rPr>
                <w:rFonts w:ascii="Aptos" w:hAnsi="Aptos" w:eastAsia="Aptos"/>
                <w:b w:val="0"/>
                <w:i w:val="0"/>
                <w:color w:val="0A1628"/>
                <w:sz w:val="17"/>
              </w:rPr>
              <w:t>Proposed: 10% of branch allocated share</w:t>
            </w:r>
          </w:p>
        </w:tc>
        <w:tc>
          <w:tcPr>
            <w:tcW w:type="dxa" w:w="3456"/>
            <w:vAlign w:val="center"/>
            <w:tcMar>
              <w:top w:w="75" w:type="dxa"/>
              <w:start w:w="80" w:type="dxa"/>
              <w:bottom w:w="75" w:type="dxa"/>
              <w:end w:w="80" w:type="dxa"/>
            </w:tcMar>
            <w:shd w:fill="F7F9FC"/>
          </w:tcPr>
          <w:p>
            <w:pPr>
              <w:spacing w:after="0" w:line="240" w:lineRule="auto"/>
            </w:pPr>
            <w:r>
              <w:rPr>
                <w:color w:val="0A1628"/>
                <w:sz w:val="17"/>
              </w:rPr>
            </w:r>
            <w:r>
              <w:rPr>
                <w:rFonts w:ascii="Aptos" w:hAnsi="Aptos" w:eastAsia="Aptos"/>
                <w:b w:val="0"/>
                <w:i w:val="0"/>
                <w:color w:val="0A1628"/>
                <w:sz w:val="17"/>
              </w:rPr>
              <w:t>Blocks NPT financial activation without approval</w:t>
            </w:r>
          </w:p>
        </w:tc>
      </w:tr>
      <w:tr>
        <w:trPr>
          <w:cantSplit/>
        </w:trPr>
        <w:tc>
          <w:tcPr>
            <w:tcW w:type="dxa" w:w="3456"/>
            <w:vAlign w:val="center"/>
            <w:tcMar>
              <w:top w:w="75" w:type="dxa"/>
              <w:start w:w="80" w:type="dxa"/>
              <w:bottom w:w="75" w:type="dxa"/>
              <w:end w:w="80" w:type="dxa"/>
            </w:tcMar>
          </w:tcPr>
          <w:p>
            <w:pPr>
              <w:spacing w:after="0" w:line="240" w:lineRule="auto"/>
            </w:pPr>
            <w:r>
              <w:rPr>
                <w:color w:val="0A1628"/>
                <w:sz w:val="17"/>
              </w:rPr>
            </w:r>
            <w:r>
              <w:rPr>
                <w:rFonts w:ascii="Aptos" w:hAnsi="Aptos" w:eastAsia="Aptos"/>
                <w:b w:val="0"/>
                <w:i w:val="0"/>
                <w:color w:val="0A1628"/>
                <w:sz w:val="17"/>
              </w:rPr>
              <w:t>Which Britium surcharges are branch-shareable</w:t>
            </w:r>
          </w:p>
        </w:tc>
        <w:tc>
          <w:tcPr>
            <w:tcW w:type="dxa" w:w="3456"/>
            <w:vAlign w:val="center"/>
            <w:tcMar>
              <w:top w:w="75" w:type="dxa"/>
              <w:start w:w="80" w:type="dxa"/>
              <w:bottom w:w="75" w:type="dxa"/>
              <w:end w:w="80" w:type="dxa"/>
            </w:tcMar>
          </w:tcPr>
          <w:p>
            <w:pPr>
              <w:spacing w:after="0" w:line="240" w:lineRule="auto"/>
            </w:pPr>
            <w:r>
              <w:rPr>
                <w:color w:val="0A1628"/>
                <w:sz w:val="17"/>
              </w:rPr>
            </w:r>
            <w:r>
              <w:rPr>
                <w:rFonts w:ascii="Aptos" w:hAnsi="Aptos" w:eastAsia="Aptos"/>
                <w:b w:val="0"/>
                <w:i w:val="0"/>
                <w:color w:val="0A1628"/>
                <w:sz w:val="17"/>
              </w:rPr>
              <w:t>Pending</w:t>
            </w:r>
          </w:p>
        </w:tc>
        <w:tc>
          <w:tcPr>
            <w:tcW w:type="dxa" w:w="3456"/>
            <w:vAlign w:val="center"/>
            <w:tcMar>
              <w:top w:w="75" w:type="dxa"/>
              <w:start w:w="80" w:type="dxa"/>
              <w:bottom w:w="75" w:type="dxa"/>
              <w:end w:w="80" w:type="dxa"/>
            </w:tcMar>
          </w:tcPr>
          <w:p>
            <w:pPr>
              <w:spacing w:after="0" w:line="240" w:lineRule="auto"/>
            </w:pPr>
            <w:r>
              <w:rPr>
                <w:color w:val="0A1628"/>
                <w:sz w:val="17"/>
              </w:rPr>
            </w:r>
            <w:r>
              <w:rPr>
                <w:rFonts w:ascii="Aptos" w:hAnsi="Aptos" w:eastAsia="Aptos"/>
                <w:b w:val="0"/>
                <w:i w:val="0"/>
                <w:color w:val="0A1628"/>
                <w:sz w:val="17"/>
              </w:rPr>
              <w:t>Defaults to net system delivery charge only</w:t>
            </w:r>
          </w:p>
        </w:tc>
      </w:tr>
      <w:tr>
        <w:trPr>
          <w:cantSplit/>
        </w:trPr>
        <w:tc>
          <w:tcPr>
            <w:tcW w:type="dxa" w:w="3456"/>
            <w:vAlign w:val="center"/>
            <w:tcMar>
              <w:top w:w="75" w:type="dxa"/>
              <w:start w:w="80" w:type="dxa"/>
              <w:bottom w:w="75" w:type="dxa"/>
              <w:end w:w="80" w:type="dxa"/>
            </w:tcMar>
            <w:shd w:fill="F7F9FC"/>
          </w:tcPr>
          <w:p>
            <w:pPr>
              <w:spacing w:after="0" w:line="240" w:lineRule="auto"/>
            </w:pPr>
            <w:r>
              <w:rPr>
                <w:color w:val="0A1628"/>
                <w:sz w:val="17"/>
              </w:rPr>
            </w:r>
            <w:r>
              <w:rPr>
                <w:rFonts w:ascii="Aptos" w:hAnsi="Aptos" w:eastAsia="Aptos"/>
                <w:b w:val="0"/>
                <w:i w:val="0"/>
                <w:color w:val="0A1628"/>
                <w:sz w:val="17"/>
              </w:rPr>
              <w:t>DK area-to-band mapping from diagram</w:t>
            </w:r>
          </w:p>
        </w:tc>
        <w:tc>
          <w:tcPr>
            <w:tcW w:type="dxa" w:w="3456"/>
            <w:vAlign w:val="center"/>
            <w:tcMar>
              <w:top w:w="75" w:type="dxa"/>
              <w:start w:w="80" w:type="dxa"/>
              <w:bottom w:w="75" w:type="dxa"/>
              <w:end w:w="80" w:type="dxa"/>
            </w:tcMar>
            <w:shd w:fill="F7F9FC"/>
          </w:tcPr>
          <w:p>
            <w:pPr>
              <w:spacing w:after="0" w:line="240" w:lineRule="auto"/>
            </w:pPr>
            <w:r>
              <w:rPr>
                <w:color w:val="0A1628"/>
                <w:sz w:val="17"/>
              </w:rPr>
            </w:r>
            <w:r>
              <w:rPr>
                <w:rFonts w:ascii="Aptos" w:hAnsi="Aptos" w:eastAsia="Aptos"/>
                <w:b w:val="0"/>
                <w:i w:val="0"/>
                <w:color w:val="0A1628"/>
                <w:sz w:val="17"/>
              </w:rPr>
              <w:t>Must be transcribed and approved</w:t>
            </w:r>
          </w:p>
        </w:tc>
        <w:tc>
          <w:tcPr>
            <w:tcW w:type="dxa" w:w="3456"/>
            <w:vAlign w:val="center"/>
            <w:tcMar>
              <w:top w:w="75" w:type="dxa"/>
              <w:start w:w="80" w:type="dxa"/>
              <w:bottom w:w="75" w:type="dxa"/>
              <w:end w:w="80" w:type="dxa"/>
            </w:tcMar>
            <w:shd w:fill="F7F9FC"/>
          </w:tcPr>
          <w:p>
            <w:pPr>
              <w:spacing w:after="0" w:line="240" w:lineRule="auto"/>
            </w:pPr>
            <w:r>
              <w:rPr>
                <w:color w:val="0A1628"/>
                <w:sz w:val="17"/>
              </w:rPr>
            </w:r>
            <w:r>
              <w:rPr>
                <w:rFonts w:ascii="Aptos" w:hAnsi="Aptos" w:eastAsia="Aptos"/>
                <w:b w:val="0"/>
                <w:i w:val="0"/>
                <w:color w:val="0A1628"/>
                <w:sz w:val="17"/>
              </w:rPr>
              <w:t>Blocks unresolved DK areas</w:t>
            </w:r>
          </w:p>
        </w:tc>
      </w:tr>
      <w:tr>
        <w:trPr>
          <w:cantSplit/>
        </w:trPr>
        <w:tc>
          <w:tcPr>
            <w:tcW w:type="dxa" w:w="3456"/>
            <w:vAlign w:val="center"/>
            <w:tcMar>
              <w:top w:w="75" w:type="dxa"/>
              <w:start w:w="80" w:type="dxa"/>
              <w:bottom w:w="75" w:type="dxa"/>
              <w:end w:w="80" w:type="dxa"/>
            </w:tcMar>
          </w:tcPr>
          <w:p>
            <w:pPr>
              <w:spacing w:after="0" w:line="240" w:lineRule="auto"/>
            </w:pPr>
            <w:r>
              <w:rPr>
                <w:color w:val="0A1628"/>
                <w:sz w:val="17"/>
              </w:rPr>
            </w:r>
            <w:r>
              <w:rPr>
                <w:rFonts w:ascii="Aptos" w:hAnsi="Aptos" w:eastAsia="Aptos"/>
                <w:b w:val="0"/>
                <w:i w:val="0"/>
                <w:color w:val="0A1628"/>
                <w:sz w:val="17"/>
              </w:rPr>
              <w:t>DK 500 vs 1,000 MMK surcharge conditions</w:t>
            </w:r>
          </w:p>
        </w:tc>
        <w:tc>
          <w:tcPr>
            <w:tcW w:type="dxa" w:w="3456"/>
            <w:vAlign w:val="center"/>
            <w:tcMar>
              <w:top w:w="75" w:type="dxa"/>
              <w:start w:w="80" w:type="dxa"/>
              <w:bottom w:w="75" w:type="dxa"/>
              <w:end w:w="80" w:type="dxa"/>
            </w:tcMar>
          </w:tcPr>
          <w:p>
            <w:pPr>
              <w:spacing w:after="0" w:line="240" w:lineRule="auto"/>
            </w:pPr>
            <w:r>
              <w:rPr>
                <w:color w:val="0A1628"/>
                <w:sz w:val="17"/>
              </w:rPr>
            </w:r>
            <w:r>
              <w:rPr>
                <w:rFonts w:ascii="Aptos" w:hAnsi="Aptos" w:eastAsia="Aptos"/>
                <w:b w:val="0"/>
                <w:i w:val="0"/>
                <w:color w:val="0A1628"/>
                <w:sz w:val="17"/>
              </w:rPr>
              <w:t>Ambiguous in source</w:t>
            </w:r>
          </w:p>
        </w:tc>
        <w:tc>
          <w:tcPr>
            <w:tcW w:type="dxa" w:w="3456"/>
            <w:vAlign w:val="center"/>
            <w:tcMar>
              <w:top w:w="75" w:type="dxa"/>
              <w:start w:w="80" w:type="dxa"/>
              <w:bottom w:w="75" w:type="dxa"/>
              <w:end w:w="80" w:type="dxa"/>
            </w:tcMar>
          </w:tcPr>
          <w:p>
            <w:pPr>
              <w:spacing w:after="0" w:line="240" w:lineRule="auto"/>
            </w:pPr>
            <w:r>
              <w:rPr>
                <w:color w:val="0A1628"/>
                <w:sz w:val="17"/>
              </w:rPr>
            </w:r>
            <w:r>
              <w:rPr>
                <w:rFonts w:ascii="Aptos" w:hAnsi="Aptos" w:eastAsia="Aptos"/>
                <w:b w:val="0"/>
                <w:i w:val="0"/>
                <w:color w:val="0A1628"/>
                <w:sz w:val="17"/>
              </w:rPr>
              <w:t>Blocks automatic surcharge calculation</w:t>
            </w:r>
          </w:p>
        </w:tc>
      </w:tr>
      <w:tr>
        <w:trPr>
          <w:cantSplit/>
        </w:trPr>
        <w:tc>
          <w:tcPr>
            <w:tcW w:type="dxa" w:w="3456"/>
            <w:vAlign w:val="center"/>
            <w:tcMar>
              <w:top w:w="75" w:type="dxa"/>
              <w:start w:w="80" w:type="dxa"/>
              <w:bottom w:w="75" w:type="dxa"/>
              <w:end w:w="80" w:type="dxa"/>
            </w:tcMar>
            <w:shd w:fill="F7F9FC"/>
          </w:tcPr>
          <w:p>
            <w:pPr>
              <w:spacing w:after="0" w:line="240" w:lineRule="auto"/>
            </w:pPr>
            <w:r>
              <w:rPr>
                <w:color w:val="0A1628"/>
                <w:sz w:val="17"/>
              </w:rPr>
            </w:r>
            <w:r>
              <w:rPr>
                <w:rFonts w:ascii="Aptos" w:hAnsi="Aptos" w:eastAsia="Aptos"/>
                <w:b w:val="0"/>
                <w:i w:val="0"/>
                <w:color w:val="0A1628"/>
                <w:sz w:val="17"/>
              </w:rPr>
              <w:t>Highway bus allocation method</w:t>
            </w:r>
          </w:p>
        </w:tc>
        <w:tc>
          <w:tcPr>
            <w:tcW w:type="dxa" w:w="3456"/>
            <w:vAlign w:val="center"/>
            <w:tcMar>
              <w:top w:w="75" w:type="dxa"/>
              <w:start w:w="80" w:type="dxa"/>
              <w:bottom w:w="75" w:type="dxa"/>
              <w:end w:w="80" w:type="dxa"/>
            </w:tcMar>
            <w:shd w:fill="F7F9FC"/>
          </w:tcPr>
          <w:p>
            <w:pPr>
              <w:spacing w:after="0" w:line="240" w:lineRule="auto"/>
            </w:pPr>
            <w:r>
              <w:rPr>
                <w:color w:val="0A1628"/>
                <w:sz w:val="17"/>
              </w:rPr>
            </w:r>
            <w:r>
              <w:rPr>
                <w:rFonts w:ascii="Aptos" w:hAnsi="Aptos" w:eastAsia="Aptos"/>
                <w:b w:val="0"/>
                <w:i w:val="0"/>
                <w:color w:val="0A1628"/>
                <w:sz w:val="17"/>
              </w:rPr>
              <w:t>Pending Finance approval</w:t>
            </w:r>
          </w:p>
        </w:tc>
        <w:tc>
          <w:tcPr>
            <w:tcW w:type="dxa" w:w="3456"/>
            <w:vAlign w:val="center"/>
            <w:tcMar>
              <w:top w:w="75" w:type="dxa"/>
              <w:start w:w="80" w:type="dxa"/>
              <w:bottom w:w="75" w:type="dxa"/>
              <w:end w:w="80" w:type="dxa"/>
            </w:tcMar>
            <w:shd w:fill="F7F9FC"/>
          </w:tcPr>
          <w:p>
            <w:pPr>
              <w:spacing w:after="0" w:line="240" w:lineRule="auto"/>
            </w:pPr>
            <w:r>
              <w:rPr>
                <w:color w:val="0A1628"/>
                <w:sz w:val="17"/>
              </w:rPr>
            </w:r>
            <w:r>
              <w:rPr>
                <w:rFonts w:ascii="Aptos" w:hAnsi="Aptos" w:eastAsia="Aptos"/>
                <w:b w:val="0"/>
                <w:i w:val="0"/>
                <w:color w:val="0A1628"/>
                <w:sz w:val="17"/>
              </w:rPr>
              <w:t>Blocks Mandalay partner batch finalization</w:t>
            </w:r>
          </w:p>
        </w:tc>
      </w:tr>
      <w:tr>
        <w:trPr>
          <w:cantSplit/>
        </w:trPr>
        <w:tc>
          <w:tcPr>
            <w:tcW w:type="dxa" w:w="3456"/>
            <w:vAlign w:val="center"/>
            <w:tcMar>
              <w:top w:w="75" w:type="dxa"/>
              <w:start w:w="80" w:type="dxa"/>
              <w:bottom w:w="75" w:type="dxa"/>
              <w:end w:w="80" w:type="dxa"/>
            </w:tcMar>
          </w:tcPr>
          <w:p>
            <w:pPr>
              <w:spacing w:after="0" w:line="240" w:lineRule="auto"/>
            </w:pPr>
            <w:r>
              <w:rPr>
                <w:color w:val="0A1628"/>
                <w:sz w:val="17"/>
              </w:rPr>
            </w:r>
            <w:r>
              <w:rPr>
                <w:rFonts w:ascii="Aptos" w:hAnsi="Aptos" w:eastAsia="Aptos"/>
                <w:b w:val="0"/>
                <w:i w:val="0"/>
                <w:color w:val="0A1628"/>
                <w:sz w:val="17"/>
              </w:rPr>
              <w:t>Royal COD fee billing owner</w:t>
            </w:r>
          </w:p>
        </w:tc>
        <w:tc>
          <w:tcPr>
            <w:tcW w:type="dxa" w:w="3456"/>
            <w:vAlign w:val="center"/>
            <w:tcMar>
              <w:top w:w="75" w:type="dxa"/>
              <w:start w:w="80" w:type="dxa"/>
              <w:bottom w:w="75" w:type="dxa"/>
              <w:end w:w="80" w:type="dxa"/>
            </w:tcMar>
          </w:tcPr>
          <w:p>
            <w:pPr>
              <w:spacing w:after="0" w:line="240" w:lineRule="auto"/>
            </w:pPr>
            <w:r>
              <w:rPr>
                <w:color w:val="0A1628"/>
                <w:sz w:val="17"/>
              </w:rPr>
            </w:r>
            <w:r>
              <w:rPr>
                <w:rFonts w:ascii="Aptos" w:hAnsi="Aptos" w:eastAsia="Aptos"/>
                <w:b w:val="0"/>
                <w:i w:val="0"/>
                <w:color w:val="0A1628"/>
                <w:sz w:val="17"/>
              </w:rPr>
              <w:t>Pending</w:t>
            </w:r>
          </w:p>
        </w:tc>
        <w:tc>
          <w:tcPr>
            <w:tcW w:type="dxa" w:w="3456"/>
            <w:vAlign w:val="center"/>
            <w:tcMar>
              <w:top w:w="75" w:type="dxa"/>
              <w:start w:w="80" w:type="dxa"/>
              <w:bottom w:w="75" w:type="dxa"/>
              <w:end w:w="80" w:type="dxa"/>
            </w:tcMar>
          </w:tcPr>
          <w:p>
            <w:pPr>
              <w:spacing w:after="0" w:line="240" w:lineRule="auto"/>
            </w:pPr>
            <w:r>
              <w:rPr>
                <w:color w:val="0A1628"/>
                <w:sz w:val="17"/>
              </w:rPr>
            </w:r>
            <w:r>
              <w:rPr>
                <w:rFonts w:ascii="Aptos" w:hAnsi="Aptos" w:eastAsia="Aptos"/>
                <w:b w:val="0"/>
                <w:i w:val="0"/>
                <w:color w:val="0A1628"/>
                <w:sz w:val="17"/>
              </w:rPr>
              <w:t>Fee must not be added to customer automatically</w:t>
            </w:r>
          </w:p>
        </w:tc>
      </w:tr>
      <w:tr>
        <w:trPr>
          <w:cantSplit/>
        </w:trPr>
        <w:tc>
          <w:tcPr>
            <w:tcW w:type="dxa" w:w="3456"/>
            <w:vAlign w:val="center"/>
            <w:tcMar>
              <w:top w:w="75" w:type="dxa"/>
              <w:start w:w="80" w:type="dxa"/>
              <w:bottom w:w="75" w:type="dxa"/>
              <w:end w:w="80" w:type="dxa"/>
            </w:tcMar>
            <w:shd w:fill="F7F9FC"/>
          </w:tcPr>
          <w:p>
            <w:pPr>
              <w:spacing w:after="0" w:line="240" w:lineRule="auto"/>
            </w:pPr>
            <w:r>
              <w:rPr>
                <w:color w:val="0A1628"/>
                <w:sz w:val="17"/>
              </w:rPr>
            </w:r>
            <w:r>
              <w:rPr>
                <w:rFonts w:ascii="Aptos" w:hAnsi="Aptos" w:eastAsia="Aptos"/>
                <w:b w:val="0"/>
                <w:i w:val="0"/>
                <w:color w:val="0A1628"/>
                <w:sz w:val="17"/>
              </w:rPr>
              <w:t>Royal monthly rebate calculation base</w:t>
            </w:r>
          </w:p>
        </w:tc>
        <w:tc>
          <w:tcPr>
            <w:tcW w:type="dxa" w:w="3456"/>
            <w:vAlign w:val="center"/>
            <w:tcMar>
              <w:top w:w="75" w:type="dxa"/>
              <w:start w:w="80" w:type="dxa"/>
              <w:bottom w:w="75" w:type="dxa"/>
              <w:end w:w="80" w:type="dxa"/>
            </w:tcMar>
            <w:shd w:fill="F7F9FC"/>
          </w:tcPr>
          <w:p>
            <w:pPr>
              <w:spacing w:after="0" w:line="240" w:lineRule="auto"/>
            </w:pPr>
            <w:r>
              <w:rPr>
                <w:color w:val="0A1628"/>
                <w:sz w:val="17"/>
              </w:rPr>
            </w:r>
            <w:r>
              <w:rPr>
                <w:rFonts w:ascii="Aptos" w:hAnsi="Aptos" w:eastAsia="Aptos"/>
                <w:b w:val="0"/>
                <w:i w:val="0"/>
                <w:color w:val="0A1628"/>
                <w:sz w:val="17"/>
              </w:rPr>
              <w:t>Not stated in quotation</w:t>
            </w:r>
          </w:p>
        </w:tc>
        <w:tc>
          <w:tcPr>
            <w:tcW w:type="dxa" w:w="3456"/>
            <w:vAlign w:val="center"/>
            <w:tcMar>
              <w:top w:w="75" w:type="dxa"/>
              <w:start w:w="80" w:type="dxa"/>
              <w:bottom w:w="75" w:type="dxa"/>
              <w:end w:w="80" w:type="dxa"/>
            </w:tcMar>
            <w:shd w:fill="F7F9FC"/>
          </w:tcPr>
          <w:p>
            <w:pPr>
              <w:spacing w:after="0" w:line="240" w:lineRule="auto"/>
            </w:pPr>
            <w:r>
              <w:rPr>
                <w:color w:val="0A1628"/>
                <w:sz w:val="17"/>
              </w:rPr>
            </w:r>
            <w:r>
              <w:rPr>
                <w:rFonts w:ascii="Aptos" w:hAnsi="Aptos" w:eastAsia="Aptos"/>
                <w:b w:val="0"/>
                <w:i w:val="0"/>
                <w:color w:val="0A1628"/>
                <w:sz w:val="17"/>
              </w:rPr>
              <w:t>Rebate remains estimated, not posted</w:t>
            </w:r>
          </w:p>
        </w:tc>
      </w:tr>
      <w:tr>
        <w:trPr>
          <w:cantSplit/>
        </w:trPr>
        <w:tc>
          <w:tcPr>
            <w:tcW w:type="dxa" w:w="3456"/>
            <w:vAlign w:val="center"/>
            <w:tcMar>
              <w:top w:w="75" w:type="dxa"/>
              <w:start w:w="80" w:type="dxa"/>
              <w:bottom w:w="75" w:type="dxa"/>
              <w:end w:w="80" w:type="dxa"/>
            </w:tcMar>
          </w:tcPr>
          <w:p>
            <w:pPr>
              <w:spacing w:after="0" w:line="240" w:lineRule="auto"/>
            </w:pPr>
            <w:r>
              <w:rPr>
                <w:color w:val="0A1628"/>
                <w:sz w:val="17"/>
              </w:rPr>
            </w:r>
            <w:r>
              <w:rPr>
                <w:rFonts w:ascii="Aptos" w:hAnsi="Aptos" w:eastAsia="Aptos"/>
                <w:b w:val="0"/>
                <w:i w:val="0"/>
                <w:color w:val="0A1628"/>
                <w:sz w:val="17"/>
              </w:rPr>
              <w:t>Royal quotation effective-date interpretation</w:t>
            </w:r>
          </w:p>
        </w:tc>
        <w:tc>
          <w:tcPr>
            <w:tcW w:type="dxa" w:w="3456"/>
            <w:vAlign w:val="center"/>
            <w:tcMar>
              <w:top w:w="75" w:type="dxa"/>
              <w:start w:w="80" w:type="dxa"/>
              <w:bottom w:w="75" w:type="dxa"/>
              <w:end w:w="80" w:type="dxa"/>
            </w:tcMar>
          </w:tcPr>
          <w:p>
            <w:pPr>
              <w:spacing w:after="0" w:line="240" w:lineRule="auto"/>
            </w:pPr>
            <w:r>
              <w:rPr>
                <w:color w:val="0A1628"/>
                <w:sz w:val="17"/>
              </w:rPr>
            </w:r>
            <w:r>
              <w:rPr>
                <w:rFonts w:ascii="Aptos" w:hAnsi="Aptos" w:eastAsia="Aptos"/>
                <w:b w:val="0"/>
                <w:i w:val="0"/>
                <w:color w:val="0A1628"/>
                <w:sz w:val="17"/>
              </w:rPr>
              <w:t>Quotation dated May 2026; form displays effective 1 Jan 2025</w:t>
            </w:r>
          </w:p>
        </w:tc>
        <w:tc>
          <w:tcPr>
            <w:tcW w:type="dxa" w:w="3456"/>
            <w:vAlign w:val="center"/>
            <w:tcMar>
              <w:top w:w="75" w:type="dxa"/>
              <w:start w:w="80" w:type="dxa"/>
              <w:bottom w:w="75" w:type="dxa"/>
              <w:end w:w="80" w:type="dxa"/>
            </w:tcMar>
          </w:tcPr>
          <w:p>
            <w:pPr>
              <w:spacing w:after="0" w:line="240" w:lineRule="auto"/>
            </w:pPr>
            <w:r>
              <w:rPr>
                <w:color w:val="0A1628"/>
                <w:sz w:val="17"/>
              </w:rPr>
            </w:r>
            <w:r>
              <w:rPr>
                <w:rFonts w:ascii="Aptos" w:hAnsi="Aptos" w:eastAsia="Aptos"/>
                <w:b w:val="0"/>
                <w:i w:val="0"/>
                <w:color w:val="0A1628"/>
                <w:sz w:val="17"/>
              </w:rPr>
              <w:t>Requires contract-owner confirmation</w:t>
            </w:r>
          </w:p>
        </w:tc>
      </w:tr>
      <w:tr>
        <w:trPr>
          <w:cantSplit/>
        </w:trPr>
        <w:tc>
          <w:tcPr>
            <w:tcW w:type="dxa" w:w="3456"/>
            <w:vAlign w:val="center"/>
            <w:tcMar>
              <w:top w:w="75" w:type="dxa"/>
              <w:start w:w="80" w:type="dxa"/>
              <w:bottom w:w="75" w:type="dxa"/>
              <w:end w:w="80" w:type="dxa"/>
            </w:tcMar>
            <w:shd w:fill="F7F9FC"/>
          </w:tcPr>
          <w:p>
            <w:pPr>
              <w:spacing w:after="0" w:line="240" w:lineRule="auto"/>
            </w:pPr>
            <w:r>
              <w:rPr>
                <w:color w:val="0A1628"/>
                <w:sz w:val="17"/>
              </w:rPr>
            </w:r>
            <w:r>
              <w:rPr>
                <w:rFonts w:ascii="Aptos" w:hAnsi="Aptos" w:eastAsia="Aptos"/>
                <w:b w:val="0"/>
                <w:i w:val="0"/>
                <w:color w:val="0A1628"/>
                <w:sz w:val="17"/>
              </w:rPr>
              <w:t>Provider tax/withholding treatment</w:t>
            </w:r>
          </w:p>
        </w:tc>
        <w:tc>
          <w:tcPr>
            <w:tcW w:type="dxa" w:w="3456"/>
            <w:vAlign w:val="center"/>
            <w:tcMar>
              <w:top w:w="75" w:type="dxa"/>
              <w:start w:w="80" w:type="dxa"/>
              <w:bottom w:w="75" w:type="dxa"/>
              <w:end w:w="80" w:type="dxa"/>
            </w:tcMar>
            <w:shd w:fill="F7F9FC"/>
          </w:tcPr>
          <w:p>
            <w:pPr>
              <w:spacing w:after="0" w:line="240" w:lineRule="auto"/>
            </w:pPr>
            <w:r>
              <w:rPr>
                <w:color w:val="0A1628"/>
                <w:sz w:val="17"/>
              </w:rPr>
            </w:r>
            <w:r>
              <w:rPr>
                <w:rFonts w:ascii="Aptos" w:hAnsi="Aptos" w:eastAsia="Aptos"/>
                <w:b w:val="0"/>
                <w:i w:val="0"/>
                <w:color w:val="0A1628"/>
                <w:sz w:val="17"/>
              </w:rPr>
              <w:t>Pending</w:t>
            </w:r>
          </w:p>
        </w:tc>
        <w:tc>
          <w:tcPr>
            <w:tcW w:type="dxa" w:w="3456"/>
            <w:vAlign w:val="center"/>
            <w:tcMar>
              <w:top w:w="75" w:type="dxa"/>
              <w:start w:w="80" w:type="dxa"/>
              <w:bottom w:w="75" w:type="dxa"/>
              <w:end w:w="80" w:type="dxa"/>
            </w:tcMar>
            <w:shd w:fill="F7F9FC"/>
          </w:tcPr>
          <w:p>
            <w:pPr>
              <w:spacing w:after="0" w:line="240" w:lineRule="auto"/>
            </w:pPr>
            <w:r>
              <w:rPr>
                <w:color w:val="0A1628"/>
                <w:sz w:val="17"/>
              </w:rPr>
            </w:r>
            <w:r>
              <w:rPr>
                <w:rFonts w:ascii="Aptos" w:hAnsi="Aptos" w:eastAsia="Aptos"/>
                <w:b w:val="0"/>
                <w:i w:val="0"/>
                <w:color w:val="0A1628"/>
                <w:sz w:val="17"/>
              </w:rPr>
              <w:t>Blocks final payable/tax entries</w:t>
            </w:r>
          </w:p>
        </w:tc>
      </w:tr>
      <w:tr>
        <w:trPr>
          <w:cantSplit/>
        </w:trPr>
        <w:tc>
          <w:tcPr>
            <w:tcW w:type="dxa" w:w="3456"/>
            <w:vAlign w:val="center"/>
            <w:tcMar>
              <w:top w:w="75" w:type="dxa"/>
              <w:start w:w="80" w:type="dxa"/>
              <w:bottom w:w="75" w:type="dxa"/>
              <w:end w:w="80" w:type="dxa"/>
            </w:tcMar>
          </w:tcPr>
          <w:p>
            <w:pPr>
              <w:spacing w:after="0" w:line="240" w:lineRule="auto"/>
            </w:pPr>
            <w:r>
              <w:rPr>
                <w:color w:val="0A1628"/>
                <w:sz w:val="17"/>
              </w:rPr>
            </w:r>
            <w:r>
              <w:rPr>
                <w:rFonts w:ascii="Aptos" w:hAnsi="Aptos" w:eastAsia="Aptos"/>
                <w:b w:val="0"/>
                <w:i w:val="0"/>
                <w:color w:val="0A1628"/>
                <w:sz w:val="17"/>
              </w:rPr>
              <w:t>Exact eligible delivery statuses for referral commission</w:t>
            </w:r>
          </w:p>
        </w:tc>
        <w:tc>
          <w:tcPr>
            <w:tcW w:type="dxa" w:w="3456"/>
            <w:vAlign w:val="center"/>
            <w:tcMar>
              <w:top w:w="75" w:type="dxa"/>
              <w:start w:w="80" w:type="dxa"/>
              <w:bottom w:w="75" w:type="dxa"/>
              <w:end w:w="80" w:type="dxa"/>
            </w:tcMar>
          </w:tcPr>
          <w:p>
            <w:pPr>
              <w:spacing w:after="0" w:line="240" w:lineRule="auto"/>
            </w:pPr>
            <w:r>
              <w:rPr>
                <w:color w:val="0A1628"/>
                <w:sz w:val="17"/>
              </w:rPr>
            </w:r>
            <w:r>
              <w:rPr>
                <w:rFonts w:ascii="Aptos" w:hAnsi="Aptos" w:eastAsia="Aptos"/>
                <w:b w:val="0"/>
                <w:i w:val="0"/>
                <w:color w:val="0A1628"/>
                <w:sz w:val="17"/>
              </w:rPr>
              <w:t>Proposed delivered/drop-off/completed</w:t>
            </w:r>
          </w:p>
        </w:tc>
        <w:tc>
          <w:tcPr>
            <w:tcW w:type="dxa" w:w="3456"/>
            <w:vAlign w:val="center"/>
            <w:tcMar>
              <w:top w:w="75" w:type="dxa"/>
              <w:start w:w="80" w:type="dxa"/>
              <w:bottom w:w="75" w:type="dxa"/>
              <w:end w:w="80" w:type="dxa"/>
            </w:tcMar>
          </w:tcPr>
          <w:p>
            <w:pPr>
              <w:spacing w:after="0" w:line="240" w:lineRule="auto"/>
            </w:pPr>
            <w:r>
              <w:rPr>
                <w:color w:val="0A1628"/>
                <w:sz w:val="17"/>
              </w:rPr>
            </w:r>
            <w:r>
              <w:rPr>
                <w:rFonts w:ascii="Aptos" w:hAnsi="Aptos" w:eastAsia="Aptos"/>
                <w:b w:val="0"/>
                <w:i w:val="0"/>
                <w:color w:val="0A1628"/>
                <w:sz w:val="17"/>
              </w:rPr>
              <w:t>Requires HR/Finance approval</w:t>
            </w:r>
          </w:p>
        </w:tc>
      </w:tr>
      <w:tr>
        <w:trPr>
          <w:cantSplit/>
        </w:trPr>
        <w:tc>
          <w:tcPr>
            <w:tcW w:type="dxa" w:w="3456"/>
            <w:vAlign w:val="center"/>
            <w:tcMar>
              <w:top w:w="75" w:type="dxa"/>
              <w:start w:w="80" w:type="dxa"/>
              <w:bottom w:w="75" w:type="dxa"/>
              <w:end w:w="80" w:type="dxa"/>
            </w:tcMar>
            <w:shd w:fill="F7F9FC"/>
          </w:tcPr>
          <w:p>
            <w:pPr>
              <w:spacing w:after="0" w:line="240" w:lineRule="auto"/>
            </w:pPr>
            <w:r>
              <w:rPr>
                <w:color w:val="0A1628"/>
                <w:sz w:val="17"/>
              </w:rPr>
            </w:r>
            <w:r>
              <w:rPr>
                <w:rFonts w:ascii="Aptos" w:hAnsi="Aptos" w:eastAsia="Aptos"/>
                <w:b w:val="0"/>
                <w:i w:val="0"/>
                <w:color w:val="0A1628"/>
                <w:sz w:val="17"/>
              </w:rPr>
              <w:t>Future branch-to-branch settlement</w:t>
            </w:r>
          </w:p>
        </w:tc>
        <w:tc>
          <w:tcPr>
            <w:tcW w:type="dxa" w:w="3456"/>
            <w:vAlign w:val="center"/>
            <w:tcMar>
              <w:top w:w="75" w:type="dxa"/>
              <w:start w:w="80" w:type="dxa"/>
              <w:bottom w:w="75" w:type="dxa"/>
              <w:end w:w="80" w:type="dxa"/>
            </w:tcMar>
            <w:shd w:fill="F7F9FC"/>
          </w:tcPr>
          <w:p>
            <w:pPr>
              <w:spacing w:after="0" w:line="240" w:lineRule="auto"/>
            </w:pPr>
            <w:r>
              <w:rPr>
                <w:color w:val="0A1628"/>
                <w:sz w:val="17"/>
              </w:rPr>
            </w:r>
            <w:r>
              <w:rPr>
                <w:rFonts w:ascii="Aptos" w:hAnsi="Aptos" w:eastAsia="Aptos"/>
                <w:b w:val="0"/>
                <w:i w:val="0"/>
                <w:color w:val="0A1628"/>
                <w:sz w:val="17"/>
              </w:rPr>
              <w:t>Engine-ready, disabled</w:t>
            </w:r>
          </w:p>
        </w:tc>
        <w:tc>
          <w:tcPr>
            <w:tcW w:type="dxa" w:w="3456"/>
            <w:vAlign w:val="center"/>
            <w:tcMar>
              <w:top w:w="75" w:type="dxa"/>
              <w:start w:w="80" w:type="dxa"/>
              <w:bottom w:w="75" w:type="dxa"/>
              <w:end w:w="80" w:type="dxa"/>
            </w:tcMar>
            <w:shd w:fill="F7F9FC"/>
          </w:tcPr>
          <w:p>
            <w:pPr>
              <w:spacing w:after="0" w:line="240" w:lineRule="auto"/>
            </w:pPr>
            <w:r>
              <w:rPr>
                <w:color w:val="0A1628"/>
                <w:sz w:val="17"/>
              </w:rPr>
            </w:r>
            <w:r>
              <w:rPr>
                <w:rFonts w:ascii="Aptos" w:hAnsi="Aptos" w:eastAsia="Aptos"/>
                <w:b w:val="0"/>
                <w:i w:val="0"/>
                <w:color w:val="0A1628"/>
                <w:sz w:val="17"/>
              </w:rPr>
              <w:t>Cannot be selected until contract approved</w:t>
            </w:r>
          </w:p>
        </w:tc>
      </w:tr>
      <w:tr>
        <w:trPr>
          <w:cantSplit/>
        </w:trPr>
        <w:tc>
          <w:tcPr>
            <w:tcW w:type="dxa" w:w="3456"/>
            <w:vAlign w:val="center"/>
            <w:tcMar>
              <w:top w:w="75" w:type="dxa"/>
              <w:start w:w="80" w:type="dxa"/>
              <w:bottom w:w="75" w:type="dxa"/>
              <w:end w:w="80" w:type="dxa"/>
            </w:tcMar>
          </w:tcPr>
          <w:p>
            <w:pPr>
              <w:spacing w:after="0" w:line="240" w:lineRule="auto"/>
            </w:pPr>
            <w:r>
              <w:rPr>
                <w:color w:val="0A1628"/>
                <w:sz w:val="17"/>
              </w:rPr>
            </w:r>
            <w:r>
              <w:rPr>
                <w:rFonts w:ascii="Aptos" w:hAnsi="Aptos" w:eastAsia="Aptos"/>
                <w:b w:val="0"/>
                <w:i w:val="0"/>
                <w:color w:val="0A1628"/>
                <w:sz w:val="17"/>
              </w:rPr>
              <w:t>Highway station tariff effective-from date</w:t>
            </w:r>
          </w:p>
        </w:tc>
        <w:tc>
          <w:tcPr>
            <w:tcW w:type="dxa" w:w="3456"/>
            <w:vAlign w:val="center"/>
            <w:tcMar>
              <w:top w:w="75" w:type="dxa"/>
              <w:start w:w="80" w:type="dxa"/>
              <w:bottom w:w="75" w:type="dxa"/>
              <w:end w:w="80" w:type="dxa"/>
            </w:tcMar>
          </w:tcPr>
          <w:p>
            <w:pPr>
              <w:spacing w:after="0" w:line="240" w:lineRule="auto"/>
            </w:pPr>
            <w:r>
              <w:rPr>
                <w:color w:val="0A1628"/>
                <w:sz w:val="17"/>
              </w:rPr>
            </w:r>
            <w:r>
              <w:rPr>
                <w:rFonts w:ascii="Aptos" w:hAnsi="Aptos" w:eastAsia="Aptos"/>
                <w:b w:val="0"/>
                <w:i w:val="0"/>
                <w:color w:val="0A1628"/>
                <w:sz w:val="17"/>
              </w:rPr>
              <w:t>Rates confirmed; production effective date to be configured</w:t>
            </w:r>
          </w:p>
        </w:tc>
        <w:tc>
          <w:tcPr>
            <w:tcW w:type="dxa" w:w="3456"/>
            <w:vAlign w:val="center"/>
            <w:tcMar>
              <w:top w:w="75" w:type="dxa"/>
              <w:start w:w="80" w:type="dxa"/>
              <w:bottom w:w="75" w:type="dxa"/>
              <w:end w:w="80" w:type="dxa"/>
            </w:tcMar>
          </w:tcPr>
          <w:p>
            <w:pPr>
              <w:spacing w:after="0" w:line="240" w:lineRule="auto"/>
            </w:pPr>
            <w:r>
              <w:rPr>
                <w:color w:val="0A1628"/>
                <w:sz w:val="17"/>
              </w:rPr>
            </w:r>
            <w:r>
              <w:rPr>
                <w:rFonts w:ascii="Aptos" w:hAnsi="Aptos" w:eastAsia="Aptos"/>
                <w:b w:val="0"/>
                <w:i w:val="0"/>
                <w:color w:val="0A1628"/>
                <w:sz w:val="17"/>
              </w:rPr>
              <w:t>Prevents retroactive rate application</w:t>
            </w:r>
          </w:p>
        </w:tc>
      </w:tr>
    </w:tbl>
    <w:p>
      <w:pPr>
        <w:spacing w:after="0"/>
      </w:pPr>
    </w:p>
    <w:p>
      <w:pPr>
        <w:pStyle w:val="Heading2"/>
        <w:keepNext/>
      </w:pPr>
      <w:r>
        <w:rPr>
          <w:rFonts w:ascii="Aptos" w:hAnsi="Aptos" w:eastAsia="Aptos"/>
          <w:b w:val="0"/>
          <w:i w:val="0"/>
          <w:color w:val="0A1628"/>
          <w:sz w:val="20"/>
        </w:rPr>
        <w:t>27. Activation Checklist</w:t>
      </w:r>
    </w:p>
    <w:p>
      <w:pPr>
        <w:pStyle w:val="ListBullet"/>
        <w:ind w:left="0"/>
      </w:pPr>
      <w:r>
        <w:rPr>
          <w:rFonts w:ascii="Aptos" w:hAnsi="Aptos" w:eastAsia="Aptos"/>
          <w:b w:val="0"/>
          <w:i w:val="0"/>
          <w:color w:val="0A1628"/>
          <w:sz w:val="20"/>
        </w:rPr>
        <w:t>Approved tariff and partner-contract imports completed.</w:t>
      </w:r>
    </w:p>
    <w:p>
      <w:pPr>
        <w:pStyle w:val="ListBullet"/>
        <w:ind w:left="0"/>
      </w:pPr>
      <w:r>
        <w:rPr>
          <w:rFonts w:ascii="Aptos" w:hAnsi="Aptos" w:eastAsia="Aptos"/>
          <w:b w:val="0"/>
          <w:i w:val="0"/>
          <w:color w:val="0A1628"/>
          <w:sz w:val="20"/>
        </w:rPr>
        <w:t>Effective dates and version IDs confirmed.</w:t>
      </w:r>
    </w:p>
    <w:p>
      <w:pPr>
        <w:pStyle w:val="ListBullet"/>
        <w:ind w:left="0"/>
      </w:pPr>
      <w:r>
        <w:rPr>
          <w:rFonts w:ascii="Aptos" w:hAnsi="Aptos" w:eastAsia="Aptos"/>
          <w:b w:val="0"/>
          <w:i w:val="0"/>
          <w:color w:val="0A1628"/>
          <w:sz w:val="20"/>
        </w:rPr>
        <w:t>Historical snapshots and compatibility views deployed.</w:t>
      </w:r>
    </w:p>
    <w:p>
      <w:pPr>
        <w:pStyle w:val="ListBullet"/>
        <w:ind w:left="0"/>
      </w:pPr>
      <w:r>
        <w:rPr>
          <w:rFonts w:ascii="Aptos" w:hAnsi="Aptos" w:eastAsia="Aptos"/>
          <w:b w:val="0"/>
          <w:i w:val="0"/>
          <w:color w:val="0A1628"/>
          <w:sz w:val="20"/>
        </w:rPr>
        <w:t>Actor, role, branch, and maker-checker permissions tested.</w:t>
      </w:r>
    </w:p>
    <w:p>
      <w:pPr>
        <w:pStyle w:val="ListBullet"/>
        <w:ind w:left="0"/>
      </w:pPr>
      <w:r>
        <w:rPr>
          <w:rFonts w:ascii="Aptos" w:hAnsi="Aptos" w:eastAsia="Aptos"/>
          <w:b w:val="0"/>
          <w:i w:val="0"/>
          <w:color w:val="0A1628"/>
          <w:sz w:val="20"/>
        </w:rPr>
        <w:t>Settlement opening balances reconciled.</w:t>
      </w:r>
    </w:p>
    <w:p>
      <w:pPr>
        <w:pStyle w:val="ListBullet"/>
        <w:ind w:left="0"/>
      </w:pPr>
      <w:r>
        <w:rPr>
          <w:rFonts w:ascii="Aptos" w:hAnsi="Aptos" w:eastAsia="Aptos"/>
          <w:b w:val="0"/>
          <w:i w:val="0"/>
          <w:color w:val="0A1628"/>
          <w:sz w:val="20"/>
        </w:rPr>
        <w:t>COD custody owners assigned.</w:t>
      </w:r>
    </w:p>
    <w:p>
      <w:pPr>
        <w:pStyle w:val="ListBullet"/>
        <w:ind w:left="0"/>
      </w:pPr>
      <w:r>
        <w:rPr>
          <w:rFonts w:ascii="Aptos" w:hAnsi="Aptos" w:eastAsia="Aptos"/>
          <w:b w:val="0"/>
          <w:i w:val="0"/>
          <w:color w:val="0A1628"/>
          <w:sz w:val="20"/>
        </w:rPr>
        <w:t>Partner tracking/status maps configured.</w:t>
      </w:r>
    </w:p>
    <w:p>
      <w:pPr>
        <w:pStyle w:val="ListBullet"/>
        <w:ind w:left="0"/>
      </w:pPr>
      <w:r>
        <w:rPr>
          <w:rFonts w:ascii="Aptos" w:hAnsi="Aptos" w:eastAsia="Aptos"/>
          <w:b w:val="0"/>
          <w:i w:val="0"/>
          <w:color w:val="0A1628"/>
          <w:sz w:val="20"/>
        </w:rPr>
        <w:t>POD rules configured.</w:t>
      </w:r>
    </w:p>
    <w:p>
      <w:pPr>
        <w:pStyle w:val="ListBullet"/>
        <w:ind w:left="0"/>
      </w:pPr>
      <w:r>
        <w:rPr>
          <w:rFonts w:ascii="Aptos" w:hAnsi="Aptos" w:eastAsia="Aptos"/>
          <w:b w:val="0"/>
          <w:i w:val="0"/>
          <w:color w:val="0A1628"/>
          <w:sz w:val="20"/>
        </w:rPr>
        <w:t>Missing-rate and missing-breakdown blocks tested.</w:t>
      </w:r>
    </w:p>
    <w:p>
      <w:pPr>
        <w:pStyle w:val="ListBullet"/>
        <w:ind w:left="0"/>
      </w:pPr>
      <w:r>
        <w:rPr>
          <w:rFonts w:ascii="Aptos" w:hAnsi="Aptos" w:eastAsia="Aptos"/>
          <w:b w:val="0"/>
          <w:i w:val="0"/>
          <w:color w:val="0A1628"/>
          <w:sz w:val="20"/>
        </w:rPr>
        <w:t>Finance, Operations, Branch, and Merchant UAT completed in non-production.</w:t>
      </w:r>
    </w:p>
    <w:p>
      <w:pPr>
        <w:pStyle w:val="ListBullet"/>
        <w:ind w:left="0"/>
      </w:pPr>
      <w:r>
        <w:rPr>
          <w:rFonts w:ascii="Aptos" w:hAnsi="Aptos" w:eastAsia="Aptos"/>
          <w:b w:val="0"/>
          <w:i w:val="0"/>
          <w:color w:val="0A1628"/>
          <w:sz w:val="20"/>
        </w:rPr>
        <w:t>Production bundle scanned for UAT/demo/sandbox content.</w:t>
      </w:r>
    </w:p>
    <w:p>
      <w:pPr>
        <w:pStyle w:val="ListBullet"/>
        <w:ind w:left="0"/>
      </w:pPr>
      <w:r>
        <w:rPr>
          <w:rFonts w:ascii="Aptos" w:hAnsi="Aptos" w:eastAsia="Aptos"/>
          <w:b w:val="0"/>
          <w:i w:val="0"/>
          <w:color w:val="0A1628"/>
          <w:sz w:val="20"/>
        </w:rPr>
        <w:t>Rollback scripts and backups verified.</w:t>
      </w:r>
    </w:p>
    <w:p>
      <w:pPr>
        <w:pBdr>
          <w:bottom w:val="single" w:sz="5" w:space="3" w:color="B8C4D1"/>
        </w:pBdr>
        <w:spacing w:after="100"/>
      </w:pPr>
    </w:p>
    <w:p>
      <w:pPr>
        <w:pStyle w:val="Heading1"/>
        <w:pBdr>
          <w:bottom w:val="single" w:sz="12" w:space="3" w:color="C09B30"/>
        </w:pBdr>
        <w:keepNext/>
      </w:pPr>
      <w:r>
        <w:rPr>
          <w:rFonts w:ascii="Aptos" w:hAnsi="Aptos" w:eastAsia="Aptos"/>
          <w:b w:val="0"/>
          <w:i w:val="0"/>
          <w:color w:val="0A1628"/>
          <w:sz w:val="20"/>
        </w:rPr>
        <w:t>Appendix A - Delivery Collection Method Catalogue</w:t>
      </w:r>
    </w:p>
    <w:tbl>
      <w:tblPr>
        <w:tblW w:type="pct" w:w="5000"/>
        <w:jc w:val="center"/>
        <w:tblLayout w:type="autofit"/>
        <w:tblLook w:firstColumn="1" w:firstRow="1" w:lastColumn="0" w:lastRow="0" w:noHBand="0" w:noVBand="1" w:val="04A0"/>
        <w:tblBorders>
          <w:top w:val="single" w:sz="4" w:color="B8C4D1"/>
          <w:start w:val="single" w:sz="4" w:color="B8C4D1"/>
          <w:bottom w:val="single" w:sz="4" w:color="B8C4D1"/>
          <w:end w:val="single" w:sz="4" w:color="B8C4D1"/>
          <w:insideH w:val="single" w:sz="4" w:color="B8C4D1"/>
          <w:insideV w:val="single" w:sz="4" w:color="B8C4D1"/>
        </w:tblBorders>
      </w:tblPr>
      <w:tblGrid>
        <w:gridCol w:w="5184"/>
        <w:gridCol w:w="5184"/>
      </w:tblGrid>
      <w:tr>
        <w:trPr>
          <w:tblHeader w:val="true"/>
          <w:cantSplit/>
        </w:trPr>
        <w:tc>
          <w:tcPr>
            <w:tcW w:type="dxa" w:w="5184"/>
            <w:vAlign w:val="center"/>
            <w:tcMar>
              <w:top w:w="75" w:type="dxa"/>
              <w:start w:w="80" w:type="dxa"/>
              <w:bottom w:w="75" w:type="dxa"/>
              <w:end w:w="80" w:type="dxa"/>
            </w:tcMar>
            <w:shd w:fill="17365D"/>
          </w:tcPr>
          <w:p>
            <w:pPr>
              <w:spacing w:after="0" w:line="240" w:lineRule="auto"/>
            </w:pPr>
            <w:r>
              <w:rPr>
                <w:b/>
                <w:color w:val="FFFFFF"/>
                <w:sz w:val="17"/>
              </w:rPr>
            </w:r>
            <w:r>
              <w:rPr>
                <w:rFonts w:ascii="Aptos" w:hAnsi="Aptos" w:eastAsia="Aptos"/>
                <w:b/>
                <w:i w:val="0"/>
                <w:color w:val="FFFFFF"/>
                <w:sz w:val="17"/>
              </w:rPr>
              <w:t>No.</w:t>
            </w:r>
          </w:p>
        </w:tc>
        <w:tc>
          <w:tcPr>
            <w:tcW w:type="dxa" w:w="5184"/>
            <w:vAlign w:val="center"/>
            <w:tcMar>
              <w:top w:w="75" w:type="dxa"/>
              <w:start w:w="80" w:type="dxa"/>
              <w:bottom w:w="75" w:type="dxa"/>
              <w:end w:w="80" w:type="dxa"/>
            </w:tcMar>
            <w:shd w:fill="17365D"/>
          </w:tcPr>
          <w:p>
            <w:pPr>
              <w:spacing w:after="0" w:line="240" w:lineRule="auto"/>
            </w:pPr>
            <w:r>
              <w:rPr>
                <w:b/>
                <w:color w:val="FFFFFF"/>
                <w:sz w:val="17"/>
              </w:rPr>
            </w:r>
            <w:r>
              <w:rPr>
                <w:rFonts w:ascii="Aptos" w:hAnsi="Aptos" w:eastAsia="Aptos"/>
                <w:b/>
                <w:i w:val="0"/>
                <w:color w:val="FFFFFF"/>
                <w:sz w:val="17"/>
              </w:rPr>
              <w:t>Collection method</w:t>
            </w:r>
          </w:p>
        </w:tc>
      </w:tr>
      <w:tr>
        <w:trPr>
          <w:cantSplit/>
        </w:trPr>
        <w:tc>
          <w:tcPr>
            <w:tcW w:type="dxa" w:w="5184"/>
            <w:vAlign w:val="center"/>
            <w:tcMar>
              <w:top w:w="75" w:type="dxa"/>
              <w:start w:w="80" w:type="dxa"/>
              <w:bottom w:w="75" w:type="dxa"/>
              <w:end w:w="80" w:type="dxa"/>
            </w:tcMar>
          </w:tcPr>
          <w:p>
            <w:pPr>
              <w:spacing w:after="0" w:line="240" w:lineRule="auto"/>
              <w:jc w:val="right"/>
            </w:pPr>
            <w:r>
              <w:rPr>
                <w:color w:val="0A1628"/>
                <w:sz w:val="17"/>
              </w:rPr>
            </w:r>
            <w:r>
              <w:rPr>
                <w:rFonts w:ascii="Aptos" w:hAnsi="Aptos" w:eastAsia="Aptos"/>
                <w:b w:val="0"/>
                <w:i w:val="0"/>
                <w:color w:val="0A1628"/>
                <w:sz w:val="17"/>
              </w:rPr>
              <w:t>1</w:t>
            </w:r>
          </w:p>
        </w:tc>
        <w:tc>
          <w:tcPr>
            <w:tcW w:type="dxa" w:w="5184"/>
            <w:vAlign w:val="center"/>
            <w:tcMar>
              <w:top w:w="75" w:type="dxa"/>
              <w:start w:w="80" w:type="dxa"/>
              <w:bottom w:w="75" w:type="dxa"/>
              <w:end w:w="80" w:type="dxa"/>
            </w:tcMar>
          </w:tcPr>
          <w:p>
            <w:pPr>
              <w:spacing w:after="0" w:line="240" w:lineRule="auto"/>
            </w:pPr>
            <w:r>
              <w:rPr>
                <w:color w:val="0A1628"/>
                <w:sz w:val="17"/>
              </w:rPr>
            </w:r>
            <w:r>
              <w:rPr>
                <w:rFonts w:ascii="Aptos" w:hAnsi="Aptos" w:eastAsia="Aptos"/>
                <w:b w:val="0"/>
                <w:i w:val="0"/>
                <w:color w:val="0A1628"/>
                <w:sz w:val="17"/>
              </w:rPr>
              <w:t>Delivery Charge Only</w:t>
            </w:r>
          </w:p>
        </w:tc>
      </w:tr>
      <w:tr>
        <w:trPr>
          <w:cantSplit/>
        </w:trPr>
        <w:tc>
          <w:tcPr>
            <w:tcW w:type="dxa" w:w="5184"/>
            <w:vAlign w:val="center"/>
            <w:tcMar>
              <w:top w:w="75" w:type="dxa"/>
              <w:start w:w="80" w:type="dxa"/>
              <w:bottom w:w="75" w:type="dxa"/>
              <w:end w:w="80" w:type="dxa"/>
            </w:tcMar>
            <w:shd w:fill="F7F9FC"/>
          </w:tcPr>
          <w:p>
            <w:pPr>
              <w:spacing w:after="0" w:line="240" w:lineRule="auto"/>
              <w:jc w:val="right"/>
            </w:pPr>
            <w:r>
              <w:rPr>
                <w:color w:val="0A1628"/>
                <w:sz w:val="17"/>
              </w:rPr>
            </w:r>
            <w:r>
              <w:rPr>
                <w:rFonts w:ascii="Aptos" w:hAnsi="Aptos" w:eastAsia="Aptos"/>
                <w:b w:val="0"/>
                <w:i w:val="0"/>
                <w:color w:val="0A1628"/>
                <w:sz w:val="17"/>
              </w:rPr>
              <w:t>2</w:t>
            </w:r>
          </w:p>
        </w:tc>
        <w:tc>
          <w:tcPr>
            <w:tcW w:type="dxa" w:w="5184"/>
            <w:vAlign w:val="center"/>
            <w:tcMar>
              <w:top w:w="75" w:type="dxa"/>
              <w:start w:w="80" w:type="dxa"/>
              <w:bottom w:w="75" w:type="dxa"/>
              <w:end w:w="80" w:type="dxa"/>
            </w:tcMar>
            <w:shd w:fill="F7F9FC"/>
          </w:tcPr>
          <w:p>
            <w:pPr>
              <w:spacing w:after="0" w:line="240" w:lineRule="auto"/>
            </w:pPr>
            <w:r>
              <w:rPr>
                <w:color w:val="0A1628"/>
                <w:sz w:val="17"/>
              </w:rPr>
            </w:r>
            <w:r>
              <w:rPr>
                <w:rFonts w:ascii="Aptos" w:hAnsi="Aptos" w:eastAsia="Aptos"/>
                <w:b w:val="0"/>
                <w:i w:val="0"/>
                <w:color w:val="0A1628"/>
                <w:sz w:val="17"/>
              </w:rPr>
              <w:t>Delivery Charge + Extra Weight</w:t>
            </w:r>
          </w:p>
        </w:tc>
      </w:tr>
      <w:tr>
        <w:trPr>
          <w:cantSplit/>
        </w:trPr>
        <w:tc>
          <w:tcPr>
            <w:tcW w:type="dxa" w:w="5184"/>
            <w:vAlign w:val="center"/>
            <w:tcMar>
              <w:top w:w="75" w:type="dxa"/>
              <w:start w:w="80" w:type="dxa"/>
              <w:bottom w:w="75" w:type="dxa"/>
              <w:end w:w="80" w:type="dxa"/>
            </w:tcMar>
          </w:tcPr>
          <w:p>
            <w:pPr>
              <w:spacing w:after="0" w:line="240" w:lineRule="auto"/>
              <w:jc w:val="right"/>
            </w:pPr>
            <w:r>
              <w:rPr>
                <w:color w:val="0A1628"/>
                <w:sz w:val="17"/>
              </w:rPr>
            </w:r>
            <w:r>
              <w:rPr>
                <w:rFonts w:ascii="Aptos" w:hAnsi="Aptos" w:eastAsia="Aptos"/>
                <w:b w:val="0"/>
                <w:i w:val="0"/>
                <w:color w:val="0A1628"/>
                <w:sz w:val="17"/>
              </w:rPr>
              <w:t>3</w:t>
            </w:r>
          </w:p>
        </w:tc>
        <w:tc>
          <w:tcPr>
            <w:tcW w:type="dxa" w:w="5184"/>
            <w:vAlign w:val="center"/>
            <w:tcMar>
              <w:top w:w="75" w:type="dxa"/>
              <w:start w:w="80" w:type="dxa"/>
              <w:bottom w:w="75" w:type="dxa"/>
              <w:end w:w="80" w:type="dxa"/>
            </w:tcMar>
          </w:tcPr>
          <w:p>
            <w:pPr>
              <w:spacing w:after="0" w:line="240" w:lineRule="auto"/>
            </w:pPr>
            <w:r>
              <w:rPr>
                <w:color w:val="0A1628"/>
                <w:sz w:val="17"/>
              </w:rPr>
            </w:r>
            <w:r>
              <w:rPr>
                <w:rFonts w:ascii="Aptos" w:hAnsi="Aptos" w:eastAsia="Aptos"/>
                <w:b w:val="0"/>
                <w:i w:val="0"/>
                <w:color w:val="0A1628"/>
                <w:sz w:val="17"/>
              </w:rPr>
              <w:t>Delivery Charge + Extra Volume</w:t>
            </w:r>
          </w:p>
        </w:tc>
      </w:tr>
      <w:tr>
        <w:trPr>
          <w:cantSplit/>
        </w:trPr>
        <w:tc>
          <w:tcPr>
            <w:tcW w:type="dxa" w:w="5184"/>
            <w:vAlign w:val="center"/>
            <w:tcMar>
              <w:top w:w="75" w:type="dxa"/>
              <w:start w:w="80" w:type="dxa"/>
              <w:bottom w:w="75" w:type="dxa"/>
              <w:end w:w="80" w:type="dxa"/>
            </w:tcMar>
            <w:shd w:fill="F7F9FC"/>
          </w:tcPr>
          <w:p>
            <w:pPr>
              <w:spacing w:after="0" w:line="240" w:lineRule="auto"/>
              <w:jc w:val="right"/>
            </w:pPr>
            <w:r>
              <w:rPr>
                <w:color w:val="0A1628"/>
                <w:sz w:val="17"/>
              </w:rPr>
            </w:r>
            <w:r>
              <w:rPr>
                <w:rFonts w:ascii="Aptos" w:hAnsi="Aptos" w:eastAsia="Aptos"/>
                <w:b w:val="0"/>
                <w:i w:val="0"/>
                <w:color w:val="0A1628"/>
                <w:sz w:val="17"/>
              </w:rPr>
              <w:t>4</w:t>
            </w:r>
          </w:p>
        </w:tc>
        <w:tc>
          <w:tcPr>
            <w:tcW w:type="dxa" w:w="5184"/>
            <w:vAlign w:val="center"/>
            <w:tcMar>
              <w:top w:w="75" w:type="dxa"/>
              <w:start w:w="80" w:type="dxa"/>
              <w:bottom w:w="75" w:type="dxa"/>
              <w:end w:w="80" w:type="dxa"/>
            </w:tcMar>
            <w:shd w:fill="F7F9FC"/>
          </w:tcPr>
          <w:p>
            <w:pPr>
              <w:spacing w:after="0" w:line="240" w:lineRule="auto"/>
            </w:pPr>
            <w:r>
              <w:rPr>
                <w:color w:val="0A1628"/>
                <w:sz w:val="17"/>
              </w:rPr>
            </w:r>
            <w:r>
              <w:rPr>
                <w:rFonts w:ascii="Aptos" w:hAnsi="Aptos" w:eastAsia="Aptos"/>
                <w:b w:val="0"/>
                <w:i w:val="0"/>
                <w:color w:val="0A1628"/>
                <w:sz w:val="17"/>
              </w:rPr>
              <w:t>Delivery Charge + Extra Weight/Volume</w:t>
            </w:r>
          </w:p>
        </w:tc>
      </w:tr>
      <w:tr>
        <w:trPr>
          <w:cantSplit/>
        </w:trPr>
        <w:tc>
          <w:tcPr>
            <w:tcW w:type="dxa" w:w="5184"/>
            <w:vAlign w:val="center"/>
            <w:tcMar>
              <w:top w:w="75" w:type="dxa"/>
              <w:start w:w="80" w:type="dxa"/>
              <w:bottom w:w="75" w:type="dxa"/>
              <w:end w:w="80" w:type="dxa"/>
            </w:tcMar>
          </w:tcPr>
          <w:p>
            <w:pPr>
              <w:spacing w:after="0" w:line="240" w:lineRule="auto"/>
              <w:jc w:val="right"/>
            </w:pPr>
            <w:r>
              <w:rPr>
                <w:color w:val="0A1628"/>
                <w:sz w:val="17"/>
              </w:rPr>
            </w:r>
            <w:r>
              <w:rPr>
                <w:rFonts w:ascii="Aptos" w:hAnsi="Aptos" w:eastAsia="Aptos"/>
                <w:b w:val="0"/>
                <w:i w:val="0"/>
                <w:color w:val="0A1628"/>
                <w:sz w:val="17"/>
              </w:rPr>
              <w:t>5</w:t>
            </w:r>
          </w:p>
        </w:tc>
        <w:tc>
          <w:tcPr>
            <w:tcW w:type="dxa" w:w="5184"/>
            <w:vAlign w:val="center"/>
            <w:tcMar>
              <w:top w:w="75" w:type="dxa"/>
              <w:start w:w="80" w:type="dxa"/>
              <w:bottom w:w="75" w:type="dxa"/>
              <w:end w:w="80" w:type="dxa"/>
            </w:tcMar>
          </w:tcPr>
          <w:p>
            <w:pPr>
              <w:spacing w:after="0" w:line="240" w:lineRule="auto"/>
            </w:pPr>
            <w:r>
              <w:rPr>
                <w:color w:val="0A1628"/>
                <w:sz w:val="17"/>
              </w:rPr>
            </w:r>
            <w:r>
              <w:rPr>
                <w:rFonts w:ascii="Aptos" w:hAnsi="Aptos" w:eastAsia="Aptos"/>
                <w:b w:val="0"/>
                <w:i w:val="0"/>
                <w:color w:val="0A1628"/>
                <w:sz w:val="17"/>
              </w:rPr>
              <w:t>COD Item Price Only</w:t>
            </w:r>
          </w:p>
        </w:tc>
      </w:tr>
      <w:tr>
        <w:trPr>
          <w:cantSplit/>
        </w:trPr>
        <w:tc>
          <w:tcPr>
            <w:tcW w:type="dxa" w:w="5184"/>
            <w:vAlign w:val="center"/>
            <w:tcMar>
              <w:top w:w="75" w:type="dxa"/>
              <w:start w:w="80" w:type="dxa"/>
              <w:bottom w:w="75" w:type="dxa"/>
              <w:end w:w="80" w:type="dxa"/>
            </w:tcMar>
            <w:shd w:fill="F7F9FC"/>
          </w:tcPr>
          <w:p>
            <w:pPr>
              <w:spacing w:after="0" w:line="240" w:lineRule="auto"/>
              <w:jc w:val="right"/>
            </w:pPr>
            <w:r>
              <w:rPr>
                <w:color w:val="0A1628"/>
                <w:sz w:val="17"/>
              </w:rPr>
            </w:r>
            <w:r>
              <w:rPr>
                <w:rFonts w:ascii="Aptos" w:hAnsi="Aptos" w:eastAsia="Aptos"/>
                <w:b w:val="0"/>
                <w:i w:val="0"/>
                <w:color w:val="0A1628"/>
                <w:sz w:val="17"/>
              </w:rPr>
              <w:t>6</w:t>
            </w:r>
          </w:p>
        </w:tc>
        <w:tc>
          <w:tcPr>
            <w:tcW w:type="dxa" w:w="5184"/>
            <w:vAlign w:val="center"/>
            <w:tcMar>
              <w:top w:w="75" w:type="dxa"/>
              <w:start w:w="80" w:type="dxa"/>
              <w:bottom w:w="75" w:type="dxa"/>
              <w:end w:w="80" w:type="dxa"/>
            </w:tcMar>
            <w:shd w:fill="F7F9FC"/>
          </w:tcPr>
          <w:p>
            <w:pPr>
              <w:spacing w:after="0" w:line="240" w:lineRule="auto"/>
            </w:pPr>
            <w:r>
              <w:rPr>
                <w:color w:val="0A1628"/>
                <w:sz w:val="17"/>
              </w:rPr>
            </w:r>
            <w:r>
              <w:rPr>
                <w:rFonts w:ascii="Aptos" w:hAnsi="Aptos" w:eastAsia="Aptos"/>
                <w:b w:val="0"/>
                <w:i w:val="0"/>
                <w:color w:val="0A1628"/>
                <w:sz w:val="17"/>
              </w:rPr>
              <w:t>COD Item Price + Delivery Charge</w:t>
            </w:r>
          </w:p>
        </w:tc>
      </w:tr>
      <w:tr>
        <w:trPr>
          <w:cantSplit/>
        </w:trPr>
        <w:tc>
          <w:tcPr>
            <w:tcW w:type="dxa" w:w="5184"/>
            <w:vAlign w:val="center"/>
            <w:tcMar>
              <w:top w:w="75" w:type="dxa"/>
              <w:start w:w="80" w:type="dxa"/>
              <w:bottom w:w="75" w:type="dxa"/>
              <w:end w:w="80" w:type="dxa"/>
            </w:tcMar>
          </w:tcPr>
          <w:p>
            <w:pPr>
              <w:spacing w:after="0" w:line="240" w:lineRule="auto"/>
              <w:jc w:val="right"/>
            </w:pPr>
            <w:r>
              <w:rPr>
                <w:color w:val="0A1628"/>
                <w:sz w:val="17"/>
              </w:rPr>
            </w:r>
            <w:r>
              <w:rPr>
                <w:rFonts w:ascii="Aptos" w:hAnsi="Aptos" w:eastAsia="Aptos"/>
                <w:b w:val="0"/>
                <w:i w:val="0"/>
                <w:color w:val="0A1628"/>
                <w:sz w:val="17"/>
              </w:rPr>
              <w:t>7</w:t>
            </w:r>
          </w:p>
        </w:tc>
        <w:tc>
          <w:tcPr>
            <w:tcW w:type="dxa" w:w="5184"/>
            <w:vAlign w:val="center"/>
            <w:tcMar>
              <w:top w:w="75" w:type="dxa"/>
              <w:start w:w="80" w:type="dxa"/>
              <w:bottom w:w="75" w:type="dxa"/>
              <w:end w:w="80" w:type="dxa"/>
            </w:tcMar>
          </w:tcPr>
          <w:p>
            <w:pPr>
              <w:spacing w:after="0" w:line="240" w:lineRule="auto"/>
            </w:pPr>
            <w:r>
              <w:rPr>
                <w:color w:val="0A1628"/>
                <w:sz w:val="17"/>
              </w:rPr>
            </w:r>
            <w:r>
              <w:rPr>
                <w:rFonts w:ascii="Aptos" w:hAnsi="Aptos" w:eastAsia="Aptos"/>
                <w:b w:val="0"/>
                <w:i w:val="0"/>
                <w:color w:val="0A1628"/>
                <w:sz w:val="17"/>
              </w:rPr>
              <w:t>COD Item Price + Delivery + Extra KG</w:t>
            </w:r>
          </w:p>
        </w:tc>
      </w:tr>
      <w:tr>
        <w:trPr>
          <w:cantSplit/>
        </w:trPr>
        <w:tc>
          <w:tcPr>
            <w:tcW w:type="dxa" w:w="5184"/>
            <w:vAlign w:val="center"/>
            <w:tcMar>
              <w:top w:w="75" w:type="dxa"/>
              <w:start w:w="80" w:type="dxa"/>
              <w:bottom w:w="75" w:type="dxa"/>
              <w:end w:w="80" w:type="dxa"/>
            </w:tcMar>
            <w:shd w:fill="F7F9FC"/>
          </w:tcPr>
          <w:p>
            <w:pPr>
              <w:spacing w:after="0" w:line="240" w:lineRule="auto"/>
              <w:jc w:val="right"/>
            </w:pPr>
            <w:r>
              <w:rPr>
                <w:color w:val="0A1628"/>
                <w:sz w:val="17"/>
              </w:rPr>
            </w:r>
            <w:r>
              <w:rPr>
                <w:rFonts w:ascii="Aptos" w:hAnsi="Aptos" w:eastAsia="Aptos"/>
                <w:b w:val="0"/>
                <w:i w:val="0"/>
                <w:color w:val="0A1628"/>
                <w:sz w:val="17"/>
              </w:rPr>
              <w:t>8</w:t>
            </w:r>
          </w:p>
        </w:tc>
        <w:tc>
          <w:tcPr>
            <w:tcW w:type="dxa" w:w="5184"/>
            <w:vAlign w:val="center"/>
            <w:tcMar>
              <w:top w:w="75" w:type="dxa"/>
              <w:start w:w="80" w:type="dxa"/>
              <w:bottom w:w="75" w:type="dxa"/>
              <w:end w:w="80" w:type="dxa"/>
            </w:tcMar>
            <w:shd w:fill="F7F9FC"/>
          </w:tcPr>
          <w:p>
            <w:pPr>
              <w:spacing w:after="0" w:line="240" w:lineRule="auto"/>
            </w:pPr>
            <w:r>
              <w:rPr>
                <w:color w:val="0A1628"/>
                <w:sz w:val="17"/>
              </w:rPr>
            </w:r>
            <w:r>
              <w:rPr>
                <w:rFonts w:ascii="Aptos" w:hAnsi="Aptos" w:eastAsia="Aptos"/>
                <w:b w:val="0"/>
                <w:i w:val="0"/>
                <w:color w:val="0A1628"/>
                <w:sz w:val="17"/>
              </w:rPr>
              <w:t>COD Item Price + Delivery + Extra CBM</w:t>
            </w:r>
          </w:p>
        </w:tc>
      </w:tr>
      <w:tr>
        <w:trPr>
          <w:cantSplit/>
        </w:trPr>
        <w:tc>
          <w:tcPr>
            <w:tcW w:type="dxa" w:w="5184"/>
            <w:vAlign w:val="center"/>
            <w:tcMar>
              <w:top w:w="75" w:type="dxa"/>
              <w:start w:w="80" w:type="dxa"/>
              <w:bottom w:w="75" w:type="dxa"/>
              <w:end w:w="80" w:type="dxa"/>
            </w:tcMar>
          </w:tcPr>
          <w:p>
            <w:pPr>
              <w:spacing w:after="0" w:line="240" w:lineRule="auto"/>
              <w:jc w:val="right"/>
            </w:pPr>
            <w:r>
              <w:rPr>
                <w:color w:val="0A1628"/>
                <w:sz w:val="17"/>
              </w:rPr>
            </w:r>
            <w:r>
              <w:rPr>
                <w:rFonts w:ascii="Aptos" w:hAnsi="Aptos" w:eastAsia="Aptos"/>
                <w:b w:val="0"/>
                <w:i w:val="0"/>
                <w:color w:val="0A1628"/>
                <w:sz w:val="17"/>
              </w:rPr>
              <w:t>9</w:t>
            </w:r>
          </w:p>
        </w:tc>
        <w:tc>
          <w:tcPr>
            <w:tcW w:type="dxa" w:w="5184"/>
            <w:vAlign w:val="center"/>
            <w:tcMar>
              <w:top w:w="75" w:type="dxa"/>
              <w:start w:w="80" w:type="dxa"/>
              <w:bottom w:w="75" w:type="dxa"/>
              <w:end w:w="80" w:type="dxa"/>
            </w:tcMar>
          </w:tcPr>
          <w:p>
            <w:pPr>
              <w:spacing w:after="0" w:line="240" w:lineRule="auto"/>
            </w:pPr>
            <w:r>
              <w:rPr>
                <w:color w:val="0A1628"/>
                <w:sz w:val="17"/>
              </w:rPr>
            </w:r>
            <w:r>
              <w:rPr>
                <w:rFonts w:ascii="Aptos" w:hAnsi="Aptos" w:eastAsia="Aptos"/>
                <w:b w:val="0"/>
                <w:i w:val="0"/>
                <w:color w:val="0A1628"/>
                <w:sz w:val="17"/>
              </w:rPr>
              <w:t>COD Item Price + All Delivery Surcharges</w:t>
            </w:r>
          </w:p>
        </w:tc>
      </w:tr>
      <w:tr>
        <w:trPr>
          <w:cantSplit/>
        </w:trPr>
        <w:tc>
          <w:tcPr>
            <w:tcW w:type="dxa" w:w="5184"/>
            <w:vAlign w:val="center"/>
            <w:tcMar>
              <w:top w:w="75" w:type="dxa"/>
              <w:start w:w="80" w:type="dxa"/>
              <w:bottom w:w="75" w:type="dxa"/>
              <w:end w:w="80" w:type="dxa"/>
            </w:tcMar>
            <w:shd w:fill="F7F9FC"/>
          </w:tcPr>
          <w:p>
            <w:pPr>
              <w:spacing w:after="0" w:line="240" w:lineRule="auto"/>
              <w:jc w:val="right"/>
            </w:pPr>
            <w:r>
              <w:rPr>
                <w:color w:val="0A1628"/>
                <w:sz w:val="17"/>
              </w:rPr>
            </w:r>
            <w:r>
              <w:rPr>
                <w:rFonts w:ascii="Aptos" w:hAnsi="Aptos" w:eastAsia="Aptos"/>
                <w:b w:val="0"/>
                <w:i w:val="0"/>
                <w:color w:val="0A1628"/>
                <w:sz w:val="17"/>
              </w:rPr>
              <w:t>10</w:t>
            </w:r>
          </w:p>
        </w:tc>
        <w:tc>
          <w:tcPr>
            <w:tcW w:type="dxa" w:w="5184"/>
            <w:vAlign w:val="center"/>
            <w:tcMar>
              <w:top w:w="75" w:type="dxa"/>
              <w:start w:w="80" w:type="dxa"/>
              <w:bottom w:w="75" w:type="dxa"/>
              <w:end w:w="80" w:type="dxa"/>
            </w:tcMar>
            <w:shd w:fill="F7F9FC"/>
          </w:tcPr>
          <w:p>
            <w:pPr>
              <w:spacing w:after="0" w:line="240" w:lineRule="auto"/>
            </w:pPr>
            <w:r>
              <w:rPr>
                <w:color w:val="0A1628"/>
                <w:sz w:val="17"/>
              </w:rPr>
            </w:r>
            <w:r>
              <w:rPr>
                <w:rFonts w:ascii="Aptos" w:hAnsi="Aptos" w:eastAsia="Aptos"/>
                <w:b w:val="0"/>
                <w:i w:val="0"/>
                <w:color w:val="0A1628"/>
                <w:sz w:val="17"/>
              </w:rPr>
              <w:t>Fixed Total Amount, Delivery Included</w:t>
            </w:r>
          </w:p>
        </w:tc>
      </w:tr>
      <w:tr>
        <w:trPr>
          <w:cantSplit/>
        </w:trPr>
        <w:tc>
          <w:tcPr>
            <w:tcW w:type="dxa" w:w="5184"/>
            <w:vAlign w:val="center"/>
            <w:tcMar>
              <w:top w:w="75" w:type="dxa"/>
              <w:start w:w="80" w:type="dxa"/>
              <w:bottom w:w="75" w:type="dxa"/>
              <w:end w:w="80" w:type="dxa"/>
            </w:tcMar>
          </w:tcPr>
          <w:p>
            <w:pPr>
              <w:spacing w:after="0" w:line="240" w:lineRule="auto"/>
              <w:jc w:val="right"/>
            </w:pPr>
            <w:r>
              <w:rPr>
                <w:color w:val="0A1628"/>
                <w:sz w:val="17"/>
              </w:rPr>
            </w:r>
            <w:r>
              <w:rPr>
                <w:rFonts w:ascii="Aptos" w:hAnsi="Aptos" w:eastAsia="Aptos"/>
                <w:b w:val="0"/>
                <w:i w:val="0"/>
                <w:color w:val="0A1628"/>
                <w:sz w:val="17"/>
              </w:rPr>
              <w:t>11</w:t>
            </w:r>
          </w:p>
        </w:tc>
        <w:tc>
          <w:tcPr>
            <w:tcW w:type="dxa" w:w="5184"/>
            <w:vAlign w:val="center"/>
            <w:tcMar>
              <w:top w:w="75" w:type="dxa"/>
              <w:start w:w="80" w:type="dxa"/>
              <w:bottom w:w="75" w:type="dxa"/>
              <w:end w:w="80" w:type="dxa"/>
            </w:tcMar>
          </w:tcPr>
          <w:p>
            <w:pPr>
              <w:spacing w:after="0" w:line="240" w:lineRule="auto"/>
            </w:pPr>
            <w:r>
              <w:rPr>
                <w:color w:val="0A1628"/>
                <w:sz w:val="17"/>
              </w:rPr>
            </w:r>
            <w:r>
              <w:rPr>
                <w:rFonts w:ascii="Aptos" w:hAnsi="Aptos" w:eastAsia="Aptos"/>
                <w:b w:val="0"/>
                <w:i w:val="0"/>
                <w:color w:val="0A1628"/>
                <w:sz w:val="17"/>
              </w:rPr>
              <w:t>Fixed Total Amount, Delivery Excluded</w:t>
            </w:r>
          </w:p>
        </w:tc>
      </w:tr>
      <w:tr>
        <w:trPr>
          <w:cantSplit/>
        </w:trPr>
        <w:tc>
          <w:tcPr>
            <w:tcW w:type="dxa" w:w="5184"/>
            <w:vAlign w:val="center"/>
            <w:tcMar>
              <w:top w:w="75" w:type="dxa"/>
              <w:start w:w="80" w:type="dxa"/>
              <w:bottom w:w="75" w:type="dxa"/>
              <w:end w:w="80" w:type="dxa"/>
            </w:tcMar>
            <w:shd w:fill="F7F9FC"/>
          </w:tcPr>
          <w:p>
            <w:pPr>
              <w:spacing w:after="0" w:line="240" w:lineRule="auto"/>
              <w:jc w:val="right"/>
            </w:pPr>
            <w:r>
              <w:rPr>
                <w:color w:val="0A1628"/>
                <w:sz w:val="17"/>
              </w:rPr>
            </w:r>
            <w:r>
              <w:rPr>
                <w:rFonts w:ascii="Aptos" w:hAnsi="Aptos" w:eastAsia="Aptos"/>
                <w:b w:val="0"/>
                <w:i w:val="0"/>
                <w:color w:val="0A1628"/>
                <w:sz w:val="17"/>
              </w:rPr>
              <w:t>12</w:t>
            </w:r>
          </w:p>
        </w:tc>
        <w:tc>
          <w:tcPr>
            <w:tcW w:type="dxa" w:w="5184"/>
            <w:vAlign w:val="center"/>
            <w:tcMar>
              <w:top w:w="75" w:type="dxa"/>
              <w:start w:w="80" w:type="dxa"/>
              <w:bottom w:w="75" w:type="dxa"/>
              <w:end w:w="80" w:type="dxa"/>
            </w:tcMar>
            <w:shd w:fill="F7F9FC"/>
          </w:tcPr>
          <w:p>
            <w:pPr>
              <w:spacing w:after="0" w:line="240" w:lineRule="auto"/>
            </w:pPr>
            <w:r>
              <w:rPr>
                <w:color w:val="0A1628"/>
                <w:sz w:val="17"/>
              </w:rPr>
            </w:r>
            <w:r>
              <w:rPr>
                <w:rFonts w:ascii="Aptos" w:hAnsi="Aptos" w:eastAsia="Aptos"/>
                <w:b w:val="0"/>
                <w:i w:val="0"/>
                <w:color w:val="0A1628"/>
                <w:sz w:val="17"/>
              </w:rPr>
              <w:t>Customer-Specified Total Amount</w:t>
            </w:r>
          </w:p>
        </w:tc>
      </w:tr>
      <w:tr>
        <w:trPr>
          <w:cantSplit/>
        </w:trPr>
        <w:tc>
          <w:tcPr>
            <w:tcW w:type="dxa" w:w="5184"/>
            <w:vAlign w:val="center"/>
            <w:tcMar>
              <w:top w:w="75" w:type="dxa"/>
              <w:start w:w="80" w:type="dxa"/>
              <w:bottom w:w="75" w:type="dxa"/>
              <w:end w:w="80" w:type="dxa"/>
            </w:tcMar>
          </w:tcPr>
          <w:p>
            <w:pPr>
              <w:spacing w:after="0" w:line="240" w:lineRule="auto"/>
              <w:jc w:val="right"/>
            </w:pPr>
            <w:r>
              <w:rPr>
                <w:color w:val="0A1628"/>
                <w:sz w:val="17"/>
              </w:rPr>
            </w:r>
            <w:r>
              <w:rPr>
                <w:rFonts w:ascii="Aptos" w:hAnsi="Aptos" w:eastAsia="Aptos"/>
                <w:b w:val="0"/>
                <w:i w:val="0"/>
                <w:color w:val="0A1628"/>
                <w:sz w:val="17"/>
              </w:rPr>
              <w:t>13</w:t>
            </w:r>
          </w:p>
        </w:tc>
        <w:tc>
          <w:tcPr>
            <w:tcW w:type="dxa" w:w="5184"/>
            <w:vAlign w:val="center"/>
            <w:tcMar>
              <w:top w:w="75" w:type="dxa"/>
              <w:start w:w="80" w:type="dxa"/>
              <w:bottom w:w="75" w:type="dxa"/>
              <w:end w:w="80" w:type="dxa"/>
            </w:tcMar>
          </w:tcPr>
          <w:p>
            <w:pPr>
              <w:spacing w:after="0" w:line="240" w:lineRule="auto"/>
            </w:pPr>
            <w:r>
              <w:rPr>
                <w:color w:val="0A1628"/>
                <w:sz w:val="17"/>
              </w:rPr>
            </w:r>
            <w:r>
              <w:rPr>
                <w:rFonts w:ascii="Aptos" w:hAnsi="Aptos" w:eastAsia="Aptos"/>
                <w:b w:val="0"/>
                <w:i w:val="0"/>
                <w:color w:val="0A1628"/>
                <w:sz w:val="17"/>
              </w:rPr>
              <w:t>Partial Prepayment + Balance COD</w:t>
            </w:r>
          </w:p>
        </w:tc>
      </w:tr>
      <w:tr>
        <w:trPr>
          <w:cantSplit/>
        </w:trPr>
        <w:tc>
          <w:tcPr>
            <w:tcW w:type="dxa" w:w="5184"/>
            <w:vAlign w:val="center"/>
            <w:tcMar>
              <w:top w:w="75" w:type="dxa"/>
              <w:start w:w="80" w:type="dxa"/>
              <w:bottom w:w="75" w:type="dxa"/>
              <w:end w:w="80" w:type="dxa"/>
            </w:tcMar>
            <w:shd w:fill="F7F9FC"/>
          </w:tcPr>
          <w:p>
            <w:pPr>
              <w:spacing w:after="0" w:line="240" w:lineRule="auto"/>
              <w:jc w:val="right"/>
            </w:pPr>
            <w:r>
              <w:rPr>
                <w:color w:val="0A1628"/>
                <w:sz w:val="17"/>
              </w:rPr>
            </w:r>
            <w:r>
              <w:rPr>
                <w:rFonts w:ascii="Aptos" w:hAnsi="Aptos" w:eastAsia="Aptos"/>
                <w:b w:val="0"/>
                <w:i w:val="0"/>
                <w:color w:val="0A1628"/>
                <w:sz w:val="17"/>
              </w:rPr>
              <w:t>14</w:t>
            </w:r>
          </w:p>
        </w:tc>
        <w:tc>
          <w:tcPr>
            <w:tcW w:type="dxa" w:w="5184"/>
            <w:vAlign w:val="center"/>
            <w:tcMar>
              <w:top w:w="75" w:type="dxa"/>
              <w:start w:w="80" w:type="dxa"/>
              <w:bottom w:w="75" w:type="dxa"/>
              <w:end w:w="80" w:type="dxa"/>
            </w:tcMar>
            <w:shd w:fill="F7F9FC"/>
          </w:tcPr>
          <w:p>
            <w:pPr>
              <w:spacing w:after="0" w:line="240" w:lineRule="auto"/>
            </w:pPr>
            <w:r>
              <w:rPr>
                <w:color w:val="0A1628"/>
                <w:sz w:val="17"/>
              </w:rPr>
            </w:r>
            <w:r>
              <w:rPr>
                <w:rFonts w:ascii="Aptos" w:hAnsi="Aptos" w:eastAsia="Aptos"/>
                <w:b w:val="0"/>
                <w:i w:val="0"/>
                <w:color w:val="0A1628"/>
                <w:sz w:val="17"/>
              </w:rPr>
              <w:t>Deposit Collection</w:t>
            </w:r>
          </w:p>
        </w:tc>
      </w:tr>
      <w:tr>
        <w:trPr>
          <w:cantSplit/>
        </w:trPr>
        <w:tc>
          <w:tcPr>
            <w:tcW w:type="dxa" w:w="5184"/>
            <w:vAlign w:val="center"/>
            <w:tcMar>
              <w:top w:w="75" w:type="dxa"/>
              <w:start w:w="80" w:type="dxa"/>
              <w:bottom w:w="75" w:type="dxa"/>
              <w:end w:w="80" w:type="dxa"/>
            </w:tcMar>
          </w:tcPr>
          <w:p>
            <w:pPr>
              <w:spacing w:after="0" w:line="240" w:lineRule="auto"/>
              <w:jc w:val="right"/>
            </w:pPr>
            <w:r>
              <w:rPr>
                <w:color w:val="0A1628"/>
                <w:sz w:val="17"/>
              </w:rPr>
            </w:r>
            <w:r>
              <w:rPr>
                <w:rFonts w:ascii="Aptos" w:hAnsi="Aptos" w:eastAsia="Aptos"/>
                <w:b w:val="0"/>
                <w:i w:val="0"/>
                <w:color w:val="0A1628"/>
                <w:sz w:val="17"/>
              </w:rPr>
              <w:t>15</w:t>
            </w:r>
          </w:p>
        </w:tc>
        <w:tc>
          <w:tcPr>
            <w:tcW w:type="dxa" w:w="5184"/>
            <w:vAlign w:val="center"/>
            <w:tcMar>
              <w:top w:w="75" w:type="dxa"/>
              <w:start w:w="80" w:type="dxa"/>
              <w:bottom w:w="75" w:type="dxa"/>
              <w:end w:w="80" w:type="dxa"/>
            </w:tcMar>
          </w:tcPr>
          <w:p>
            <w:pPr>
              <w:spacing w:after="0" w:line="240" w:lineRule="auto"/>
            </w:pPr>
            <w:r>
              <w:rPr>
                <w:color w:val="0A1628"/>
                <w:sz w:val="17"/>
              </w:rPr>
            </w:r>
            <w:r>
              <w:rPr>
                <w:rFonts w:ascii="Aptos" w:hAnsi="Aptos" w:eastAsia="Aptos"/>
                <w:b w:val="0"/>
                <w:i w:val="0"/>
                <w:color w:val="0A1628"/>
                <w:sz w:val="17"/>
              </w:rPr>
              <w:t>Remaining Item Balance Only</w:t>
            </w:r>
          </w:p>
        </w:tc>
      </w:tr>
      <w:tr>
        <w:trPr>
          <w:cantSplit/>
        </w:trPr>
        <w:tc>
          <w:tcPr>
            <w:tcW w:type="dxa" w:w="5184"/>
            <w:vAlign w:val="center"/>
            <w:tcMar>
              <w:top w:w="75" w:type="dxa"/>
              <w:start w:w="80" w:type="dxa"/>
              <w:bottom w:w="75" w:type="dxa"/>
              <w:end w:w="80" w:type="dxa"/>
            </w:tcMar>
            <w:shd w:fill="F7F9FC"/>
          </w:tcPr>
          <w:p>
            <w:pPr>
              <w:spacing w:after="0" w:line="240" w:lineRule="auto"/>
              <w:jc w:val="right"/>
            </w:pPr>
            <w:r>
              <w:rPr>
                <w:color w:val="0A1628"/>
                <w:sz w:val="17"/>
              </w:rPr>
            </w:r>
            <w:r>
              <w:rPr>
                <w:rFonts w:ascii="Aptos" w:hAnsi="Aptos" w:eastAsia="Aptos"/>
                <w:b w:val="0"/>
                <w:i w:val="0"/>
                <w:color w:val="0A1628"/>
                <w:sz w:val="17"/>
              </w:rPr>
              <w:t>16</w:t>
            </w:r>
          </w:p>
        </w:tc>
        <w:tc>
          <w:tcPr>
            <w:tcW w:type="dxa" w:w="5184"/>
            <w:vAlign w:val="center"/>
            <w:tcMar>
              <w:top w:w="75" w:type="dxa"/>
              <w:start w:w="80" w:type="dxa"/>
              <w:bottom w:w="75" w:type="dxa"/>
              <w:end w:w="80" w:type="dxa"/>
            </w:tcMar>
            <w:shd w:fill="F7F9FC"/>
          </w:tcPr>
          <w:p>
            <w:pPr>
              <w:spacing w:after="0" w:line="240" w:lineRule="auto"/>
            </w:pPr>
            <w:r>
              <w:rPr>
                <w:color w:val="0A1628"/>
                <w:sz w:val="17"/>
              </w:rPr>
            </w:r>
            <w:r>
              <w:rPr>
                <w:rFonts w:ascii="Aptos" w:hAnsi="Aptos" w:eastAsia="Aptos"/>
                <w:b w:val="0"/>
                <w:i w:val="0"/>
                <w:color w:val="0A1628"/>
                <w:sz w:val="17"/>
              </w:rPr>
              <w:t>Remaining Balance + Delivery</w:t>
            </w:r>
          </w:p>
        </w:tc>
      </w:tr>
      <w:tr>
        <w:trPr>
          <w:cantSplit/>
        </w:trPr>
        <w:tc>
          <w:tcPr>
            <w:tcW w:type="dxa" w:w="5184"/>
            <w:vAlign w:val="center"/>
            <w:tcMar>
              <w:top w:w="75" w:type="dxa"/>
              <w:start w:w="80" w:type="dxa"/>
              <w:bottom w:w="75" w:type="dxa"/>
              <w:end w:w="80" w:type="dxa"/>
            </w:tcMar>
          </w:tcPr>
          <w:p>
            <w:pPr>
              <w:spacing w:after="0" w:line="240" w:lineRule="auto"/>
              <w:jc w:val="right"/>
            </w:pPr>
            <w:r>
              <w:rPr>
                <w:color w:val="0A1628"/>
                <w:sz w:val="17"/>
              </w:rPr>
            </w:r>
            <w:r>
              <w:rPr>
                <w:rFonts w:ascii="Aptos" w:hAnsi="Aptos" w:eastAsia="Aptos"/>
                <w:b w:val="0"/>
                <w:i w:val="0"/>
                <w:color w:val="0A1628"/>
                <w:sz w:val="17"/>
              </w:rPr>
              <w:t>17</w:t>
            </w:r>
          </w:p>
        </w:tc>
        <w:tc>
          <w:tcPr>
            <w:tcW w:type="dxa" w:w="5184"/>
            <w:vAlign w:val="center"/>
            <w:tcMar>
              <w:top w:w="75" w:type="dxa"/>
              <w:start w:w="80" w:type="dxa"/>
              <w:bottom w:w="75" w:type="dxa"/>
              <w:end w:w="80" w:type="dxa"/>
            </w:tcMar>
          </w:tcPr>
          <w:p>
            <w:pPr>
              <w:spacing w:after="0" w:line="240" w:lineRule="auto"/>
            </w:pPr>
            <w:r>
              <w:rPr>
                <w:color w:val="0A1628"/>
                <w:sz w:val="17"/>
              </w:rPr>
            </w:r>
            <w:r>
              <w:rPr>
                <w:rFonts w:ascii="Aptos" w:hAnsi="Aptos" w:eastAsia="Aptos"/>
                <w:b w:val="0"/>
                <w:i w:val="0"/>
                <w:color w:val="0A1628"/>
                <w:sz w:val="17"/>
              </w:rPr>
              <w:t>Remaining Balance + Delivery + Surcharges</w:t>
            </w:r>
          </w:p>
        </w:tc>
      </w:tr>
      <w:tr>
        <w:trPr>
          <w:cantSplit/>
        </w:trPr>
        <w:tc>
          <w:tcPr>
            <w:tcW w:type="dxa" w:w="5184"/>
            <w:vAlign w:val="center"/>
            <w:tcMar>
              <w:top w:w="75" w:type="dxa"/>
              <w:start w:w="80" w:type="dxa"/>
              <w:bottom w:w="75" w:type="dxa"/>
              <w:end w:w="80" w:type="dxa"/>
            </w:tcMar>
            <w:shd w:fill="F7F9FC"/>
          </w:tcPr>
          <w:p>
            <w:pPr>
              <w:spacing w:after="0" w:line="240" w:lineRule="auto"/>
              <w:jc w:val="right"/>
            </w:pPr>
            <w:r>
              <w:rPr>
                <w:color w:val="0A1628"/>
                <w:sz w:val="17"/>
              </w:rPr>
            </w:r>
            <w:r>
              <w:rPr>
                <w:rFonts w:ascii="Aptos" w:hAnsi="Aptos" w:eastAsia="Aptos"/>
                <w:b w:val="0"/>
                <w:i w:val="0"/>
                <w:color w:val="0A1628"/>
                <w:sz w:val="17"/>
              </w:rPr>
              <w:t>18</w:t>
            </w:r>
          </w:p>
        </w:tc>
        <w:tc>
          <w:tcPr>
            <w:tcW w:type="dxa" w:w="5184"/>
            <w:vAlign w:val="center"/>
            <w:tcMar>
              <w:top w:w="75" w:type="dxa"/>
              <w:start w:w="80" w:type="dxa"/>
              <w:bottom w:w="75" w:type="dxa"/>
              <w:end w:w="80" w:type="dxa"/>
            </w:tcMar>
            <w:shd w:fill="F7F9FC"/>
          </w:tcPr>
          <w:p>
            <w:pPr>
              <w:spacing w:after="0" w:line="240" w:lineRule="auto"/>
            </w:pPr>
            <w:r>
              <w:rPr>
                <w:color w:val="0A1628"/>
                <w:sz w:val="17"/>
              </w:rPr>
            </w:r>
            <w:r>
              <w:rPr>
                <w:rFonts w:ascii="Aptos" w:hAnsi="Aptos" w:eastAsia="Aptos"/>
                <w:b w:val="0"/>
                <w:i w:val="0"/>
                <w:color w:val="0A1628"/>
                <w:sz w:val="17"/>
              </w:rPr>
              <w:t>Merchant Pays Delivery</w:t>
            </w:r>
          </w:p>
        </w:tc>
      </w:tr>
      <w:tr>
        <w:trPr>
          <w:cantSplit/>
        </w:trPr>
        <w:tc>
          <w:tcPr>
            <w:tcW w:type="dxa" w:w="5184"/>
            <w:vAlign w:val="center"/>
            <w:tcMar>
              <w:top w:w="75" w:type="dxa"/>
              <w:start w:w="80" w:type="dxa"/>
              <w:bottom w:w="75" w:type="dxa"/>
              <w:end w:w="80" w:type="dxa"/>
            </w:tcMar>
          </w:tcPr>
          <w:p>
            <w:pPr>
              <w:spacing w:after="0" w:line="240" w:lineRule="auto"/>
              <w:jc w:val="right"/>
            </w:pPr>
            <w:r>
              <w:rPr>
                <w:color w:val="0A1628"/>
                <w:sz w:val="17"/>
              </w:rPr>
            </w:r>
            <w:r>
              <w:rPr>
                <w:rFonts w:ascii="Aptos" w:hAnsi="Aptos" w:eastAsia="Aptos"/>
                <w:b w:val="0"/>
                <w:i w:val="0"/>
                <w:color w:val="0A1628"/>
                <w:sz w:val="17"/>
              </w:rPr>
              <w:t>19</w:t>
            </w:r>
          </w:p>
        </w:tc>
        <w:tc>
          <w:tcPr>
            <w:tcW w:type="dxa" w:w="5184"/>
            <w:vAlign w:val="center"/>
            <w:tcMar>
              <w:top w:w="75" w:type="dxa"/>
              <w:start w:w="80" w:type="dxa"/>
              <w:bottom w:w="75" w:type="dxa"/>
              <w:end w:w="80" w:type="dxa"/>
            </w:tcMar>
          </w:tcPr>
          <w:p>
            <w:pPr>
              <w:spacing w:after="0" w:line="240" w:lineRule="auto"/>
            </w:pPr>
            <w:r>
              <w:rPr>
                <w:color w:val="0A1628"/>
                <w:sz w:val="17"/>
              </w:rPr>
            </w:r>
            <w:r>
              <w:rPr>
                <w:rFonts w:ascii="Aptos" w:hAnsi="Aptos" w:eastAsia="Aptos"/>
                <w:b w:val="0"/>
                <w:i w:val="0"/>
                <w:color w:val="0A1628"/>
                <w:sz w:val="17"/>
              </w:rPr>
              <w:t>Customer Pays Delivery</w:t>
            </w:r>
          </w:p>
        </w:tc>
      </w:tr>
      <w:tr>
        <w:trPr>
          <w:cantSplit/>
        </w:trPr>
        <w:tc>
          <w:tcPr>
            <w:tcW w:type="dxa" w:w="5184"/>
            <w:vAlign w:val="center"/>
            <w:tcMar>
              <w:top w:w="75" w:type="dxa"/>
              <w:start w:w="80" w:type="dxa"/>
              <w:bottom w:w="75" w:type="dxa"/>
              <w:end w:w="80" w:type="dxa"/>
            </w:tcMar>
            <w:shd w:fill="F7F9FC"/>
          </w:tcPr>
          <w:p>
            <w:pPr>
              <w:spacing w:after="0" w:line="240" w:lineRule="auto"/>
              <w:jc w:val="right"/>
            </w:pPr>
            <w:r>
              <w:rPr>
                <w:color w:val="0A1628"/>
                <w:sz w:val="17"/>
              </w:rPr>
            </w:r>
            <w:r>
              <w:rPr>
                <w:rFonts w:ascii="Aptos" w:hAnsi="Aptos" w:eastAsia="Aptos"/>
                <w:b w:val="0"/>
                <w:i w:val="0"/>
                <w:color w:val="0A1628"/>
                <w:sz w:val="17"/>
              </w:rPr>
              <w:t>20</w:t>
            </w:r>
          </w:p>
        </w:tc>
        <w:tc>
          <w:tcPr>
            <w:tcW w:type="dxa" w:w="5184"/>
            <w:vAlign w:val="center"/>
            <w:tcMar>
              <w:top w:w="75" w:type="dxa"/>
              <w:start w:w="80" w:type="dxa"/>
              <w:bottom w:w="75" w:type="dxa"/>
              <w:end w:w="80" w:type="dxa"/>
            </w:tcMar>
            <w:shd w:fill="F7F9FC"/>
          </w:tcPr>
          <w:p>
            <w:pPr>
              <w:spacing w:after="0" w:line="240" w:lineRule="auto"/>
            </w:pPr>
            <w:r>
              <w:rPr>
                <w:color w:val="0A1628"/>
                <w:sz w:val="17"/>
              </w:rPr>
            </w:r>
            <w:r>
              <w:rPr>
                <w:rFonts w:ascii="Aptos" w:hAnsi="Aptos" w:eastAsia="Aptos"/>
                <w:b w:val="0"/>
                <w:i w:val="0"/>
                <w:color w:val="0A1628"/>
                <w:sz w:val="17"/>
              </w:rPr>
              <w:t>Shared Delivery Charge</w:t>
            </w:r>
          </w:p>
        </w:tc>
      </w:tr>
      <w:tr>
        <w:trPr>
          <w:cantSplit/>
        </w:trPr>
        <w:tc>
          <w:tcPr>
            <w:tcW w:type="dxa" w:w="5184"/>
            <w:vAlign w:val="center"/>
            <w:tcMar>
              <w:top w:w="75" w:type="dxa"/>
              <w:start w:w="80" w:type="dxa"/>
              <w:bottom w:w="75" w:type="dxa"/>
              <w:end w:w="80" w:type="dxa"/>
            </w:tcMar>
          </w:tcPr>
          <w:p>
            <w:pPr>
              <w:spacing w:after="0" w:line="240" w:lineRule="auto"/>
              <w:jc w:val="right"/>
            </w:pPr>
            <w:r>
              <w:rPr>
                <w:color w:val="0A1628"/>
                <w:sz w:val="17"/>
              </w:rPr>
            </w:r>
            <w:r>
              <w:rPr>
                <w:rFonts w:ascii="Aptos" w:hAnsi="Aptos" w:eastAsia="Aptos"/>
                <w:b w:val="0"/>
                <w:i w:val="0"/>
                <w:color w:val="0A1628"/>
                <w:sz w:val="17"/>
              </w:rPr>
              <w:t>21</w:t>
            </w:r>
          </w:p>
        </w:tc>
        <w:tc>
          <w:tcPr>
            <w:tcW w:type="dxa" w:w="5184"/>
            <w:vAlign w:val="center"/>
            <w:tcMar>
              <w:top w:w="75" w:type="dxa"/>
              <w:start w:w="80" w:type="dxa"/>
              <w:bottom w:w="75" w:type="dxa"/>
              <w:end w:w="80" w:type="dxa"/>
            </w:tcMar>
          </w:tcPr>
          <w:p>
            <w:pPr>
              <w:spacing w:after="0" w:line="240" w:lineRule="auto"/>
            </w:pPr>
            <w:r>
              <w:rPr>
                <w:color w:val="0A1628"/>
                <w:sz w:val="17"/>
              </w:rPr>
            </w:r>
            <w:r>
              <w:rPr>
                <w:rFonts w:ascii="Aptos" w:hAnsi="Aptos" w:eastAsia="Aptos"/>
                <w:b w:val="0"/>
                <w:i w:val="0"/>
                <w:color w:val="0A1628"/>
                <w:sz w:val="17"/>
              </w:rPr>
              <w:t>Free Delivery</w:t>
            </w:r>
          </w:p>
        </w:tc>
      </w:tr>
      <w:tr>
        <w:trPr>
          <w:cantSplit/>
        </w:trPr>
        <w:tc>
          <w:tcPr>
            <w:tcW w:type="dxa" w:w="5184"/>
            <w:vAlign w:val="center"/>
            <w:tcMar>
              <w:top w:w="75" w:type="dxa"/>
              <w:start w:w="80" w:type="dxa"/>
              <w:bottom w:w="75" w:type="dxa"/>
              <w:end w:w="80" w:type="dxa"/>
            </w:tcMar>
            <w:shd w:fill="F7F9FC"/>
          </w:tcPr>
          <w:p>
            <w:pPr>
              <w:spacing w:after="0" w:line="240" w:lineRule="auto"/>
              <w:jc w:val="right"/>
            </w:pPr>
            <w:r>
              <w:rPr>
                <w:color w:val="0A1628"/>
                <w:sz w:val="17"/>
              </w:rPr>
            </w:r>
            <w:r>
              <w:rPr>
                <w:rFonts w:ascii="Aptos" w:hAnsi="Aptos" w:eastAsia="Aptos"/>
                <w:b w:val="0"/>
                <w:i w:val="0"/>
                <w:color w:val="0A1628"/>
                <w:sz w:val="17"/>
              </w:rPr>
              <w:t>22</w:t>
            </w:r>
          </w:p>
        </w:tc>
        <w:tc>
          <w:tcPr>
            <w:tcW w:type="dxa" w:w="5184"/>
            <w:vAlign w:val="center"/>
            <w:tcMar>
              <w:top w:w="75" w:type="dxa"/>
              <w:start w:w="80" w:type="dxa"/>
              <w:bottom w:w="75" w:type="dxa"/>
              <w:end w:w="80" w:type="dxa"/>
            </w:tcMar>
            <w:shd w:fill="F7F9FC"/>
          </w:tcPr>
          <w:p>
            <w:pPr>
              <w:spacing w:after="0" w:line="240" w:lineRule="auto"/>
            </w:pPr>
            <w:r>
              <w:rPr>
                <w:color w:val="0A1628"/>
                <w:sz w:val="17"/>
              </w:rPr>
            </w:r>
            <w:r>
              <w:rPr>
                <w:rFonts w:ascii="Aptos" w:hAnsi="Aptos" w:eastAsia="Aptos"/>
                <w:b w:val="0"/>
                <w:i w:val="0"/>
                <w:color w:val="0A1628"/>
                <w:sz w:val="17"/>
              </w:rPr>
              <w:t>Conditional Free Delivery</w:t>
            </w:r>
          </w:p>
        </w:tc>
      </w:tr>
      <w:tr>
        <w:trPr>
          <w:cantSplit/>
        </w:trPr>
        <w:tc>
          <w:tcPr>
            <w:tcW w:type="dxa" w:w="5184"/>
            <w:vAlign w:val="center"/>
            <w:tcMar>
              <w:top w:w="75" w:type="dxa"/>
              <w:start w:w="80" w:type="dxa"/>
              <w:bottom w:w="75" w:type="dxa"/>
              <w:end w:w="80" w:type="dxa"/>
            </w:tcMar>
          </w:tcPr>
          <w:p>
            <w:pPr>
              <w:spacing w:after="0" w:line="240" w:lineRule="auto"/>
              <w:jc w:val="right"/>
            </w:pPr>
            <w:r>
              <w:rPr>
                <w:color w:val="0A1628"/>
                <w:sz w:val="17"/>
              </w:rPr>
            </w:r>
            <w:r>
              <w:rPr>
                <w:rFonts w:ascii="Aptos" w:hAnsi="Aptos" w:eastAsia="Aptos"/>
                <w:b w:val="0"/>
                <w:i w:val="0"/>
                <w:color w:val="0A1628"/>
                <w:sz w:val="17"/>
              </w:rPr>
              <w:t>23</w:t>
            </w:r>
          </w:p>
        </w:tc>
        <w:tc>
          <w:tcPr>
            <w:tcW w:type="dxa" w:w="5184"/>
            <w:vAlign w:val="center"/>
            <w:tcMar>
              <w:top w:w="75" w:type="dxa"/>
              <w:start w:w="80" w:type="dxa"/>
              <w:bottom w:w="75" w:type="dxa"/>
              <w:end w:w="80" w:type="dxa"/>
            </w:tcMar>
          </w:tcPr>
          <w:p>
            <w:pPr>
              <w:spacing w:after="0" w:line="240" w:lineRule="auto"/>
            </w:pPr>
            <w:r>
              <w:rPr>
                <w:color w:val="0A1628"/>
                <w:sz w:val="17"/>
              </w:rPr>
            </w:r>
            <w:r>
              <w:rPr>
                <w:rFonts w:ascii="Aptos" w:hAnsi="Aptos" w:eastAsia="Aptos"/>
                <w:b w:val="0"/>
                <w:i w:val="0"/>
                <w:color w:val="0A1628"/>
                <w:sz w:val="17"/>
              </w:rPr>
              <w:t>Surcharge Only</w:t>
            </w:r>
          </w:p>
        </w:tc>
      </w:tr>
      <w:tr>
        <w:trPr>
          <w:cantSplit/>
        </w:trPr>
        <w:tc>
          <w:tcPr>
            <w:tcW w:type="dxa" w:w="5184"/>
            <w:vAlign w:val="center"/>
            <w:tcMar>
              <w:top w:w="75" w:type="dxa"/>
              <w:start w:w="80" w:type="dxa"/>
              <w:bottom w:w="75" w:type="dxa"/>
              <w:end w:w="80" w:type="dxa"/>
            </w:tcMar>
            <w:shd w:fill="F7F9FC"/>
          </w:tcPr>
          <w:p>
            <w:pPr>
              <w:spacing w:after="0" w:line="240" w:lineRule="auto"/>
              <w:jc w:val="right"/>
            </w:pPr>
            <w:r>
              <w:rPr>
                <w:color w:val="0A1628"/>
                <w:sz w:val="17"/>
              </w:rPr>
            </w:r>
            <w:r>
              <w:rPr>
                <w:rFonts w:ascii="Aptos" w:hAnsi="Aptos" w:eastAsia="Aptos"/>
                <w:b w:val="0"/>
                <w:i w:val="0"/>
                <w:color w:val="0A1628"/>
                <w:sz w:val="17"/>
              </w:rPr>
              <w:t>24</w:t>
            </w:r>
          </w:p>
        </w:tc>
        <w:tc>
          <w:tcPr>
            <w:tcW w:type="dxa" w:w="5184"/>
            <w:vAlign w:val="center"/>
            <w:tcMar>
              <w:top w:w="75" w:type="dxa"/>
              <w:start w:w="80" w:type="dxa"/>
              <w:bottom w:w="75" w:type="dxa"/>
              <w:end w:w="80" w:type="dxa"/>
            </w:tcMar>
            <w:shd w:fill="F7F9FC"/>
          </w:tcPr>
          <w:p>
            <w:pPr>
              <w:spacing w:after="0" w:line="240" w:lineRule="auto"/>
            </w:pPr>
            <w:r>
              <w:rPr>
                <w:color w:val="0A1628"/>
                <w:sz w:val="17"/>
              </w:rPr>
            </w:r>
            <w:r>
              <w:rPr>
                <w:rFonts w:ascii="Aptos" w:hAnsi="Aptos" w:eastAsia="Aptos"/>
                <w:b w:val="0"/>
                <w:i w:val="0"/>
                <w:color w:val="0A1628"/>
                <w:sz w:val="17"/>
              </w:rPr>
              <w:t>Re-delivery Charge</w:t>
            </w:r>
          </w:p>
        </w:tc>
      </w:tr>
      <w:tr>
        <w:trPr>
          <w:cantSplit/>
        </w:trPr>
        <w:tc>
          <w:tcPr>
            <w:tcW w:type="dxa" w:w="5184"/>
            <w:vAlign w:val="center"/>
            <w:tcMar>
              <w:top w:w="75" w:type="dxa"/>
              <w:start w:w="80" w:type="dxa"/>
              <w:bottom w:w="75" w:type="dxa"/>
              <w:end w:w="80" w:type="dxa"/>
            </w:tcMar>
          </w:tcPr>
          <w:p>
            <w:pPr>
              <w:spacing w:after="0" w:line="240" w:lineRule="auto"/>
              <w:jc w:val="right"/>
            </w:pPr>
            <w:r>
              <w:rPr>
                <w:color w:val="0A1628"/>
                <w:sz w:val="17"/>
              </w:rPr>
            </w:r>
            <w:r>
              <w:rPr>
                <w:rFonts w:ascii="Aptos" w:hAnsi="Aptos" w:eastAsia="Aptos"/>
                <w:b w:val="0"/>
                <w:i w:val="0"/>
                <w:color w:val="0A1628"/>
                <w:sz w:val="17"/>
              </w:rPr>
              <w:t>25</w:t>
            </w:r>
          </w:p>
        </w:tc>
        <w:tc>
          <w:tcPr>
            <w:tcW w:type="dxa" w:w="5184"/>
            <w:vAlign w:val="center"/>
            <w:tcMar>
              <w:top w:w="75" w:type="dxa"/>
              <w:start w:w="80" w:type="dxa"/>
              <w:bottom w:w="75" w:type="dxa"/>
              <w:end w:w="80" w:type="dxa"/>
            </w:tcMar>
          </w:tcPr>
          <w:p>
            <w:pPr>
              <w:spacing w:after="0" w:line="240" w:lineRule="auto"/>
            </w:pPr>
            <w:r>
              <w:rPr>
                <w:color w:val="0A1628"/>
                <w:sz w:val="17"/>
              </w:rPr>
            </w:r>
            <w:r>
              <w:rPr>
                <w:rFonts w:ascii="Aptos" w:hAnsi="Aptos" w:eastAsia="Aptos"/>
                <w:b w:val="0"/>
                <w:i w:val="0"/>
                <w:color w:val="0A1628"/>
                <w:sz w:val="17"/>
              </w:rPr>
              <w:t>Return or Exchange Charge</w:t>
            </w:r>
          </w:p>
        </w:tc>
      </w:tr>
      <w:tr>
        <w:trPr>
          <w:cantSplit/>
        </w:trPr>
        <w:tc>
          <w:tcPr>
            <w:tcW w:type="dxa" w:w="5184"/>
            <w:vAlign w:val="center"/>
            <w:tcMar>
              <w:top w:w="75" w:type="dxa"/>
              <w:start w:w="80" w:type="dxa"/>
              <w:bottom w:w="75" w:type="dxa"/>
              <w:end w:w="80" w:type="dxa"/>
            </w:tcMar>
            <w:shd w:fill="F7F9FC"/>
          </w:tcPr>
          <w:p>
            <w:pPr>
              <w:spacing w:after="0" w:line="240" w:lineRule="auto"/>
              <w:jc w:val="right"/>
            </w:pPr>
            <w:r>
              <w:rPr>
                <w:color w:val="0A1628"/>
                <w:sz w:val="17"/>
              </w:rPr>
            </w:r>
            <w:r>
              <w:rPr>
                <w:rFonts w:ascii="Aptos" w:hAnsi="Aptos" w:eastAsia="Aptos"/>
                <w:b w:val="0"/>
                <w:i w:val="0"/>
                <w:color w:val="0A1628"/>
                <w:sz w:val="17"/>
              </w:rPr>
              <w:t>26</w:t>
            </w:r>
          </w:p>
        </w:tc>
        <w:tc>
          <w:tcPr>
            <w:tcW w:type="dxa" w:w="5184"/>
            <w:vAlign w:val="center"/>
            <w:tcMar>
              <w:top w:w="75" w:type="dxa"/>
              <w:start w:w="80" w:type="dxa"/>
              <w:bottom w:w="75" w:type="dxa"/>
              <w:end w:w="80" w:type="dxa"/>
            </w:tcMar>
            <w:shd w:fill="F7F9FC"/>
          </w:tcPr>
          <w:p>
            <w:pPr>
              <w:spacing w:after="0" w:line="240" w:lineRule="auto"/>
            </w:pPr>
            <w:r>
              <w:rPr>
                <w:color w:val="0A1628"/>
                <w:sz w:val="17"/>
              </w:rPr>
            </w:r>
            <w:r>
              <w:rPr>
                <w:rFonts w:ascii="Aptos" w:hAnsi="Aptos" w:eastAsia="Aptos"/>
                <w:b w:val="0"/>
                <w:i w:val="0"/>
                <w:color w:val="0A1628"/>
                <w:sz w:val="17"/>
              </w:rPr>
              <w:t>Cash COD Collection</w:t>
            </w:r>
          </w:p>
        </w:tc>
      </w:tr>
      <w:tr>
        <w:trPr>
          <w:cantSplit/>
        </w:trPr>
        <w:tc>
          <w:tcPr>
            <w:tcW w:type="dxa" w:w="5184"/>
            <w:vAlign w:val="center"/>
            <w:tcMar>
              <w:top w:w="75" w:type="dxa"/>
              <w:start w:w="80" w:type="dxa"/>
              <w:bottom w:w="75" w:type="dxa"/>
              <w:end w:w="80" w:type="dxa"/>
            </w:tcMar>
          </w:tcPr>
          <w:p>
            <w:pPr>
              <w:spacing w:after="0" w:line="240" w:lineRule="auto"/>
              <w:jc w:val="right"/>
            </w:pPr>
            <w:r>
              <w:rPr>
                <w:color w:val="0A1628"/>
                <w:sz w:val="17"/>
              </w:rPr>
            </w:r>
            <w:r>
              <w:rPr>
                <w:rFonts w:ascii="Aptos" w:hAnsi="Aptos" w:eastAsia="Aptos"/>
                <w:b w:val="0"/>
                <w:i w:val="0"/>
                <w:color w:val="0A1628"/>
                <w:sz w:val="17"/>
              </w:rPr>
              <w:t>27</w:t>
            </w:r>
          </w:p>
        </w:tc>
        <w:tc>
          <w:tcPr>
            <w:tcW w:type="dxa" w:w="5184"/>
            <w:vAlign w:val="center"/>
            <w:tcMar>
              <w:top w:w="75" w:type="dxa"/>
              <w:start w:w="80" w:type="dxa"/>
              <w:bottom w:w="75" w:type="dxa"/>
              <w:end w:w="80" w:type="dxa"/>
            </w:tcMar>
          </w:tcPr>
          <w:p>
            <w:pPr>
              <w:spacing w:after="0" w:line="240" w:lineRule="auto"/>
            </w:pPr>
            <w:r>
              <w:rPr>
                <w:color w:val="0A1628"/>
                <w:sz w:val="17"/>
              </w:rPr>
            </w:r>
            <w:r>
              <w:rPr>
                <w:rFonts w:ascii="Aptos" w:hAnsi="Aptos" w:eastAsia="Aptos"/>
                <w:b w:val="0"/>
                <w:i w:val="0"/>
                <w:color w:val="0A1628"/>
                <w:sz w:val="17"/>
              </w:rPr>
              <w:t>Cashless COD Collection</w:t>
            </w:r>
          </w:p>
        </w:tc>
      </w:tr>
      <w:tr>
        <w:trPr>
          <w:cantSplit/>
        </w:trPr>
        <w:tc>
          <w:tcPr>
            <w:tcW w:type="dxa" w:w="5184"/>
            <w:vAlign w:val="center"/>
            <w:tcMar>
              <w:top w:w="75" w:type="dxa"/>
              <w:start w:w="80" w:type="dxa"/>
              <w:bottom w:w="75" w:type="dxa"/>
              <w:end w:w="80" w:type="dxa"/>
            </w:tcMar>
            <w:shd w:fill="F7F9FC"/>
          </w:tcPr>
          <w:p>
            <w:pPr>
              <w:spacing w:after="0" w:line="240" w:lineRule="auto"/>
              <w:jc w:val="right"/>
            </w:pPr>
            <w:r>
              <w:rPr>
                <w:color w:val="0A1628"/>
                <w:sz w:val="17"/>
              </w:rPr>
            </w:r>
            <w:r>
              <w:rPr>
                <w:rFonts w:ascii="Aptos" w:hAnsi="Aptos" w:eastAsia="Aptos"/>
                <w:b w:val="0"/>
                <w:i w:val="0"/>
                <w:color w:val="0A1628"/>
                <w:sz w:val="17"/>
              </w:rPr>
              <w:t>28</w:t>
            </w:r>
          </w:p>
        </w:tc>
        <w:tc>
          <w:tcPr>
            <w:tcW w:type="dxa" w:w="5184"/>
            <w:vAlign w:val="center"/>
            <w:tcMar>
              <w:top w:w="75" w:type="dxa"/>
              <w:start w:w="80" w:type="dxa"/>
              <w:bottom w:w="75" w:type="dxa"/>
              <w:end w:w="80" w:type="dxa"/>
            </w:tcMar>
            <w:shd w:fill="F7F9FC"/>
          </w:tcPr>
          <w:p>
            <w:pPr>
              <w:spacing w:after="0" w:line="240" w:lineRule="auto"/>
            </w:pPr>
            <w:r>
              <w:rPr>
                <w:color w:val="0A1628"/>
                <w:sz w:val="17"/>
              </w:rPr>
            </w:r>
            <w:r>
              <w:rPr>
                <w:rFonts w:ascii="Aptos" w:hAnsi="Aptos" w:eastAsia="Aptos"/>
                <w:b w:val="0"/>
                <w:i w:val="0"/>
                <w:color w:val="0A1628"/>
                <w:sz w:val="17"/>
              </w:rPr>
              <w:t>Pay at Pickup</w:t>
            </w:r>
          </w:p>
        </w:tc>
      </w:tr>
      <w:tr>
        <w:trPr>
          <w:cantSplit/>
        </w:trPr>
        <w:tc>
          <w:tcPr>
            <w:tcW w:type="dxa" w:w="5184"/>
            <w:vAlign w:val="center"/>
            <w:tcMar>
              <w:top w:w="75" w:type="dxa"/>
              <w:start w:w="80" w:type="dxa"/>
              <w:bottom w:w="75" w:type="dxa"/>
              <w:end w:w="80" w:type="dxa"/>
            </w:tcMar>
          </w:tcPr>
          <w:p>
            <w:pPr>
              <w:spacing w:after="0" w:line="240" w:lineRule="auto"/>
              <w:jc w:val="right"/>
            </w:pPr>
            <w:r>
              <w:rPr>
                <w:color w:val="0A1628"/>
                <w:sz w:val="17"/>
              </w:rPr>
            </w:r>
            <w:r>
              <w:rPr>
                <w:rFonts w:ascii="Aptos" w:hAnsi="Aptos" w:eastAsia="Aptos"/>
                <w:b w:val="0"/>
                <w:i w:val="0"/>
                <w:color w:val="0A1628"/>
                <w:sz w:val="17"/>
              </w:rPr>
              <w:t>29</w:t>
            </w:r>
          </w:p>
        </w:tc>
        <w:tc>
          <w:tcPr>
            <w:tcW w:type="dxa" w:w="5184"/>
            <w:vAlign w:val="center"/>
            <w:tcMar>
              <w:top w:w="75" w:type="dxa"/>
              <w:start w:w="80" w:type="dxa"/>
              <w:bottom w:w="75" w:type="dxa"/>
              <w:end w:w="80" w:type="dxa"/>
            </w:tcMar>
          </w:tcPr>
          <w:p>
            <w:pPr>
              <w:spacing w:after="0" w:line="240" w:lineRule="auto"/>
            </w:pPr>
            <w:r>
              <w:rPr>
                <w:color w:val="0A1628"/>
                <w:sz w:val="17"/>
              </w:rPr>
            </w:r>
            <w:r>
              <w:rPr>
                <w:rFonts w:ascii="Aptos" w:hAnsi="Aptos" w:eastAsia="Aptos"/>
                <w:b w:val="0"/>
                <w:i w:val="0"/>
                <w:color w:val="0A1628"/>
                <w:sz w:val="17"/>
              </w:rPr>
              <w:t>Exact Collection - No Additional Charges</w:t>
            </w:r>
          </w:p>
        </w:tc>
      </w:tr>
      <w:tr>
        <w:trPr>
          <w:cantSplit/>
        </w:trPr>
        <w:tc>
          <w:tcPr>
            <w:tcW w:type="dxa" w:w="5184"/>
            <w:vAlign w:val="center"/>
            <w:tcMar>
              <w:top w:w="75" w:type="dxa"/>
              <w:start w:w="80" w:type="dxa"/>
              <w:bottom w:w="75" w:type="dxa"/>
              <w:end w:w="80" w:type="dxa"/>
            </w:tcMar>
            <w:shd w:fill="F7F9FC"/>
          </w:tcPr>
          <w:p>
            <w:pPr>
              <w:spacing w:after="0" w:line="240" w:lineRule="auto"/>
              <w:jc w:val="right"/>
            </w:pPr>
            <w:r>
              <w:rPr>
                <w:color w:val="0A1628"/>
                <w:sz w:val="17"/>
              </w:rPr>
            </w:r>
            <w:r>
              <w:rPr>
                <w:rFonts w:ascii="Aptos" w:hAnsi="Aptos" w:eastAsia="Aptos"/>
                <w:b w:val="0"/>
                <w:i w:val="0"/>
                <w:color w:val="0A1628"/>
                <w:sz w:val="17"/>
              </w:rPr>
              <w:t>30</w:t>
            </w:r>
          </w:p>
        </w:tc>
        <w:tc>
          <w:tcPr>
            <w:tcW w:type="dxa" w:w="5184"/>
            <w:vAlign w:val="center"/>
            <w:tcMar>
              <w:top w:w="75" w:type="dxa"/>
              <w:start w:w="80" w:type="dxa"/>
              <w:bottom w:w="75" w:type="dxa"/>
              <w:end w:w="80" w:type="dxa"/>
            </w:tcMar>
            <w:shd w:fill="F7F9FC"/>
          </w:tcPr>
          <w:p>
            <w:pPr>
              <w:spacing w:after="0" w:line="240" w:lineRule="auto"/>
            </w:pPr>
            <w:r>
              <w:rPr>
                <w:color w:val="0A1628"/>
                <w:sz w:val="17"/>
              </w:rPr>
            </w:r>
            <w:r>
              <w:rPr>
                <w:rFonts w:ascii="Aptos" w:hAnsi="Aptos" w:eastAsia="Aptos"/>
                <w:b w:val="0"/>
                <w:i w:val="0"/>
                <w:color w:val="0A1628"/>
                <w:sz w:val="17"/>
              </w:rPr>
              <w:t>Exact Collection + Approved Surcharges</w:t>
            </w:r>
          </w:p>
        </w:tc>
      </w:tr>
    </w:tbl>
    <w:p>
      <w:pPr>
        <w:spacing w:after="0"/>
      </w:pPr>
    </w:p>
    <w:p>
      <w:r>
        <w:rPr>
          <w:rFonts w:ascii="Aptos" w:hAnsi="Aptos" w:eastAsia="Aptos"/>
          <w:b w:val="0"/>
          <w:i w:val="0"/>
          <w:color w:val="0A1628"/>
          <w:sz w:val="20"/>
        </w:rPr>
        <w:t>These business descriptions map into the five canonical backend amount-entry types plus explicit ownership and surcharge fields. The system should avoid creating 30 separate calculation engines.</w:t>
      </w:r>
    </w:p>
    <w:p>
      <w:pPr>
        <w:pStyle w:val="Heading1"/>
        <w:pBdr>
          <w:bottom w:val="single" w:sz="12" w:space="3" w:color="C09B30"/>
        </w:pBdr>
        <w:keepNext/>
      </w:pPr>
      <w:r>
        <w:rPr>
          <w:rFonts w:ascii="Aptos" w:hAnsi="Aptos" w:eastAsia="Aptos"/>
          <w:b w:val="0"/>
          <w:i w:val="0"/>
          <w:color w:val="0A1628"/>
          <w:sz w:val="20"/>
        </w:rPr>
        <w:t>Appendix B - Core Enums</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CustomerTier:</w:t>
              <w:br/>
              <w:t>STANDARD | ROYAL | COMMITMENT</w:t>
              <w:br/>
              <w:br/>
              <w:t>AmountEntryType:</w:t>
              <w:br/>
              <w:t>ITEM_PRICE_PLUS_DECLARED_DELIVERY</w:t>
              <w:br/>
              <w:t>TOTAL_AMOUNT_INCLUDING_DELIVERY</w:t>
              <w:br/>
              <w:t>DELIVERY_CHARGE_ONLY</w:t>
              <w:br/>
              <w:t>EXACT_COLLECTION_AMOUNT</w:t>
              <w:br/>
              <w:t>ITEM_PRICE_ONLY_DELIVERY_PAID_BY_MERCHANT</w:t>
              <w:br/>
              <w:br/>
              <w:t>SettlementDirection:</w:t>
              <w:br/>
              <w:t>CREDIT_TO_MERCHANT</w:t>
              <w:br/>
              <w:t>DEDUCT_FROM_MERCHANT</w:t>
              <w:br/>
              <w:t>NO_ADJUSTMENT</w:t>
              <w:br/>
              <w:t>BREAKDOWN_REQUIRED</w:t>
              <w:br/>
              <w:br/>
              <w:t>FulfillmentMode:</w:t>
              <w:br/>
              <w:t>BRITIUM_DIRECT</w:t>
              <w:br/>
              <w:t>BRANCH_DIRECT</w:t>
              <w:br/>
              <w:t>THIRD_PARTY_OUTSOURCED</w:t>
              <w:br/>
              <w:t>BRANCH_THIRD_PARTY</w:t>
              <w:br/>
              <w:br/>
              <w:t>PartnerCodes:</w:t>
              <w:br/>
              <w:t>DK_DELIVERY</w:t>
              <w:br/>
              <w:t>ROYAL_EXPRESS</w:t>
              <w:br/>
              <w:t>ARLU_POST</w:t>
              <w:br/>
              <w:t>NINJA_VAN</w:t>
              <w:br/>
              <w:t>SAFE_DELIVERY_SERVICES</w:t>
              <w:br/>
              <w:br/>
              <w:t>ValidationStatus:</w:t>
              <w:br/>
              <w:t>OK | REVIEW | ERROR</w:t>
            </w:r>
          </w:p>
        </w:tc>
      </w:tr>
    </w:tbl>
    <w:p>
      <w:pPr>
        <w:spacing w:after="0"/>
      </w:pPr>
    </w:p>
    <w:p>
      <w:pPr>
        <w:pStyle w:val="Heading1"/>
        <w:pBdr>
          <w:bottom w:val="single" w:sz="12" w:space="3" w:color="C09B30"/>
        </w:pBdr>
        <w:keepNext/>
      </w:pPr>
      <w:r>
        <w:rPr>
          <w:rFonts w:ascii="Aptos" w:hAnsi="Aptos" w:eastAsia="Aptos"/>
          <w:b w:val="0"/>
          <w:i w:val="0"/>
          <w:color w:val="0A1628"/>
          <w:sz w:val="20"/>
        </w:rPr>
        <w:t>Appendix C - Accounting Event Catalogue</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CUSTOMER_COLLECTION</w:t>
              <w:br/>
              <w:t>MERCHANT_ITEM_PAYABLE</w:t>
              <w:br/>
              <w:t>MERCHANT_DELIVERY_EXCESS_CREDIT</w:t>
              <w:br/>
              <w:t>MERCHANT_DELIVERY_SHORTFALL_DEBIT</w:t>
              <w:br/>
              <w:t>BRITIUM_DELIVERY_REVENUE</w:t>
              <w:br/>
              <w:t>BRANCH_GROSS_SHARE</w:t>
              <w:br/>
              <w:t>BRANCH_MANAGEMENT_FEE</w:t>
              <w:br/>
              <w:t>BRANCH_PENALTY</w:t>
              <w:br/>
              <w:t>HIGHWAY_TRANSPORT_COST</w:t>
              <w:br/>
              <w:t>PARTNER_LAST_MILE_COST</w:t>
              <w:br/>
              <w:t>PARTNER_COD_FEE</w:t>
              <w:br/>
              <w:t>PARTNER_DISCOUNT_MARGIN</w:t>
              <w:br/>
              <w:t>PARTNER_REBATE_ACCRUAL</w:t>
              <w:br/>
              <w:t>PARTNER_REBATE_CONFIRMED</w:t>
              <w:br/>
              <w:t>PARTNER_COD_RECEIPT</w:t>
              <w:br/>
              <w:t>PARTNER_COD_REMITTANCE</w:t>
              <w:br/>
              <w:t>EMPLOYEE_REFERRAL_COMMISSION</w:t>
              <w:br/>
              <w:t>PAYMENT</w:t>
              <w:br/>
              <w:t>PAYMENT_REVERSAL</w:t>
              <w:br/>
              <w:t>ADJUSTMENT</w:t>
            </w:r>
          </w:p>
        </w:tc>
      </w:tr>
    </w:tbl>
    <w:p>
      <w:pPr>
        <w:spacing w:after="0"/>
      </w:pPr>
    </w:p>
    <w:p>
      <w:pPr>
        <w:pStyle w:val="Heading1"/>
        <w:pBdr>
          <w:bottom w:val="single" w:sz="12" w:space="3" w:color="C09B30"/>
        </w:pBdr>
        <w:keepNext/>
      </w:pPr>
      <w:r>
        <w:rPr>
          <w:rFonts w:ascii="Aptos" w:hAnsi="Aptos" w:eastAsia="Aptos"/>
          <w:b w:val="0"/>
          <w:i w:val="0"/>
          <w:color w:val="0A1628"/>
          <w:sz w:val="20"/>
        </w:rPr>
        <w:t>Appendix D - Source Excerpts and Rate-Card Import Notes</w:t>
      </w:r>
    </w:p>
    <w:p>
      <w:pPr>
        <w:pStyle w:val="Heading2"/>
        <w:keepNext/>
      </w:pPr>
      <w:r>
        <w:rPr>
          <w:rFonts w:ascii="Aptos" w:hAnsi="Aptos" w:eastAsia="Aptos"/>
          <w:b w:val="0"/>
          <w:i w:val="0"/>
          <w:color w:val="0A1628"/>
          <w:sz w:val="20"/>
        </w:rPr>
        <w:t>D.1 DK Delivery</w:t>
      </w:r>
    </w:p>
    <w:p>
      <w:r>
        <w:rPr>
          <w:rFonts w:ascii="Aptos" w:hAnsi="Aptos" w:eastAsia="Aptos"/>
          <w:b w:val="0"/>
          <w:i w:val="0"/>
          <w:color w:val="0A1628"/>
          <w:sz w:val="20"/>
        </w:rPr>
        <w:t>The supplied single-page diagram contains Mandalay-area rate bands of 2,000, 2,500, and 3,000 MMK. It also contains a note indicating an additional 500/1,000 MMK charge where the parcel exceeds the stated 2 kg or one-foot-size condition. The exact 500-versus-1,000 decision is not defined clearly enough for automatic implementation and remains pending confirmation.</w:t>
      </w:r>
    </w:p>
    <w:p>
      <w:pPr>
        <w:pStyle w:val="Heading2"/>
        <w:keepNext/>
      </w:pPr>
      <w:r>
        <w:rPr>
          <w:rFonts w:ascii="Aptos" w:hAnsi="Aptos" w:eastAsia="Aptos"/>
          <w:b w:val="0"/>
          <w:i w:val="0"/>
          <w:color w:val="0A1628"/>
          <w:sz w:val="20"/>
        </w:rPr>
        <w:t>D.2 Royal Express</w:t>
      </w:r>
    </w:p>
    <w:p>
      <w:r>
        <w:rPr>
          <w:rFonts w:ascii="Aptos" w:hAnsi="Aptos" w:eastAsia="Aptos"/>
          <w:b w:val="0"/>
          <w:i w:val="0"/>
          <w:color w:val="0A1628"/>
          <w:sz w:val="20"/>
        </w:rPr>
        <w:t xml:space="preserve">Quotation reference </w:t>
      </w:r>
      <w:r>
        <w:rPr>
          <w:rFonts w:ascii="Consolas" w:hAnsi="Consolas" w:eastAsia="Consolas"/>
          <w:b w:val="0"/>
          <w:i w:val="0"/>
          <w:color w:val="0A1628"/>
          <w:sz w:val="17"/>
          <w:shd w:fill="EEF2F6"/>
        </w:rPr>
        <w:t>Q-019-05-2026</w:t>
      </w:r>
      <w:r>
        <w:rPr>
          <w:rFonts w:ascii="Aptos" w:hAnsi="Aptos" w:eastAsia="Aptos"/>
          <w:b w:val="0"/>
          <w:i w:val="0"/>
          <w:color w:val="0A1628"/>
          <w:sz w:val="20"/>
        </w:rPr>
        <w:t>, dated 22 May 2026, provides:</w:t>
      </w:r>
    </w:p>
    <w:p>
      <w:pPr>
        <w:pStyle w:val="ListBullet"/>
        <w:ind w:left="0"/>
      </w:pPr>
      <w:r>
        <w:rPr>
          <w:rFonts w:ascii="Aptos" w:hAnsi="Aptos" w:eastAsia="Aptos"/>
          <w:b w:val="0"/>
          <w:i w:val="0"/>
          <w:color w:val="0A1628"/>
          <w:sz w:val="20"/>
        </w:rPr>
        <w:t>A 15% discount on standard rates.</w:t>
      </w:r>
    </w:p>
    <w:p>
      <w:pPr>
        <w:pStyle w:val="ListBullet"/>
        <w:ind w:left="0"/>
      </w:pPr>
      <w:r>
        <w:rPr>
          <w:rFonts w:ascii="Aptos" w:hAnsi="Aptos" w:eastAsia="Aptos"/>
          <w:b w:val="0"/>
          <w:i w:val="0"/>
          <w:color w:val="0A1628"/>
          <w:sz w:val="20"/>
        </w:rPr>
        <w:t>Partner rates for 0.1-3 kg.</w:t>
      </w:r>
    </w:p>
    <w:p>
      <w:pPr>
        <w:pStyle w:val="ListBullet"/>
        <w:ind w:left="0"/>
      </w:pPr>
      <w:r>
        <w:rPr>
          <w:rFonts w:ascii="Aptos" w:hAnsi="Aptos" w:eastAsia="Aptos"/>
          <w:b w:val="0"/>
          <w:i w:val="0"/>
          <w:color w:val="0A1628"/>
          <w:sz w:val="20"/>
        </w:rPr>
        <w:t>A next-1-kg charge by route/zone.</w:t>
      </w:r>
    </w:p>
    <w:p>
      <w:pPr>
        <w:pStyle w:val="ListBullet"/>
        <w:ind w:left="0"/>
      </w:pPr>
      <w:r>
        <w:rPr>
          <w:rFonts w:ascii="Aptos" w:hAnsi="Aptos" w:eastAsia="Aptos"/>
          <w:b w:val="0"/>
          <w:i w:val="0"/>
          <w:color w:val="0A1628"/>
          <w:sz w:val="20"/>
        </w:rPr>
        <w:t>COD fee of 195 MMK up to 300,000 MMK product amount.</w:t>
      </w:r>
    </w:p>
    <w:p>
      <w:pPr>
        <w:pStyle w:val="ListBullet"/>
        <w:ind w:left="0"/>
      </w:pPr>
      <w:r>
        <w:rPr>
          <w:rFonts w:ascii="Aptos" w:hAnsi="Aptos" w:eastAsia="Aptos"/>
          <w:b w:val="0"/>
          <w:i w:val="0"/>
          <w:color w:val="0A1628"/>
          <w:sz w:val="20"/>
        </w:rPr>
        <w:t>COD fee of 0.2% above 300,000 MMK.</w:t>
      </w:r>
    </w:p>
    <w:p>
      <w:pPr>
        <w:pStyle w:val="ListBullet"/>
        <w:ind w:left="0"/>
      </w:pPr>
      <w:r>
        <w:rPr>
          <w:rFonts w:ascii="Aptos" w:hAnsi="Aptos" w:eastAsia="Aptos"/>
          <w:b w:val="0"/>
          <w:i w:val="0"/>
          <w:color w:val="0A1628"/>
          <w:sz w:val="20"/>
        </w:rPr>
        <w:t>Monthly rebate access of 5%, 10%, and 15% for 1,000+, 2,000+, and 3,000+ completed Waybills.</w:t>
      </w:r>
    </w:p>
    <w:p>
      <w:pPr>
        <w:pStyle w:val="ListBullet"/>
        <w:ind w:left="0"/>
      </w:pPr>
      <w:r>
        <w:rPr>
          <w:rFonts w:ascii="Aptos" w:hAnsi="Aptos" w:eastAsia="Aptos"/>
          <w:b w:val="0"/>
          <w:i w:val="0"/>
          <w:color w:val="0A1628"/>
          <w:sz w:val="20"/>
        </w:rPr>
        <w:t>COD transfer within two to three days after successful delivery.</w:t>
      </w:r>
    </w:p>
    <w:p>
      <w:pPr>
        <w:pStyle w:val="ListBullet"/>
        <w:ind w:left="0"/>
      </w:pPr>
      <w:r>
        <w:rPr>
          <w:rFonts w:ascii="Aptos" w:hAnsi="Aptos" w:eastAsia="Aptos"/>
          <w:b w:val="0"/>
          <w:i w:val="0"/>
          <w:color w:val="0A1628"/>
          <w:sz w:val="20"/>
        </w:rPr>
        <w:t>Service-city and price-change caveats.</w:t>
      </w:r>
    </w:p>
    <w:p>
      <w:r>
        <w:rPr>
          <w:rFonts w:ascii="Aptos" w:hAnsi="Aptos" w:eastAsia="Aptos"/>
          <w:b w:val="0"/>
          <w:i w:val="0"/>
          <w:color w:val="0A1628"/>
          <w:sz w:val="20"/>
        </w:rPr>
        <w:t>The full route matrix must be imported as an effective-dated partner rate card. It should not be copied into application code.</w:t>
      </w:r>
    </w:p>
    <w:p>
      <w:pPr>
        <w:pStyle w:val="Heading2"/>
        <w:keepNext/>
      </w:pPr>
      <w:r>
        <w:rPr>
          <w:rFonts w:ascii="Aptos" w:hAnsi="Aptos" w:eastAsia="Aptos"/>
          <w:b w:val="0"/>
          <w:i w:val="0"/>
          <w:color w:val="0A1628"/>
          <w:sz w:val="20"/>
        </w:rPr>
        <w:t>D.3 Highway Station Drop-Off Matrix</w:t>
      </w:r>
    </w:p>
    <w:p>
      <w:r>
        <w:rPr>
          <w:rFonts w:ascii="Aptos" w:hAnsi="Aptos" w:eastAsia="Aptos"/>
          <w:b w:val="0"/>
          <w:i w:val="0"/>
          <w:color w:val="0A1628"/>
          <w:sz w:val="20"/>
        </w:rPr>
        <w:t>The management-confirmed Highway Station Drop-Off tariff matrix is:</w:t>
      </w:r>
    </w:p>
    <w:tbl>
      <w:tblPr>
        <w:tblW w:type="pct" w:w="5000"/>
        <w:jc w:val="center"/>
        <w:tblLayout w:type="autofit"/>
        <w:tblLook w:firstColumn="1" w:firstRow="1" w:lastColumn="0" w:lastRow="0" w:noHBand="0" w:noVBand="1" w:val="04A0"/>
        <w:tblBorders>
          <w:top w:val="single" w:sz="4" w:color="B8C4D1"/>
          <w:start w:val="single" w:sz="4" w:color="B8C4D1"/>
          <w:bottom w:val="single" w:sz="4" w:color="B8C4D1"/>
          <w:end w:val="single" w:sz="4" w:color="B8C4D1"/>
          <w:insideH w:val="single" w:sz="4" w:color="B8C4D1"/>
          <w:insideV w:val="single" w:sz="4" w:color="B8C4D1"/>
        </w:tblBorders>
      </w:tblPr>
      <w:tblGrid>
        <w:gridCol w:w="5184"/>
        <w:gridCol w:w="5184"/>
      </w:tblGrid>
      <w:tr>
        <w:trPr>
          <w:tblHeader w:val="true"/>
          <w:cantSplit/>
        </w:trPr>
        <w:tc>
          <w:tcPr>
            <w:tcW w:type="dxa" w:w="5184"/>
            <w:vAlign w:val="center"/>
            <w:tcMar>
              <w:top w:w="75" w:type="dxa"/>
              <w:start w:w="80" w:type="dxa"/>
              <w:bottom w:w="75" w:type="dxa"/>
              <w:end w:w="80" w:type="dxa"/>
            </w:tcMar>
            <w:shd w:fill="17365D"/>
          </w:tcPr>
          <w:p>
            <w:pPr>
              <w:spacing w:after="0" w:line="240" w:lineRule="auto"/>
            </w:pPr>
            <w:r>
              <w:rPr>
                <w:b/>
                <w:color w:val="FFFFFF"/>
                <w:sz w:val="17"/>
              </w:rPr>
            </w:r>
            <w:r>
              <w:rPr>
                <w:rFonts w:ascii="Aptos" w:hAnsi="Aptos" w:eastAsia="Aptos"/>
                <w:b/>
                <w:i w:val="0"/>
                <w:color w:val="FFFFFF"/>
                <w:sz w:val="17"/>
              </w:rPr>
              <w:t>Station</w:t>
            </w:r>
          </w:p>
        </w:tc>
        <w:tc>
          <w:tcPr>
            <w:tcW w:type="dxa" w:w="5184"/>
            <w:vAlign w:val="center"/>
            <w:tcMar>
              <w:top w:w="75" w:type="dxa"/>
              <w:start w:w="80" w:type="dxa"/>
              <w:bottom w:w="75" w:type="dxa"/>
              <w:end w:w="80" w:type="dxa"/>
            </w:tcMar>
            <w:shd w:fill="17365D"/>
          </w:tcPr>
          <w:p>
            <w:pPr>
              <w:spacing w:after="0" w:line="240" w:lineRule="auto"/>
            </w:pPr>
            <w:r>
              <w:rPr>
                <w:b/>
                <w:color w:val="FFFFFF"/>
                <w:sz w:val="17"/>
              </w:rPr>
            </w:r>
            <w:r>
              <w:rPr>
                <w:rFonts w:ascii="Aptos" w:hAnsi="Aptos" w:eastAsia="Aptos"/>
                <w:b/>
                <w:i w:val="0"/>
                <w:color w:val="FFFFFF"/>
                <w:sz w:val="17"/>
              </w:rPr>
              <w:t>Base rate</w:t>
            </w:r>
          </w:p>
        </w:tc>
      </w:tr>
      <w:tr>
        <w:trPr>
          <w:cantSplit/>
        </w:trPr>
        <w:tc>
          <w:tcPr>
            <w:tcW w:type="dxa" w:w="5184"/>
            <w:vAlign w:val="center"/>
            <w:tcMar>
              <w:top w:w="75" w:type="dxa"/>
              <w:start w:w="80" w:type="dxa"/>
              <w:bottom w:w="75" w:type="dxa"/>
              <w:end w:w="80" w:type="dxa"/>
            </w:tcMar>
          </w:tcPr>
          <w:p>
            <w:pPr>
              <w:spacing w:after="0" w:line="240" w:lineRule="auto"/>
            </w:pPr>
            <w:r>
              <w:rPr>
                <w:color w:val="0A1628"/>
                <w:sz w:val="17"/>
              </w:rPr>
            </w:r>
            <w:r>
              <w:rPr>
                <w:rFonts w:ascii="Aptos" w:hAnsi="Aptos" w:eastAsia="Aptos"/>
                <w:b w:val="0"/>
                <w:i w:val="0"/>
                <w:color w:val="0A1628"/>
                <w:sz w:val="17"/>
              </w:rPr>
              <w:t>Highway Station Drop Off (Downtown)</w:t>
            </w:r>
          </w:p>
        </w:tc>
        <w:tc>
          <w:tcPr>
            <w:tcW w:type="dxa" w:w="5184"/>
            <w:vAlign w:val="center"/>
            <w:tcMar>
              <w:top w:w="75" w:type="dxa"/>
              <w:start w:w="80" w:type="dxa"/>
              <w:bottom w:w="75" w:type="dxa"/>
              <w:end w:w="80" w:type="dxa"/>
            </w:tcMar>
          </w:tcPr>
          <w:p>
            <w:pPr>
              <w:spacing w:after="0" w:line="240" w:lineRule="auto"/>
              <w:jc w:val="right"/>
            </w:pPr>
            <w:r>
              <w:rPr>
                <w:color w:val="0A1628"/>
                <w:sz w:val="17"/>
              </w:rPr>
            </w:r>
            <w:r>
              <w:rPr>
                <w:rFonts w:ascii="Aptos" w:hAnsi="Aptos" w:eastAsia="Aptos"/>
                <w:b w:val="0"/>
                <w:i w:val="0"/>
                <w:color w:val="0A1628"/>
                <w:sz w:val="17"/>
              </w:rPr>
              <w:t>4,000 MMK</w:t>
            </w:r>
          </w:p>
        </w:tc>
      </w:tr>
      <w:tr>
        <w:trPr>
          <w:cantSplit/>
        </w:trPr>
        <w:tc>
          <w:tcPr>
            <w:tcW w:type="dxa" w:w="5184"/>
            <w:vAlign w:val="center"/>
            <w:tcMar>
              <w:top w:w="75" w:type="dxa"/>
              <w:start w:w="80" w:type="dxa"/>
              <w:bottom w:w="75" w:type="dxa"/>
              <w:end w:w="80" w:type="dxa"/>
            </w:tcMar>
            <w:shd w:fill="F7F9FC"/>
          </w:tcPr>
          <w:p>
            <w:pPr>
              <w:spacing w:after="0" w:line="240" w:lineRule="auto"/>
            </w:pPr>
            <w:r>
              <w:rPr>
                <w:color w:val="0A1628"/>
                <w:sz w:val="17"/>
              </w:rPr>
            </w:r>
            <w:r>
              <w:rPr>
                <w:rFonts w:ascii="Aptos" w:hAnsi="Aptos" w:eastAsia="Aptos"/>
                <w:b w:val="0"/>
                <w:i w:val="0"/>
                <w:color w:val="0A1628"/>
                <w:sz w:val="17"/>
              </w:rPr>
              <w:t>Bayintnaung Drop Off</w:t>
            </w:r>
          </w:p>
        </w:tc>
        <w:tc>
          <w:tcPr>
            <w:tcW w:type="dxa" w:w="5184"/>
            <w:vAlign w:val="center"/>
            <w:tcMar>
              <w:top w:w="75" w:type="dxa"/>
              <w:start w:w="80" w:type="dxa"/>
              <w:bottom w:w="75" w:type="dxa"/>
              <w:end w:w="80" w:type="dxa"/>
            </w:tcMar>
            <w:shd w:fill="F7F9FC"/>
          </w:tcPr>
          <w:p>
            <w:pPr>
              <w:spacing w:after="0" w:line="240" w:lineRule="auto"/>
              <w:jc w:val="right"/>
            </w:pPr>
            <w:r>
              <w:rPr>
                <w:color w:val="0A1628"/>
                <w:sz w:val="17"/>
              </w:rPr>
            </w:r>
            <w:r>
              <w:rPr>
                <w:rFonts w:ascii="Aptos" w:hAnsi="Aptos" w:eastAsia="Aptos"/>
                <w:b w:val="0"/>
                <w:i w:val="0"/>
                <w:color w:val="0A1628"/>
                <w:sz w:val="17"/>
              </w:rPr>
              <w:t>4,000 MMK</w:t>
            </w:r>
          </w:p>
        </w:tc>
      </w:tr>
      <w:tr>
        <w:trPr>
          <w:cantSplit/>
        </w:trPr>
        <w:tc>
          <w:tcPr>
            <w:tcW w:type="dxa" w:w="5184"/>
            <w:vAlign w:val="center"/>
            <w:tcMar>
              <w:top w:w="75" w:type="dxa"/>
              <w:start w:w="80" w:type="dxa"/>
              <w:bottom w:w="75" w:type="dxa"/>
              <w:end w:w="80" w:type="dxa"/>
            </w:tcMar>
          </w:tcPr>
          <w:p>
            <w:pPr>
              <w:spacing w:after="0" w:line="240" w:lineRule="auto"/>
            </w:pPr>
            <w:r>
              <w:rPr>
                <w:color w:val="0A1628"/>
                <w:sz w:val="17"/>
              </w:rPr>
            </w:r>
            <w:r>
              <w:rPr>
                <w:rFonts w:ascii="Aptos" w:hAnsi="Aptos" w:eastAsia="Aptos"/>
                <w:b w:val="0"/>
                <w:i w:val="0"/>
                <w:color w:val="0A1628"/>
                <w:sz w:val="17"/>
              </w:rPr>
              <w:t>Hlaing Thar Yar - Dagon Thiri Highway Station Drop Off</w:t>
            </w:r>
          </w:p>
        </w:tc>
        <w:tc>
          <w:tcPr>
            <w:tcW w:type="dxa" w:w="5184"/>
            <w:vAlign w:val="center"/>
            <w:tcMar>
              <w:top w:w="75" w:type="dxa"/>
              <w:start w:w="80" w:type="dxa"/>
              <w:bottom w:w="75" w:type="dxa"/>
              <w:end w:w="80" w:type="dxa"/>
            </w:tcMar>
          </w:tcPr>
          <w:p>
            <w:pPr>
              <w:spacing w:after="0" w:line="240" w:lineRule="auto"/>
              <w:jc w:val="right"/>
            </w:pPr>
            <w:r>
              <w:rPr>
                <w:color w:val="0A1628"/>
                <w:sz w:val="17"/>
              </w:rPr>
            </w:r>
            <w:r>
              <w:rPr>
                <w:rFonts w:ascii="Aptos" w:hAnsi="Aptos" w:eastAsia="Aptos"/>
                <w:b w:val="0"/>
                <w:i w:val="0"/>
                <w:color w:val="0A1628"/>
                <w:sz w:val="17"/>
              </w:rPr>
              <w:t>4,000 MMK</w:t>
            </w:r>
          </w:p>
        </w:tc>
      </w:tr>
      <w:tr>
        <w:trPr>
          <w:cantSplit/>
        </w:trPr>
        <w:tc>
          <w:tcPr>
            <w:tcW w:type="dxa" w:w="5184"/>
            <w:vAlign w:val="center"/>
            <w:tcMar>
              <w:top w:w="75" w:type="dxa"/>
              <w:start w:w="80" w:type="dxa"/>
              <w:bottom w:w="75" w:type="dxa"/>
              <w:end w:w="80" w:type="dxa"/>
            </w:tcMar>
            <w:shd w:fill="F7F9FC"/>
          </w:tcPr>
          <w:p>
            <w:pPr>
              <w:spacing w:after="0" w:line="240" w:lineRule="auto"/>
            </w:pPr>
            <w:r>
              <w:rPr>
                <w:color w:val="0A1628"/>
                <w:sz w:val="17"/>
              </w:rPr>
            </w:r>
            <w:r>
              <w:rPr>
                <w:rFonts w:ascii="Aptos" w:hAnsi="Aptos" w:eastAsia="Aptos"/>
                <w:b w:val="0"/>
                <w:i w:val="0"/>
                <w:color w:val="0A1628"/>
                <w:sz w:val="17"/>
              </w:rPr>
              <w:t>North Okkalapa - Aung Mingalar Highway Station Drop Off</w:t>
            </w:r>
          </w:p>
        </w:tc>
        <w:tc>
          <w:tcPr>
            <w:tcW w:type="dxa" w:w="5184"/>
            <w:vAlign w:val="center"/>
            <w:tcMar>
              <w:top w:w="75" w:type="dxa"/>
              <w:start w:w="80" w:type="dxa"/>
              <w:bottom w:w="75" w:type="dxa"/>
              <w:end w:w="80" w:type="dxa"/>
            </w:tcMar>
            <w:shd w:fill="F7F9FC"/>
          </w:tcPr>
          <w:p>
            <w:pPr>
              <w:spacing w:after="0" w:line="240" w:lineRule="auto"/>
              <w:jc w:val="right"/>
            </w:pPr>
            <w:r>
              <w:rPr>
                <w:color w:val="0A1628"/>
                <w:sz w:val="17"/>
              </w:rPr>
            </w:r>
            <w:r>
              <w:rPr>
                <w:rFonts w:ascii="Aptos" w:hAnsi="Aptos" w:eastAsia="Aptos"/>
                <w:b w:val="0"/>
                <w:i w:val="0"/>
                <w:color w:val="0A1628"/>
                <w:sz w:val="17"/>
              </w:rPr>
              <w:t>3,000 MMK</w:t>
            </w:r>
          </w:p>
        </w:tc>
      </w:tr>
      <w:tr>
        <w:trPr>
          <w:cantSplit/>
        </w:trPr>
        <w:tc>
          <w:tcPr>
            <w:tcW w:type="dxa" w:w="5184"/>
            <w:vAlign w:val="center"/>
            <w:tcMar>
              <w:top w:w="75" w:type="dxa"/>
              <w:start w:w="80" w:type="dxa"/>
              <w:bottom w:w="75" w:type="dxa"/>
              <w:end w:w="80" w:type="dxa"/>
            </w:tcMar>
          </w:tcPr>
          <w:p>
            <w:pPr>
              <w:spacing w:after="0" w:line="240" w:lineRule="auto"/>
            </w:pPr>
            <w:r>
              <w:rPr>
                <w:color w:val="0A1628"/>
                <w:sz w:val="17"/>
              </w:rPr>
            </w:r>
            <w:r>
              <w:rPr>
                <w:rFonts w:ascii="Aptos" w:hAnsi="Aptos" w:eastAsia="Aptos"/>
                <w:b w:val="0"/>
                <w:i w:val="0"/>
                <w:color w:val="0A1628"/>
                <w:sz w:val="17"/>
              </w:rPr>
              <w:t>Parami Highway Station Drop Off</w:t>
            </w:r>
          </w:p>
        </w:tc>
        <w:tc>
          <w:tcPr>
            <w:tcW w:type="dxa" w:w="5184"/>
            <w:vAlign w:val="center"/>
            <w:tcMar>
              <w:top w:w="75" w:type="dxa"/>
              <w:start w:w="80" w:type="dxa"/>
              <w:bottom w:w="75" w:type="dxa"/>
              <w:end w:w="80" w:type="dxa"/>
            </w:tcMar>
          </w:tcPr>
          <w:p>
            <w:pPr>
              <w:spacing w:after="0" w:line="240" w:lineRule="auto"/>
              <w:jc w:val="right"/>
            </w:pPr>
            <w:r>
              <w:rPr>
                <w:color w:val="0A1628"/>
                <w:sz w:val="17"/>
              </w:rPr>
            </w:r>
            <w:r>
              <w:rPr>
                <w:rFonts w:ascii="Aptos" w:hAnsi="Aptos" w:eastAsia="Aptos"/>
                <w:b w:val="0"/>
                <w:i w:val="0"/>
                <w:color w:val="0A1628"/>
                <w:sz w:val="17"/>
              </w:rPr>
              <w:t>3,000 MMK</w:t>
            </w:r>
          </w:p>
        </w:tc>
      </w:tr>
    </w:tbl>
    <w:p>
      <w:pPr>
        <w:spacing w:after="0"/>
      </w:pPr>
    </w:p>
    <w:p>
      <w:r>
        <w:rPr>
          <w:rFonts w:ascii="Aptos" w:hAnsi="Aptos" w:eastAsia="Aptos"/>
          <w:b w:val="0"/>
          <w:i w:val="0"/>
          <w:color w:val="0A1628"/>
          <w:sz w:val="20"/>
        </w:rPr>
        <w:t>The standard Britium customer-tier, extra-kilogram, CBM, Commitment-refund, audit, and historical-snapshot rules apply.</w:t>
      </w:r>
    </w:p>
    <w:p>
      <w:pPr>
        <w:pStyle w:val="Heading2"/>
        <w:keepNext/>
      </w:pPr>
      <w:r>
        <w:rPr>
          <w:rFonts w:ascii="Aptos" w:hAnsi="Aptos" w:eastAsia="Aptos"/>
          <w:b w:val="0"/>
          <w:i w:val="0"/>
          <w:color w:val="0A1628"/>
          <w:sz w:val="20"/>
        </w:rPr>
        <w:t>D.4 Highway Station Drop-Off Acceptance Examples</w:t>
      </w:r>
    </w:p>
    <w:p>
      <w:pPr>
        <w:pStyle w:val="Heading3"/>
        <w:keepNext/>
      </w:pPr>
      <w:r>
        <w:rPr>
          <w:rFonts w:ascii="Aptos" w:hAnsi="Aptos" w:eastAsia="Aptos"/>
          <w:b w:val="0"/>
          <w:i w:val="0"/>
          <w:color w:val="0A1628"/>
          <w:sz w:val="20"/>
        </w:rPr>
        <w:t>Downtown basic parcel</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station = HW_DOWNTOWN</w:t>
              <w:br/>
              <w:t>customer_tier = STANDARD</w:t>
              <w:br/>
              <w:t>actual_weight = 1.0 kg</w:t>
              <w:br/>
              <w:t>base_rate = 4,000 MMK</w:t>
              <w:br/>
              <w:t>extra_weight = 0 kg</w:t>
              <w:br/>
              <w:t>expected_net_system_charge = 4,000 MMK</w:t>
            </w:r>
          </w:p>
        </w:tc>
      </w:tr>
    </w:tbl>
    <w:p>
      <w:pPr>
        <w:spacing w:after="0"/>
      </w:pPr>
    </w:p>
    <w:p>
      <w:pPr>
        <w:pStyle w:val="Heading3"/>
        <w:keepNext/>
      </w:pPr>
      <w:r>
        <w:rPr>
          <w:rFonts w:ascii="Aptos" w:hAnsi="Aptos" w:eastAsia="Aptos"/>
          <w:b w:val="0"/>
          <w:i w:val="0"/>
          <w:color w:val="0A1628"/>
          <w:sz w:val="20"/>
        </w:rPr>
        <w:t>Dagon Thiri with extra weight</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station = HW_DAGON_THIRI</w:t>
              <w:br/>
              <w:t>customer_tier = STANDARD</w:t>
              <w:br/>
              <w:t>actual_weight = 4.2 kg</w:t>
              <w:br/>
              <w:t>chargeable_weight = 5 kg</w:t>
              <w:br/>
              <w:t>included_weight = 3 kg</w:t>
              <w:br/>
              <w:t>extra_weight = 2 kg</w:t>
              <w:br/>
              <w:t>weight_surcharge = 1,000 MMK</w:t>
              <w:br/>
              <w:t>expected_gross_system_charge = 5,000 MMK</w:t>
            </w:r>
          </w:p>
        </w:tc>
      </w:tr>
    </w:tbl>
    <w:p>
      <w:pPr>
        <w:spacing w:after="0"/>
      </w:pPr>
    </w:p>
    <w:p>
      <w:pPr>
        <w:pStyle w:val="Heading3"/>
        <w:keepNext/>
      </w:pPr>
      <w:r>
        <w:rPr>
          <w:rFonts w:ascii="Aptos" w:hAnsi="Aptos" w:eastAsia="Aptos"/>
          <w:b w:val="0"/>
          <w:i w:val="0"/>
          <w:color w:val="0A1628"/>
          <w:sz w:val="20"/>
        </w:rPr>
        <w:t>Aung Mingalar Royal tier</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station = HW_AUNG_MINGALAR</w:t>
              <w:br/>
              <w:t>customer_tier = ROYAL</w:t>
              <w:br/>
              <w:t>actual_weight = 4.2 kg</w:t>
              <w:br/>
              <w:t>included_weight = 5 kg</w:t>
              <w:br/>
              <w:t>extra_weight = 0 kg</w:t>
              <w:br/>
              <w:t>expected_gross_system_charge = 3,000 MMK</w:t>
            </w:r>
          </w:p>
        </w:tc>
      </w:tr>
    </w:tbl>
    <w:p>
      <w:pPr>
        <w:spacing w:after="0"/>
      </w:pPr>
    </w:p>
    <w:p>
      <w:pPr>
        <w:pStyle w:val="Heading3"/>
        <w:keepNext/>
      </w:pPr>
      <w:r>
        <w:rPr>
          <w:rFonts w:ascii="Aptos" w:hAnsi="Aptos" w:eastAsia="Aptos"/>
          <w:b w:val="0"/>
          <w:i w:val="0"/>
          <w:color w:val="0A1628"/>
          <w:sz w:val="20"/>
        </w:rPr>
        <w:t>Unknown station</w:t>
      </w:r>
    </w:p>
    <w:tbl>
      <w:tblPr>
        <w:tblW w:type="pct" w:w="5000"/>
        <w:jc w:val="center"/>
        <w:tblLook w:firstColumn="1" w:firstRow="1" w:lastColumn="0" w:lastRow="0" w:noHBand="0" w:noVBand="1" w:val="04A0"/>
        <w:tblBorders>
          <w:top w:val="single" w:sz="4" w:color="D6DEE7"/>
          <w:start w:val="single" w:sz="4" w:color="D6DEE7"/>
          <w:bottom w:val="single" w:sz="4" w:color="D6DEE7"/>
          <w:end w:val="single" w:sz="4" w:color="D6DEE7"/>
          <w:insideH w:val="single" w:sz="4" w:color="D6DEE7"/>
          <w:insideV w:val="single" w:sz="4" w:color="D6DEE7"/>
        </w:tblBorders>
      </w:tblPr>
      <w:tblGrid>
        <w:gridCol w:w="10368"/>
      </w:tblGrid>
      <w:tr>
        <w:tc>
          <w:tcPr>
            <w:tcW w:type="dxa" w:w="10368"/>
            <w:shd w:fill="F3F6F9"/>
            <w:tcMar>
              <w:top w:w="100" w:type="dxa"/>
              <w:start w:w="120" w:type="dxa"/>
              <w:bottom w:w="100" w:type="dxa"/>
              <w:end w:w="120" w:type="dxa"/>
            </w:tcMar>
          </w:tcPr>
          <w:p>
            <w:pPr>
              <w:pStyle w:val="CodeBlock"/>
            </w:pPr>
            <w:r/>
            <w:r>
              <w:rPr>
                <w:rFonts w:ascii="Consolas" w:hAnsi="Consolas" w:eastAsia="Consolas"/>
                <w:color w:val="0A1628"/>
                <w:sz w:val="16"/>
              </w:rPr>
              <w:t>station = FREE_TEXT_UNKNOWN_STATION</w:t>
              <w:br/>
              <w:t>expected_validation_status = ERROR</w:t>
              <w:br/>
              <w:t>expected_exception = HIGHWAY_STATION_RATE_NOT_FOUND</w:t>
              <w:br/>
              <w:t>waybill_creation = BLOCKED</w:t>
            </w:r>
          </w:p>
        </w:tc>
      </w:tr>
    </w:tbl>
    <w:p>
      <w:pPr>
        <w:spacing w:after="0"/>
      </w:pPr>
    </w:p>
    <w:p>
      <w:pPr>
        <w:pStyle w:val="Heading1"/>
        <w:pBdr>
          <w:bottom w:val="single" w:sz="12" w:space="3" w:color="C09B30"/>
        </w:pBdr>
        <w:keepNext/>
      </w:pPr>
      <w:r>
        <w:rPr>
          <w:rFonts w:ascii="Aptos" w:hAnsi="Aptos" w:eastAsia="Aptos"/>
          <w:b w:val="0"/>
          <w:i w:val="0"/>
          <w:color w:val="0A1628"/>
          <w:sz w:val="20"/>
        </w:rPr>
        <w:t>Appendix E - Implementation Artefacts</w:t>
      </w:r>
    </w:p>
    <w:p>
      <w:r>
        <w:rPr>
          <w:rFonts w:ascii="Aptos" w:hAnsi="Aptos" w:eastAsia="Aptos"/>
          <w:b w:val="0"/>
          <w:i w:val="0"/>
          <w:color w:val="0A1628"/>
          <w:sz w:val="20"/>
        </w:rPr>
        <w:t>The following existing workstream artefacts remain useful implementation inputs:</w:t>
      </w:r>
    </w:p>
    <w:p>
      <w:pPr>
        <w:pStyle w:val="ListBullet"/>
        <w:ind w:left="0"/>
      </w:pPr>
      <w:r>
        <w:rPr>
          <w:rFonts w:ascii="Consolas" w:hAnsi="Consolas" w:eastAsia="Consolas"/>
          <w:b w:val="0"/>
          <w:i w:val="0"/>
          <w:color w:val="0A1628"/>
          <w:sz w:val="17"/>
          <w:shd w:fill="EEF2F6"/>
        </w:rPr>
        <w:t>parcel_data_entry_updated.xlsx</w:t>
      </w:r>
    </w:p>
    <w:p>
      <w:pPr>
        <w:pStyle w:val="ListBullet"/>
        <w:ind w:left="0"/>
      </w:pPr>
      <w:r>
        <w:rPr>
          <w:rFonts w:ascii="Consolas" w:hAnsi="Consolas" w:eastAsia="Consolas"/>
          <w:b w:val="0"/>
          <w:i w:val="0"/>
          <w:color w:val="0A1628"/>
          <w:sz w:val="17"/>
          <w:shd w:fill="EEF2F6"/>
        </w:rPr>
        <w:t>merchant_referral_commission_patch.sql</w:t>
      </w:r>
    </w:p>
    <w:p>
      <w:pPr>
        <w:pStyle w:val="ListBullet"/>
        <w:ind w:left="0"/>
      </w:pPr>
      <w:r>
        <w:rPr>
          <w:rFonts w:ascii="Consolas" w:hAnsi="Consolas" w:eastAsia="Consolas"/>
          <w:b w:val="0"/>
          <w:i w:val="0"/>
          <w:color w:val="0A1628"/>
          <w:sz w:val="17"/>
          <w:shd w:fill="EEF2F6"/>
        </w:rPr>
        <w:t>WorkforceCommissionPage_updated.tsx</w:t>
      </w:r>
    </w:p>
    <w:p>
      <w:pPr>
        <w:pStyle w:val="ListBullet"/>
        <w:ind w:left="0"/>
      </w:pPr>
      <w:r>
        <w:rPr>
          <w:rFonts w:ascii="Consolas" w:hAnsi="Consolas" w:eastAsia="Consolas"/>
          <w:b w:val="0"/>
          <w:i w:val="0"/>
          <w:color w:val="0A1628"/>
          <w:sz w:val="17"/>
          <w:shd w:fill="EEF2F6"/>
        </w:rPr>
        <w:t>production_remediation_developer_spec_v3_partner_rates.md</w:t>
      </w:r>
    </w:p>
    <w:p>
      <w:pPr>
        <w:pStyle w:val="ListBullet"/>
        <w:ind w:left="0"/>
      </w:pPr>
      <w:r>
        <w:rPr>
          <w:rFonts w:ascii="Consolas" w:hAnsi="Consolas" w:eastAsia="Consolas"/>
          <w:b w:val="0"/>
          <w:i w:val="0"/>
          <w:color w:val="0A1628"/>
          <w:sz w:val="17"/>
          <w:shd w:fill="EEF2F6"/>
        </w:rPr>
        <w:t>branch_office_settlement_npt_spec.md</w:t>
      </w:r>
    </w:p>
    <w:p>
      <w:pPr>
        <w:pStyle w:val="ListBullet"/>
        <w:ind w:left="0"/>
      </w:pPr>
      <w:r>
        <w:rPr>
          <w:rFonts w:ascii="Consolas" w:hAnsi="Consolas" w:eastAsia="Consolas"/>
          <w:b w:val="0"/>
          <w:i w:val="0"/>
          <w:color w:val="0A1628"/>
          <w:sz w:val="17"/>
          <w:shd w:fill="EEF2F6"/>
        </w:rPr>
        <w:t>outsourced_delivery_settlement_dk_royal_spec.md</w:t>
      </w:r>
    </w:p>
    <w:p>
      <w:pPr>
        <w:pStyle w:val="ListBullet"/>
        <w:ind w:left="0"/>
      </w:pPr>
      <w:r>
        <w:rPr>
          <w:rFonts w:ascii="Consolas" w:hAnsi="Consolas" w:eastAsia="Consolas"/>
          <w:b w:val="0"/>
          <w:i w:val="0"/>
          <w:color w:val="0A1628"/>
          <w:sz w:val="17"/>
          <w:shd w:fill="EEF2F6"/>
        </w:rPr>
        <w:t>BranchOfficePage(2).tsx</w:t>
      </w:r>
    </w:p>
    <w:p>
      <w:pPr>
        <w:pStyle w:val="ListBullet"/>
        <w:ind w:left="0"/>
      </w:pPr>
      <w:r>
        <w:rPr>
          <w:rFonts w:ascii="Aptos" w:hAnsi="Aptos" w:eastAsia="Aptos"/>
          <w:b w:val="0"/>
          <w:i w:val="0"/>
          <w:color w:val="0A1628"/>
          <w:sz w:val="20"/>
        </w:rPr>
        <w:t>DK Delivery and Royal Express source PDFs</w:t>
      </w:r>
    </w:p>
    <w:p>
      <w:pPr>
        <w:pStyle w:val="Heading1"/>
        <w:pBdr>
          <w:bottom w:val="single" w:sz="12" w:space="1" w:color="C09B30"/>
        </w:pBdr>
      </w:pPr>
      <w:r>
        <w:t>Appendix F - Source Document Visuals</w:t>
      </w:r>
    </w:p>
    <w:p>
      <w:pPr>
        <w:pStyle w:val="SmallNote"/>
      </w:pPr>
      <w:r>
        <w:t>The following pages are included for visual reference. The database must use approved, transcribed, effective-dated rate records rather than image interpretation at runtime.</w:t>
      </w:r>
    </w:p>
    <w:p>
      <w:r>
        <w:drawing>
          <wp:inline xmlns:a="http://schemas.openxmlformats.org/drawingml/2006/main" xmlns:pic="http://schemas.openxmlformats.org/drawingml/2006/picture">
            <wp:extent cx="6355080" cy="10467191"/>
            <wp:docPr id="1" name="Picture 1" descr="Figure F-1. DK Delivery Mandalay area-rate diagram (source page 1)." title="Figure F-1"/>
            <wp:cNvGraphicFramePr>
              <a:graphicFrameLocks noChangeAspect="1"/>
            </wp:cNvGraphicFramePr>
            <a:graphic>
              <a:graphicData uri="http://schemas.openxmlformats.org/drawingml/2006/picture">
                <pic:pic>
                  <pic:nvPicPr>
                    <pic:cNvPr id="0" name="page-1.png"/>
                    <pic:cNvPicPr/>
                  </pic:nvPicPr>
                  <pic:blipFill>
                    <a:blip r:embed="rId11"/>
                    <a:stretch>
                      <a:fillRect/>
                    </a:stretch>
                  </pic:blipFill>
                  <pic:spPr>
                    <a:xfrm>
                      <a:off x="0" y="0"/>
                      <a:ext cx="6355080" cy="10467191"/>
                    </a:xfrm>
                    <a:prstGeom prst="rect"/>
                  </pic:spPr>
                </pic:pic>
              </a:graphicData>
            </a:graphic>
          </wp:inline>
        </w:drawing>
      </w:r>
    </w:p>
    <w:p>
      <w:pPr>
        <w:pStyle w:val="SmallNote"/>
        <w:spacing w:after="200"/>
        <w:jc w:val="center"/>
      </w:pPr>
      <w:r>
        <w:t>Figure F-1. DK Delivery Mandalay area-rate diagram (source page 1).</w:t>
      </w:r>
    </w:p>
    <w:p>
      <w:r>
        <w:drawing>
          <wp:inline xmlns:a="http://schemas.openxmlformats.org/drawingml/2006/main" xmlns:pic="http://schemas.openxmlformats.org/drawingml/2006/picture">
            <wp:extent cx="6355080" cy="8224221"/>
            <wp:docPr id="2" name="Picture 2" descr="Figure F-2. Royal Express Business Partner quotation summary (source page 1)." title="Figure F-2"/>
            <wp:cNvGraphicFramePr>
              <a:graphicFrameLocks noChangeAspect="1"/>
            </wp:cNvGraphicFramePr>
            <a:graphic>
              <a:graphicData uri="http://schemas.openxmlformats.org/drawingml/2006/picture">
                <pic:pic>
                  <pic:nvPicPr>
                    <pic:cNvPr id="0" name="page-1.png"/>
                    <pic:cNvPicPr/>
                  </pic:nvPicPr>
                  <pic:blipFill>
                    <a:blip r:embed="rId12"/>
                    <a:stretch>
                      <a:fillRect/>
                    </a:stretch>
                  </pic:blipFill>
                  <pic:spPr>
                    <a:xfrm>
                      <a:off x="0" y="0"/>
                      <a:ext cx="6355080" cy="8224221"/>
                    </a:xfrm>
                    <a:prstGeom prst="rect"/>
                  </pic:spPr>
                </pic:pic>
              </a:graphicData>
            </a:graphic>
          </wp:inline>
        </w:drawing>
      </w:r>
    </w:p>
    <w:p>
      <w:pPr>
        <w:pStyle w:val="SmallNote"/>
        <w:spacing w:after="200"/>
        <w:jc w:val="center"/>
      </w:pPr>
      <w:r>
        <w:t>Figure F-2. Royal Express Business Partner quotation summary (source page 1).</w:t>
      </w:r>
    </w:p>
    <w:p>
      <w:r>
        <w:drawing>
          <wp:inline xmlns:a="http://schemas.openxmlformats.org/drawingml/2006/main" xmlns:pic="http://schemas.openxmlformats.org/drawingml/2006/picture">
            <wp:extent cx="6355080" cy="8224221"/>
            <wp:docPr id="3" name="Picture 3" descr="Figure F-3. Royal Express sample route-rate table showing normal rate, discounted rate, and next-1-kg rate (source page 2)." title="Figure F-3"/>
            <wp:cNvGraphicFramePr>
              <a:graphicFrameLocks noChangeAspect="1"/>
            </wp:cNvGraphicFramePr>
            <a:graphic>
              <a:graphicData uri="http://schemas.openxmlformats.org/drawingml/2006/picture">
                <pic:pic>
                  <pic:nvPicPr>
                    <pic:cNvPr id="0" name="page-2.png"/>
                    <pic:cNvPicPr/>
                  </pic:nvPicPr>
                  <pic:blipFill>
                    <a:blip r:embed="rId13"/>
                    <a:stretch>
                      <a:fillRect/>
                    </a:stretch>
                  </pic:blipFill>
                  <pic:spPr>
                    <a:xfrm>
                      <a:off x="0" y="0"/>
                      <a:ext cx="6355080" cy="8224221"/>
                    </a:xfrm>
                    <a:prstGeom prst="rect"/>
                  </pic:spPr>
                </pic:pic>
              </a:graphicData>
            </a:graphic>
          </wp:inline>
        </w:drawing>
      </w:r>
    </w:p>
    <w:p>
      <w:pPr>
        <w:pStyle w:val="SmallNote"/>
        <w:spacing w:after="200"/>
        <w:jc w:val="center"/>
      </w:pPr>
      <w:r>
        <w:t>Figure F-3. Royal Express sample route-rate table showing normal rate, discounted rate, and next-1-kg rate (source page 2).</w:t>
      </w:r>
    </w:p>
    <w:sectPr w:rsidR="00FC693F" w:rsidRPr="0006063C" w:rsidSect="00034616">
      <w:headerReference w:type="default" r:id="rId9"/>
      <w:footerReference w:type="default" r:id="rId10"/>
      <w:pgSz w:w="12240" w:h="15840"/>
      <w:pgMar w:top="864" w:right="936" w:bottom="893" w:left="936"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eastAsia="Aptos"/>
        <w:b/>
        <w:color w:val="5A6775"/>
        <w:sz w:val="15"/>
      </w:rPr>
      <w:t>CONFIDENTIAL - INTERNAL IMPLEMENTATION USE</w:t>
    </w:r>
    <w:r>
      <w:rPr>
        <w:color w:val="5A6775"/>
        <w:sz w:val="16"/>
      </w:rPr>
      <w:t xml:space="preserve">Page </w:t>
    </w:r>
    <w:fldSimple w:instr="PAGE">
      <w:r>
        <w:rPr>
          <w:color w:val="5A6775"/>
          <w:sz w:val="16"/>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2" w:color="B8C4D1"/>
      </w:pBdr>
    </w:pPr>
    <w:r>
      <w:rPr>
        <w:rFonts w:ascii="Aptos" w:hAnsi="Aptos" w:eastAsia="Aptos"/>
        <w:b/>
        <w:color w:val="17365D"/>
        <w:sz w:val="16"/>
      </w:rPr>
      <w:t>BRITIUM EXPRESS  |  INTEGRATED MASTER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54" w:lineRule="auto"/>
    </w:pPr>
    <w:rPr>
      <w:rFonts w:ascii="Aptos" w:hAnsi="Aptos" w:eastAsia="Aptos"/>
      <w:color w:val="0A162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320" w:after="140"/>
      <w:outlineLvl w:val="0"/>
    </w:pPr>
    <w:rPr>
      <w:rFonts w:asciiTheme="majorHAnsi" w:eastAsiaTheme="majorEastAsia" w:hAnsiTheme="majorHAnsi" w:cstheme="majorBidi" w:ascii="Aptos Display" w:hAnsi="Aptos Display" w:eastAsia="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ascii="Aptos Display" w:hAnsi="Aptos Display" w:eastAsia="Aptos Display"/>
      <w:b/>
      <w:bCs/>
      <w:color w:val="17365D"/>
      <w:sz w:val="28"/>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ptos Display" w:hAnsi="Aptos Display" w:eastAsia="Aptos Display"/>
      <w:b/>
      <w:bCs/>
      <w:color w:val="C09B30"/>
      <w:sz w:val="23"/>
    </w:rPr>
  </w:style>
  <w:style w:type="paragraph" w:styleId="Heading4">
    <w:name w:val="heading 4"/>
    <w:basedOn w:val="Normal"/>
    <w:next w:val="Normal"/>
    <w:link w:val="Heading4Char"/>
    <w:uiPriority w:val="9"/>
    <w:semiHidden/>
    <w:unhideWhenUsed/>
    <w:qFormat/>
    <w:rsid w:val="00FC693F"/>
    <w:pPr>
      <w:keepNext/>
      <w:keepLines/>
      <w:spacing w:before="140" w:after="40"/>
      <w:outlineLvl w:val="3"/>
    </w:pPr>
    <w:rPr>
      <w:rFonts w:asciiTheme="majorHAnsi" w:eastAsiaTheme="majorEastAsia" w:hAnsiTheme="majorHAnsi" w:cstheme="majorBidi" w:ascii="Aptos Display" w:hAnsi="Aptos Display" w:eastAsia="Aptos Display"/>
      <w:b/>
      <w:bCs/>
      <w:i/>
      <w:iCs/>
      <w:color w:val="0A1628"/>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eastAsia="Aptos Display"/>
      <w:b/>
      <w:color w:val="0A1628"/>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20"/>
    </w:pPr>
    <w:rPr>
      <w:rFonts w:asciiTheme="majorHAnsi" w:eastAsiaTheme="majorEastAsia" w:hAnsiTheme="majorHAnsi" w:cstheme="majorBidi" w:ascii="Aptos" w:hAnsi="Aptos" w:eastAsia="Aptos"/>
      <w:b w:val="0"/>
      <w:i/>
      <w:iCs/>
      <w:color w:val="5A6775"/>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0" w:line="240" w:lineRule="auto"/>
    </w:pPr>
    <w:rPr>
      <w:rFonts w:ascii="Consolas" w:hAnsi="Consolas" w:eastAsia="Consolas"/>
      <w:color w:val="0A1628"/>
      <w:sz w:val="16"/>
    </w:rPr>
  </w:style>
  <w:style w:type="paragraph" w:customStyle="1" w:styleId="SmallNote">
    <w:name w:val="Small Note"/>
    <w:rPr>
      <w:rFonts w:ascii="Aptos" w:hAnsi="Aptos"/>
      <w:i/>
      <w:color w:val="5A677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Britium Express Integrated Master Specification V4.1</dc:title>
  <dc:subject>Delivery, financial settlement, branch, outsourcing, commission, and production remediation</dc:subject>
  <dc:creator>Britium Express</dc:creator>
  <cp:keywords>Britium Express, financial settlement, merchant, branch, DK Delivery, Royal Express, Supabase, production remediation</cp:keywords>
  <dc:description>Consolidated specification generated from approved workstream materials; unresolved business decisions are explicitly flagged.</dc:description>
  <cp:lastModifiedBy/>
  <cp:revision>1</cp:revision>
  <dcterms:created xsi:type="dcterms:W3CDTF">2013-12-23T23:15:00Z</dcterms:created>
  <dcterms:modified xsi:type="dcterms:W3CDTF">2013-12-23T23:15:00Z</dcterms:modified>
  <cp:category/>
</cp:coreProperties>
</file>