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006017395"/>
        <w:docPartObj>
          <w:docPartGallery w:val="Cover Pages"/>
          <w:docPartUnique/>
        </w:docPartObj>
      </w:sdtPr>
      <w:sdtEndPr>
        <w:rPr>
          <w:color w:val="auto"/>
        </w:rPr>
      </w:sdtEndPr>
      <w:sdtContent>
        <w:p w:rsidR="00B854D7" w:rsidRDefault="00B854D7">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03F90A92CE1644C0875EACE641E8FBA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854D7" w:rsidRDefault="00B854D7">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ALfaconverter</w:t>
              </w:r>
            </w:p>
          </w:sdtContent>
        </w:sdt>
        <w:sdt>
          <w:sdtPr>
            <w:rPr>
              <w:color w:val="5B9BD5" w:themeColor="accent1"/>
              <w:sz w:val="28"/>
              <w:szCs w:val="28"/>
            </w:rPr>
            <w:alias w:val="Subtítulo"/>
            <w:tag w:val=""/>
            <w:id w:val="328029620"/>
            <w:placeholder>
              <w:docPart w:val="8D71820E28554FF5A2E6346144B633D7"/>
            </w:placeholder>
            <w:dataBinding w:prefixMappings="xmlns:ns0='http://purl.org/dc/elements/1.1/' xmlns:ns1='http://schemas.openxmlformats.org/package/2006/metadata/core-properties' " w:xpath="/ns1:coreProperties[1]/ns0:subject[1]" w:storeItemID="{6C3C8BC8-F283-45AE-878A-BAB7291924A1}"/>
            <w:text/>
          </w:sdtPr>
          <w:sdtEndPr/>
          <w:sdtContent>
            <w:p w:rsidR="00B854D7" w:rsidRDefault="00B854D7">
              <w:pPr>
                <w:pStyle w:val="Sinespaciado"/>
                <w:jc w:val="center"/>
                <w:rPr>
                  <w:color w:val="5B9BD5" w:themeColor="accent1"/>
                  <w:sz w:val="28"/>
                  <w:szCs w:val="28"/>
                </w:rPr>
              </w:pPr>
              <w:r>
                <w:rPr>
                  <w:color w:val="5B9BD5" w:themeColor="accent1"/>
                  <w:sz w:val="28"/>
                  <w:szCs w:val="28"/>
                </w:rPr>
                <w:t>Manual de usuario</w:t>
              </w:r>
            </w:p>
          </w:sdtContent>
        </w:sdt>
        <w:p w:rsidR="00B854D7" w:rsidRDefault="00B854D7">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02-06T00:00:00Z">
                                    <w:dateFormat w:val="d 'de' MMMM 'de' yyyy"/>
                                    <w:lid w:val="es-ES"/>
                                    <w:storeMappedDataAs w:val="dateTime"/>
                                    <w:calendar w:val="gregorian"/>
                                  </w:date>
                                </w:sdtPr>
                                <w:sdtEndPr/>
                                <w:sdtContent>
                                  <w:p w:rsidR="00B854D7" w:rsidRDefault="00B854D7">
                                    <w:pPr>
                                      <w:pStyle w:val="Sinespaciado"/>
                                      <w:spacing w:after="40"/>
                                      <w:jc w:val="center"/>
                                      <w:rPr>
                                        <w:caps/>
                                        <w:color w:val="5B9BD5" w:themeColor="accent1"/>
                                        <w:sz w:val="28"/>
                                        <w:szCs w:val="28"/>
                                      </w:rPr>
                                    </w:pPr>
                                    <w:r>
                                      <w:rPr>
                                        <w:caps/>
                                        <w:color w:val="5B9BD5" w:themeColor="accent1"/>
                                        <w:sz w:val="28"/>
                                        <w:szCs w:val="28"/>
                                      </w:rPr>
                                      <w:t>6 de febrero de 2020</w:t>
                                    </w:r>
                                  </w:p>
                                </w:sdtContent>
                              </w:sdt>
                              <w:p w:rsidR="00B854D7" w:rsidRDefault="000A655B">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B854D7">
                                      <w:rPr>
                                        <w:caps/>
                                        <w:color w:val="5B9BD5" w:themeColor="accent1"/>
                                      </w:rPr>
                                      <w:t>Kybele</w:t>
                                    </w:r>
                                  </w:sdtContent>
                                </w:sdt>
                              </w:p>
                              <w:p w:rsidR="00B854D7" w:rsidRDefault="00B854D7">
                                <w:pPr>
                                  <w:pStyle w:val="Sinespaciado"/>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02-06T00:00:00Z">
                              <w:dateFormat w:val="d 'de' MMMM 'de' yyyy"/>
                              <w:lid w:val="es-ES"/>
                              <w:storeMappedDataAs w:val="dateTime"/>
                              <w:calendar w:val="gregorian"/>
                            </w:date>
                          </w:sdtPr>
                          <w:sdtContent>
                            <w:p w:rsidR="00B854D7" w:rsidRDefault="00B854D7">
                              <w:pPr>
                                <w:pStyle w:val="Sinespaciado"/>
                                <w:spacing w:after="40"/>
                                <w:jc w:val="center"/>
                                <w:rPr>
                                  <w:caps/>
                                  <w:color w:val="5B9BD5" w:themeColor="accent1"/>
                                  <w:sz w:val="28"/>
                                  <w:szCs w:val="28"/>
                                </w:rPr>
                              </w:pPr>
                              <w:r>
                                <w:rPr>
                                  <w:caps/>
                                  <w:color w:val="5B9BD5" w:themeColor="accent1"/>
                                  <w:sz w:val="28"/>
                                  <w:szCs w:val="28"/>
                                </w:rPr>
                                <w:t>6 de febrero de 2020</w:t>
                              </w:r>
                            </w:p>
                          </w:sdtContent>
                        </w:sdt>
                        <w:p w:rsidR="00B854D7" w:rsidRDefault="00B854D7">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Kybele</w:t>
                              </w:r>
                            </w:sdtContent>
                          </w:sdt>
                        </w:p>
                        <w:p w:rsidR="00B854D7" w:rsidRDefault="00B854D7">
                          <w:pPr>
                            <w:pStyle w:val="Sinespaciado"/>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Pr>
              <w:color w:val="5B9BD5" w:themeColor="accent1"/>
            </w:rPr>
            <w:t xml:space="preserve"> </w:t>
          </w:r>
        </w:p>
        <w:p w:rsidR="00B854D7" w:rsidRDefault="00B854D7">
          <w:pPr>
            <w:pStyle w:val="Sinespaciado"/>
            <w:spacing w:before="480"/>
            <w:jc w:val="center"/>
            <w:rPr>
              <w:color w:val="5B9BD5" w:themeColor="accent1"/>
            </w:rPr>
          </w:pPr>
          <w:r>
            <w:rPr>
              <w:noProof/>
            </w:rPr>
            <w:drawing>
              <wp:inline distT="0" distB="0" distL="0" distR="0" wp14:anchorId="40AE0338" wp14:editId="6EBE4392">
                <wp:extent cx="3674817" cy="3674817"/>
                <wp:effectExtent l="0" t="0" r="1905"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kybeletrans.png"/>
                        <pic:cNvPicPr/>
                      </pic:nvPicPr>
                      <pic:blipFill>
                        <a:blip r:embed="rId10">
                          <a:extLst>
                            <a:ext uri="{28A0092B-C50C-407E-A947-70E740481C1C}">
                              <a14:useLocalDpi xmlns:a14="http://schemas.microsoft.com/office/drawing/2010/main" val="0"/>
                            </a:ext>
                          </a:extLst>
                        </a:blip>
                        <a:stretch>
                          <a:fillRect/>
                        </a:stretch>
                      </pic:blipFill>
                      <pic:spPr>
                        <a:xfrm>
                          <a:off x="0" y="0"/>
                          <a:ext cx="3715759" cy="3715759"/>
                        </a:xfrm>
                        <a:prstGeom prst="rect">
                          <a:avLst/>
                        </a:prstGeom>
                      </pic:spPr>
                    </pic:pic>
                  </a:graphicData>
                </a:graphic>
              </wp:inline>
            </w:drawing>
          </w:r>
        </w:p>
        <w:p w:rsidR="00B854D7" w:rsidRDefault="00B854D7">
          <w:pPr>
            <w:rPr>
              <w:rFonts w:asciiTheme="majorHAnsi" w:eastAsiaTheme="majorEastAsia" w:hAnsiTheme="majorHAnsi" w:cstheme="majorBidi"/>
              <w:spacing w:val="-10"/>
              <w:kern w:val="28"/>
              <w:sz w:val="56"/>
              <w:szCs w:val="56"/>
            </w:rPr>
          </w:pPr>
          <w:r>
            <w:br w:type="page"/>
          </w:r>
        </w:p>
      </w:sdtContent>
    </w:sdt>
    <w:p w:rsidR="00FC5C54" w:rsidRDefault="00FC5C54" w:rsidP="00710F14">
      <w:pPr>
        <w:pStyle w:val="Ttulo1"/>
        <w:jc w:val="center"/>
      </w:pPr>
      <w:r>
        <w:lastRenderedPageBreak/>
        <w:t>Configuración inicial</w:t>
      </w:r>
    </w:p>
    <w:p w:rsidR="00FC5C54" w:rsidRDefault="00FC5C54" w:rsidP="00710F14">
      <w:pPr>
        <w:jc w:val="both"/>
        <w:rPr>
          <w:sz w:val="23"/>
          <w:szCs w:val="23"/>
        </w:rPr>
      </w:pPr>
      <w:r w:rsidRPr="00A340F6">
        <w:rPr>
          <w:sz w:val="23"/>
          <w:szCs w:val="23"/>
        </w:rPr>
        <w:t xml:space="preserve">En el directorio de la aplicación existe un fichero llamado </w:t>
      </w:r>
      <w:r w:rsidR="006A7B52">
        <w:rPr>
          <w:b/>
          <w:sz w:val="23"/>
          <w:szCs w:val="23"/>
        </w:rPr>
        <w:t>“</w:t>
      </w:r>
      <w:r w:rsidR="006A7B52" w:rsidRPr="007C787F">
        <w:rPr>
          <w:b/>
          <w:sz w:val="23"/>
          <w:szCs w:val="23"/>
        </w:rPr>
        <w:t>AlfaConverter.exe.config</w:t>
      </w:r>
      <w:r w:rsidR="006A7B52">
        <w:rPr>
          <w:b/>
          <w:sz w:val="23"/>
          <w:szCs w:val="23"/>
        </w:rPr>
        <w:t>”</w:t>
      </w:r>
      <w:r w:rsidRPr="00A340F6">
        <w:rPr>
          <w:sz w:val="23"/>
          <w:szCs w:val="23"/>
        </w:rPr>
        <w:t>, cuyo contenido permite configurar algunos parámetros básicos. Los más importantes son:</w:t>
      </w:r>
    </w:p>
    <w:p w:rsidR="006A7B52" w:rsidRDefault="00EF0D44" w:rsidP="006A7B52">
      <w:pPr>
        <w:keepNext/>
        <w:jc w:val="both"/>
      </w:pPr>
      <w:r>
        <w:rPr>
          <w:noProof/>
          <w:lang w:eastAsia="es-ES"/>
        </w:rPr>
        <w:drawing>
          <wp:inline distT="0" distB="0" distL="0" distR="0">
            <wp:extent cx="5400040" cy="196723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exionAlfaConvert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967230"/>
                    </a:xfrm>
                    <a:prstGeom prst="rect">
                      <a:avLst/>
                    </a:prstGeom>
                  </pic:spPr>
                </pic:pic>
              </a:graphicData>
            </a:graphic>
          </wp:inline>
        </w:drawing>
      </w:r>
    </w:p>
    <w:p w:rsidR="006A7B52" w:rsidRPr="00A340F6" w:rsidRDefault="006A7B52" w:rsidP="006A7B52">
      <w:pPr>
        <w:pStyle w:val="Descripcin"/>
        <w:jc w:val="center"/>
        <w:rPr>
          <w:sz w:val="23"/>
          <w:szCs w:val="23"/>
        </w:rPr>
      </w:pPr>
      <w:r>
        <w:t xml:space="preserve">Ilustración </w:t>
      </w:r>
      <w:r w:rsidR="000A655B">
        <w:fldChar w:fldCharType="begin"/>
      </w:r>
      <w:r w:rsidR="000A655B">
        <w:instrText xml:space="preserve"> SEQ Ilustración \* ARABIC </w:instrText>
      </w:r>
      <w:r w:rsidR="000A655B">
        <w:fldChar w:fldCharType="separate"/>
      </w:r>
      <w:r>
        <w:rPr>
          <w:noProof/>
        </w:rPr>
        <w:t>1</w:t>
      </w:r>
      <w:r w:rsidR="000A655B">
        <w:rPr>
          <w:noProof/>
        </w:rPr>
        <w:fldChar w:fldCharType="end"/>
      </w:r>
      <w:r>
        <w:t>: Campos importantes para la configuración de AlfaConverter</w:t>
      </w:r>
    </w:p>
    <w:p w:rsidR="00FC5C54" w:rsidRPr="006A55A4" w:rsidRDefault="00FC5C54" w:rsidP="00FC5C54">
      <w:pPr>
        <w:rPr>
          <w:rStyle w:val="nfasissutil"/>
          <w:b/>
        </w:rPr>
      </w:pPr>
      <w:r w:rsidRPr="006A55A4">
        <w:rPr>
          <w:rStyle w:val="nfasissutil"/>
          <w:b/>
        </w:rPr>
        <w:t>configuration/connectionStrings</w:t>
      </w:r>
    </w:p>
    <w:p w:rsidR="00FC5C54" w:rsidRPr="00A340F6" w:rsidRDefault="00FC5C54" w:rsidP="00710F14">
      <w:pPr>
        <w:jc w:val="both"/>
        <w:rPr>
          <w:sz w:val="23"/>
          <w:szCs w:val="23"/>
        </w:rPr>
      </w:pPr>
      <w:r w:rsidRPr="00A340F6">
        <w:rPr>
          <w:sz w:val="23"/>
          <w:szCs w:val="23"/>
        </w:rPr>
        <w:t>Contiene una cadena de conexión de base de datos con nombre “SqlServerTemplate”, que es utilizado por la aplicación para conectar a un se</w:t>
      </w:r>
      <w:r w:rsidR="00630115">
        <w:rPr>
          <w:sz w:val="23"/>
          <w:szCs w:val="23"/>
        </w:rPr>
        <w:t>rvidor SQL Server (campo DataSource),</w:t>
      </w:r>
      <w:r w:rsidRPr="00A340F6">
        <w:rPr>
          <w:sz w:val="23"/>
          <w:szCs w:val="23"/>
        </w:rPr>
        <w:t xml:space="preserve"> a </w:t>
      </w:r>
      <w:r w:rsidR="00630115">
        <w:rPr>
          <w:sz w:val="23"/>
          <w:szCs w:val="23"/>
        </w:rPr>
        <w:t>una base de datos (campo Initial Catalog</w:t>
      </w:r>
      <w:r w:rsidRPr="00A340F6">
        <w:rPr>
          <w:sz w:val="23"/>
          <w:szCs w:val="23"/>
        </w:rPr>
        <w:t>)</w:t>
      </w:r>
      <w:r w:rsidR="00630115">
        <w:rPr>
          <w:sz w:val="23"/>
          <w:szCs w:val="23"/>
        </w:rPr>
        <w:t xml:space="preserve"> y para introducir las credenciales de usuario para la conexión (campo User Id y Password)</w:t>
      </w:r>
      <w:bookmarkStart w:id="0" w:name="_GoBack"/>
      <w:bookmarkEnd w:id="0"/>
      <w:r w:rsidRPr="00A340F6">
        <w:rPr>
          <w:sz w:val="23"/>
          <w:szCs w:val="23"/>
        </w:rPr>
        <w:t>.</w:t>
      </w:r>
    </w:p>
    <w:p w:rsidR="00FC5C54" w:rsidRPr="006A55A4" w:rsidRDefault="00FC5C54" w:rsidP="00FC5C54">
      <w:pPr>
        <w:rPr>
          <w:rStyle w:val="nfasissutil"/>
          <w:b/>
        </w:rPr>
      </w:pPr>
      <w:r w:rsidRPr="006A55A4">
        <w:rPr>
          <w:rStyle w:val="nfasissutil"/>
          <w:b/>
        </w:rPr>
        <w:t>configuration/appSettings</w:t>
      </w:r>
    </w:p>
    <w:p w:rsidR="00FC5C54" w:rsidRPr="00A340F6" w:rsidRDefault="00FC5C54" w:rsidP="00710F14">
      <w:pPr>
        <w:jc w:val="both"/>
        <w:rPr>
          <w:sz w:val="23"/>
          <w:szCs w:val="23"/>
        </w:rPr>
      </w:pPr>
      <w:r w:rsidRPr="00A340F6">
        <w:rPr>
          <w:sz w:val="23"/>
          <w:szCs w:val="23"/>
        </w:rPr>
        <w:t>Contienen configuraciones de tipo clave-valor. Hay dos:</w:t>
      </w:r>
    </w:p>
    <w:p w:rsidR="00FC5C54" w:rsidRPr="00A340F6" w:rsidRDefault="00FC5C54" w:rsidP="00F76A72">
      <w:pPr>
        <w:pStyle w:val="Prrafodelista"/>
        <w:numPr>
          <w:ilvl w:val="0"/>
          <w:numId w:val="10"/>
        </w:numPr>
        <w:rPr>
          <w:sz w:val="23"/>
          <w:szCs w:val="23"/>
        </w:rPr>
      </w:pPr>
      <w:r w:rsidRPr="006A55A4">
        <w:rPr>
          <w:b/>
          <w:sz w:val="23"/>
          <w:szCs w:val="23"/>
        </w:rPr>
        <w:t>SqlServerName</w:t>
      </w:r>
      <w:r w:rsidRPr="00A340F6">
        <w:rPr>
          <w:sz w:val="23"/>
          <w:szCs w:val="23"/>
        </w:rPr>
        <w:t>: Nombre del servidor al que se conecta por defecto al iniciar.</w:t>
      </w:r>
    </w:p>
    <w:p w:rsidR="00D25752" w:rsidRPr="006A55A4" w:rsidRDefault="00FC5C54" w:rsidP="00F76A72">
      <w:pPr>
        <w:pStyle w:val="Prrafodelista"/>
        <w:numPr>
          <w:ilvl w:val="0"/>
          <w:numId w:val="10"/>
        </w:numPr>
        <w:rPr>
          <w:sz w:val="23"/>
          <w:szCs w:val="23"/>
        </w:rPr>
      </w:pPr>
      <w:r w:rsidRPr="006A55A4">
        <w:rPr>
          <w:b/>
          <w:sz w:val="23"/>
          <w:szCs w:val="23"/>
        </w:rPr>
        <w:t>SqlDatabaseName</w:t>
      </w:r>
      <w:r w:rsidRPr="006A55A4">
        <w:rPr>
          <w:sz w:val="23"/>
          <w:szCs w:val="23"/>
        </w:rPr>
        <w:t>: Nombre de la base de datos a la que se conecta por defecto al iniciar</w:t>
      </w:r>
    </w:p>
    <w:p w:rsidR="0029033E" w:rsidRDefault="00F76A72" w:rsidP="00710F14">
      <w:pPr>
        <w:pStyle w:val="Ttulo1"/>
        <w:jc w:val="center"/>
      </w:pPr>
      <w:r>
        <w:t>Uso de la aplicación</w:t>
      </w:r>
    </w:p>
    <w:p w:rsidR="0029033E" w:rsidRDefault="0029033E" w:rsidP="00710F14">
      <w:pPr>
        <w:jc w:val="both"/>
        <w:rPr>
          <w:sz w:val="23"/>
          <w:szCs w:val="23"/>
        </w:rPr>
      </w:pPr>
      <w:r>
        <w:rPr>
          <w:sz w:val="23"/>
          <w:szCs w:val="23"/>
        </w:rPr>
        <w:t>Al abrir la aplicación, inicialmente se conecta a la base de datos del servidor configurado en el fichero App.config. Por ejemplo, ver la siguiente figura:</w:t>
      </w:r>
    </w:p>
    <w:p w:rsidR="00A340F6" w:rsidRDefault="0029033E" w:rsidP="00A340F6">
      <w:pPr>
        <w:keepNext/>
      </w:pPr>
      <w:r w:rsidRPr="0029033E">
        <w:rPr>
          <w:noProof/>
          <w:lang w:eastAsia="es-ES"/>
        </w:rPr>
        <w:lastRenderedPageBreak/>
        <w:drawing>
          <wp:inline distT="0" distB="0" distL="0" distR="0" wp14:anchorId="323938E7" wp14:editId="5848C378">
            <wp:extent cx="5397111" cy="26544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0413" cy="2675788"/>
                    </a:xfrm>
                    <a:prstGeom prst="rect">
                      <a:avLst/>
                    </a:prstGeom>
                    <a:noFill/>
                    <a:ln>
                      <a:noFill/>
                    </a:ln>
                  </pic:spPr>
                </pic:pic>
              </a:graphicData>
            </a:graphic>
          </wp:inline>
        </w:drawing>
      </w:r>
    </w:p>
    <w:p w:rsidR="0029033E" w:rsidRDefault="00A340F6" w:rsidP="00A340F6">
      <w:pPr>
        <w:pStyle w:val="Descripcin"/>
        <w:jc w:val="center"/>
      </w:pPr>
      <w:r>
        <w:t xml:space="preserve">Ilustración </w:t>
      </w:r>
      <w:r w:rsidR="000A655B">
        <w:fldChar w:fldCharType="begin"/>
      </w:r>
      <w:r w:rsidR="000A655B">
        <w:instrText xml:space="preserve"> SEQ Ilustración \* ARABIC </w:instrText>
      </w:r>
      <w:r w:rsidR="000A655B">
        <w:fldChar w:fldCharType="separate"/>
      </w:r>
      <w:r w:rsidR="006A7B52">
        <w:rPr>
          <w:noProof/>
        </w:rPr>
        <w:t>2</w:t>
      </w:r>
      <w:r w:rsidR="000A655B">
        <w:rPr>
          <w:noProof/>
        </w:rPr>
        <w:fldChar w:fldCharType="end"/>
      </w:r>
      <w:r>
        <w:t>: Apertura inicial de la aplicación</w:t>
      </w:r>
    </w:p>
    <w:p w:rsidR="0029033E" w:rsidRDefault="0029033E" w:rsidP="00710F14">
      <w:pPr>
        <w:jc w:val="both"/>
        <w:rPr>
          <w:sz w:val="23"/>
          <w:szCs w:val="23"/>
        </w:rPr>
      </w:pPr>
      <w:r>
        <w:rPr>
          <w:sz w:val="23"/>
          <w:szCs w:val="23"/>
        </w:rPr>
        <w:t xml:space="preserve">Dado que en el proceso de conexión realiza un análisis de la base de datos en busca de las tablas y sus columnas, puede tomar un tiempo en que acabe por mostrar en el panel izquierdo el resultado. Dicho resultado se puede apreciar </w:t>
      </w:r>
      <w:r w:rsidR="00A340F6">
        <w:rPr>
          <w:sz w:val="23"/>
          <w:szCs w:val="23"/>
        </w:rPr>
        <w:t>a continuación</w:t>
      </w:r>
      <w:r>
        <w:rPr>
          <w:sz w:val="23"/>
          <w:szCs w:val="23"/>
        </w:rPr>
        <w:t>:</w:t>
      </w:r>
    </w:p>
    <w:p w:rsidR="006A55A4" w:rsidRDefault="0029033E" w:rsidP="006A55A4">
      <w:pPr>
        <w:keepNext/>
      </w:pPr>
      <w:r w:rsidRPr="0029033E">
        <w:rPr>
          <w:noProof/>
          <w:lang w:eastAsia="es-ES"/>
        </w:rPr>
        <w:drawing>
          <wp:inline distT="0" distB="0" distL="0" distR="0" wp14:anchorId="36F40362" wp14:editId="4A329D25">
            <wp:extent cx="5400040" cy="303234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032348"/>
                    </a:xfrm>
                    <a:prstGeom prst="rect">
                      <a:avLst/>
                    </a:prstGeom>
                    <a:noFill/>
                    <a:ln>
                      <a:noFill/>
                    </a:ln>
                  </pic:spPr>
                </pic:pic>
              </a:graphicData>
            </a:graphic>
          </wp:inline>
        </w:drawing>
      </w:r>
    </w:p>
    <w:p w:rsidR="0029033E" w:rsidRDefault="006A55A4" w:rsidP="006A55A4">
      <w:pPr>
        <w:pStyle w:val="Descripcin"/>
        <w:jc w:val="center"/>
      </w:pPr>
      <w:r>
        <w:t xml:space="preserve">Ilustración </w:t>
      </w:r>
      <w:r w:rsidR="000A655B">
        <w:fldChar w:fldCharType="begin"/>
      </w:r>
      <w:r w:rsidR="000A655B">
        <w:instrText xml:space="preserve"> SEQ Ilustración \* ARABIC </w:instrText>
      </w:r>
      <w:r w:rsidR="000A655B">
        <w:fldChar w:fldCharType="separate"/>
      </w:r>
      <w:r w:rsidR="006A7B52">
        <w:rPr>
          <w:noProof/>
        </w:rPr>
        <w:t>3</w:t>
      </w:r>
      <w:r w:rsidR="000A655B">
        <w:rPr>
          <w:noProof/>
        </w:rPr>
        <w:fldChar w:fldCharType="end"/>
      </w:r>
      <w:r>
        <w:t>: Carga inicial de las tablas de la base de datos configurada</w:t>
      </w:r>
    </w:p>
    <w:p w:rsidR="0029033E" w:rsidRDefault="0029033E" w:rsidP="00710F14">
      <w:pPr>
        <w:jc w:val="both"/>
        <w:rPr>
          <w:sz w:val="23"/>
          <w:szCs w:val="23"/>
        </w:rPr>
      </w:pPr>
      <w:r>
        <w:rPr>
          <w:sz w:val="23"/>
          <w:szCs w:val="23"/>
        </w:rPr>
        <w:t xml:space="preserve">En este estado, el usuario puede modificar el nombre del servidor, en cuyo caso la lista desplegable de bases de datos se actualiza con el nuevo listado. El usuario también puede seleccionar otra base de </w:t>
      </w:r>
      <w:r w:rsidR="006A55A4">
        <w:rPr>
          <w:sz w:val="23"/>
          <w:szCs w:val="23"/>
        </w:rPr>
        <w:t>datos si así lo desea</w:t>
      </w:r>
      <w:r>
        <w:rPr>
          <w:sz w:val="23"/>
          <w:szCs w:val="23"/>
        </w:rPr>
        <w:t>:</w:t>
      </w:r>
    </w:p>
    <w:p w:rsidR="006A55A4" w:rsidRDefault="0029033E" w:rsidP="006A55A4">
      <w:pPr>
        <w:keepNext/>
      </w:pPr>
      <w:r w:rsidRPr="0029033E">
        <w:rPr>
          <w:noProof/>
          <w:lang w:eastAsia="es-ES"/>
        </w:rPr>
        <w:lastRenderedPageBreak/>
        <w:drawing>
          <wp:inline distT="0" distB="0" distL="0" distR="0" wp14:anchorId="5D70C69D" wp14:editId="4A8051A5">
            <wp:extent cx="5400040" cy="303234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032348"/>
                    </a:xfrm>
                    <a:prstGeom prst="rect">
                      <a:avLst/>
                    </a:prstGeom>
                    <a:noFill/>
                    <a:ln>
                      <a:noFill/>
                    </a:ln>
                  </pic:spPr>
                </pic:pic>
              </a:graphicData>
            </a:graphic>
          </wp:inline>
        </w:drawing>
      </w:r>
    </w:p>
    <w:p w:rsidR="0029033E" w:rsidRDefault="006A55A4" w:rsidP="006A55A4">
      <w:pPr>
        <w:pStyle w:val="Descripcin"/>
        <w:jc w:val="center"/>
      </w:pPr>
      <w:r>
        <w:t xml:space="preserve">Ilustración </w:t>
      </w:r>
      <w:r w:rsidR="000A655B">
        <w:fldChar w:fldCharType="begin"/>
      </w:r>
      <w:r w:rsidR="000A655B">
        <w:instrText xml:space="preserve"> SEQ Ilustración \* ARABIC </w:instrText>
      </w:r>
      <w:r w:rsidR="000A655B">
        <w:fldChar w:fldCharType="separate"/>
      </w:r>
      <w:r w:rsidR="006A7B52">
        <w:rPr>
          <w:noProof/>
        </w:rPr>
        <w:t>4</w:t>
      </w:r>
      <w:r w:rsidR="000A655B">
        <w:rPr>
          <w:noProof/>
        </w:rPr>
        <w:fldChar w:fldCharType="end"/>
      </w:r>
      <w:r>
        <w:t>: Desplegando el listado de BD</w:t>
      </w:r>
    </w:p>
    <w:p w:rsidR="0029033E" w:rsidRDefault="0029033E" w:rsidP="00710F14">
      <w:pPr>
        <w:jc w:val="both"/>
        <w:rPr>
          <w:sz w:val="23"/>
          <w:szCs w:val="23"/>
        </w:rPr>
      </w:pPr>
      <w:r>
        <w:rPr>
          <w:sz w:val="23"/>
          <w:szCs w:val="23"/>
        </w:rPr>
        <w:t>Al seleccionar una base de datos diferente, el listado de tablas del panel</w:t>
      </w:r>
      <w:r w:rsidR="006A55A4">
        <w:rPr>
          <w:sz w:val="23"/>
          <w:szCs w:val="23"/>
        </w:rPr>
        <w:t xml:space="preserve"> izquierdo se actualiza como se puede apreciar a continuación:</w:t>
      </w:r>
    </w:p>
    <w:p w:rsidR="006A55A4" w:rsidRDefault="0029033E" w:rsidP="006A55A4">
      <w:pPr>
        <w:keepNext/>
      </w:pPr>
      <w:r w:rsidRPr="0029033E">
        <w:rPr>
          <w:noProof/>
          <w:lang w:eastAsia="es-ES"/>
        </w:rPr>
        <w:drawing>
          <wp:inline distT="0" distB="0" distL="0" distR="0" wp14:anchorId="3D3D08B7" wp14:editId="69842507">
            <wp:extent cx="5400040" cy="30323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32348"/>
                    </a:xfrm>
                    <a:prstGeom prst="rect">
                      <a:avLst/>
                    </a:prstGeom>
                    <a:noFill/>
                    <a:ln>
                      <a:noFill/>
                    </a:ln>
                  </pic:spPr>
                </pic:pic>
              </a:graphicData>
            </a:graphic>
          </wp:inline>
        </w:drawing>
      </w:r>
    </w:p>
    <w:p w:rsidR="0029033E" w:rsidRDefault="006A55A4" w:rsidP="006A55A4">
      <w:pPr>
        <w:pStyle w:val="Descripcin"/>
        <w:jc w:val="center"/>
      </w:pPr>
      <w:r>
        <w:t xml:space="preserve">Ilustración </w:t>
      </w:r>
      <w:r w:rsidR="000A655B">
        <w:fldChar w:fldCharType="begin"/>
      </w:r>
      <w:r w:rsidR="000A655B">
        <w:instrText xml:space="preserve"> SEQ Ilustración \* ARABIC </w:instrText>
      </w:r>
      <w:r w:rsidR="000A655B">
        <w:fldChar w:fldCharType="separate"/>
      </w:r>
      <w:r w:rsidR="006A7B52">
        <w:rPr>
          <w:noProof/>
        </w:rPr>
        <w:t>5</w:t>
      </w:r>
      <w:r w:rsidR="000A655B">
        <w:rPr>
          <w:noProof/>
        </w:rPr>
        <w:fldChar w:fldCharType="end"/>
      </w:r>
      <w:r>
        <w:t>: Selección de otra base de datos</w:t>
      </w:r>
    </w:p>
    <w:p w:rsidR="0029033E" w:rsidRDefault="0029033E" w:rsidP="00710F14">
      <w:pPr>
        <w:jc w:val="both"/>
        <w:rPr>
          <w:sz w:val="23"/>
          <w:szCs w:val="23"/>
        </w:rPr>
      </w:pPr>
      <w:r>
        <w:rPr>
          <w:sz w:val="23"/>
          <w:szCs w:val="23"/>
        </w:rPr>
        <w:t>El panel izquierdo permite realizar una exploración ágil de la base de datos a través de sus tablas. Desplegar una tabla muestra su listado de columnas:</w:t>
      </w:r>
    </w:p>
    <w:p w:rsidR="006A55A4" w:rsidRDefault="0029033E" w:rsidP="006A55A4">
      <w:pPr>
        <w:keepNext/>
      </w:pPr>
      <w:r w:rsidRPr="0029033E">
        <w:rPr>
          <w:noProof/>
          <w:lang w:eastAsia="es-ES"/>
        </w:rPr>
        <w:lastRenderedPageBreak/>
        <w:drawing>
          <wp:inline distT="0" distB="0" distL="0" distR="0" wp14:anchorId="31D217DD" wp14:editId="63EA3C58">
            <wp:extent cx="5400040" cy="30323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032348"/>
                    </a:xfrm>
                    <a:prstGeom prst="rect">
                      <a:avLst/>
                    </a:prstGeom>
                    <a:noFill/>
                    <a:ln>
                      <a:noFill/>
                    </a:ln>
                  </pic:spPr>
                </pic:pic>
              </a:graphicData>
            </a:graphic>
          </wp:inline>
        </w:drawing>
      </w:r>
    </w:p>
    <w:p w:rsidR="0029033E" w:rsidRDefault="006A55A4" w:rsidP="006A55A4">
      <w:pPr>
        <w:pStyle w:val="Descripcin"/>
        <w:jc w:val="center"/>
      </w:pPr>
      <w:r>
        <w:t xml:space="preserve">Ilustración </w:t>
      </w:r>
      <w:r w:rsidR="000A655B">
        <w:fldChar w:fldCharType="begin"/>
      </w:r>
      <w:r w:rsidR="000A655B">
        <w:instrText xml:space="preserve"> SEQ Ilustración \* ARABIC </w:instrText>
      </w:r>
      <w:r w:rsidR="000A655B">
        <w:fldChar w:fldCharType="separate"/>
      </w:r>
      <w:r w:rsidR="006A7B52">
        <w:rPr>
          <w:noProof/>
        </w:rPr>
        <w:t>6</w:t>
      </w:r>
      <w:r w:rsidR="000A655B">
        <w:rPr>
          <w:noProof/>
        </w:rPr>
        <w:fldChar w:fldCharType="end"/>
      </w:r>
      <w:r>
        <w:t>: Mostrando listado de columnas en tablas</w:t>
      </w:r>
    </w:p>
    <w:p w:rsidR="0029033E" w:rsidRDefault="00A340F6" w:rsidP="00710F14">
      <w:pPr>
        <w:jc w:val="both"/>
        <w:rPr>
          <w:sz w:val="23"/>
          <w:szCs w:val="23"/>
        </w:rPr>
      </w:pPr>
      <w:r>
        <w:rPr>
          <w:sz w:val="23"/>
          <w:szCs w:val="23"/>
        </w:rPr>
        <w:t xml:space="preserve">En la anterior figura </w:t>
      </w:r>
      <w:r w:rsidR="0029033E">
        <w:rPr>
          <w:sz w:val="23"/>
          <w:szCs w:val="23"/>
        </w:rPr>
        <w:t>se puede observar que además del listado de columnas, también se muestra información adicional diferenciada por un código de colores:</w:t>
      </w:r>
    </w:p>
    <w:p w:rsidR="0029033E" w:rsidRPr="0029033E" w:rsidRDefault="0029033E" w:rsidP="00710F14">
      <w:pPr>
        <w:pStyle w:val="Prrafodelista"/>
        <w:numPr>
          <w:ilvl w:val="0"/>
          <w:numId w:val="1"/>
        </w:numPr>
        <w:jc w:val="both"/>
        <w:rPr>
          <w:sz w:val="23"/>
          <w:szCs w:val="23"/>
        </w:rPr>
      </w:pPr>
      <w:r w:rsidRPr="0029033E">
        <w:t>Verde: Tipo de la columna.</w:t>
      </w:r>
    </w:p>
    <w:p w:rsidR="0029033E" w:rsidRPr="0029033E" w:rsidRDefault="0029033E" w:rsidP="00710F14">
      <w:pPr>
        <w:pStyle w:val="Prrafodelista"/>
        <w:numPr>
          <w:ilvl w:val="0"/>
          <w:numId w:val="1"/>
        </w:numPr>
        <w:jc w:val="both"/>
        <w:rPr>
          <w:sz w:val="23"/>
          <w:szCs w:val="23"/>
        </w:rPr>
      </w:pPr>
      <w:r w:rsidRPr="0029033E">
        <w:rPr>
          <w:sz w:val="23"/>
          <w:szCs w:val="23"/>
        </w:rPr>
        <w:t xml:space="preserve">Gris: Indica si el campo puede ser NULL. </w:t>
      </w:r>
    </w:p>
    <w:p w:rsidR="0029033E" w:rsidRPr="0029033E" w:rsidRDefault="0029033E" w:rsidP="00710F14">
      <w:pPr>
        <w:pStyle w:val="Prrafodelista"/>
        <w:numPr>
          <w:ilvl w:val="0"/>
          <w:numId w:val="1"/>
        </w:numPr>
        <w:jc w:val="both"/>
        <w:rPr>
          <w:sz w:val="23"/>
          <w:szCs w:val="23"/>
        </w:rPr>
      </w:pPr>
      <w:r w:rsidRPr="0029033E">
        <w:rPr>
          <w:sz w:val="23"/>
          <w:szCs w:val="23"/>
        </w:rPr>
        <w:t xml:space="preserve">Rojo: Indica hacia qué tabla apunta una clave foránea. </w:t>
      </w:r>
    </w:p>
    <w:p w:rsidR="0029033E" w:rsidRDefault="0029033E" w:rsidP="00710F14">
      <w:pPr>
        <w:pStyle w:val="Prrafodelista"/>
        <w:numPr>
          <w:ilvl w:val="0"/>
          <w:numId w:val="1"/>
        </w:numPr>
        <w:jc w:val="both"/>
        <w:rPr>
          <w:sz w:val="23"/>
          <w:szCs w:val="23"/>
        </w:rPr>
      </w:pPr>
      <w:r w:rsidRPr="0029033E">
        <w:rPr>
          <w:sz w:val="23"/>
          <w:szCs w:val="23"/>
        </w:rPr>
        <w:t xml:space="preserve">Naranja: Indica el listado de tablas que apuntan al campo de la tabla actual. </w:t>
      </w:r>
    </w:p>
    <w:p w:rsidR="00710F14" w:rsidRDefault="00710F14" w:rsidP="00710F14">
      <w:pPr>
        <w:jc w:val="both"/>
        <w:rPr>
          <w:sz w:val="23"/>
          <w:szCs w:val="23"/>
        </w:rPr>
      </w:pPr>
    </w:p>
    <w:p w:rsidR="00710F14" w:rsidRDefault="00710F14" w:rsidP="00710F14">
      <w:pPr>
        <w:pStyle w:val="Ttulo2"/>
      </w:pPr>
      <w:r>
        <w:t>Conversión de SQL a JSON</w:t>
      </w:r>
    </w:p>
    <w:p w:rsidR="0029033E" w:rsidRPr="0029033E" w:rsidRDefault="00710F14" w:rsidP="00710F14">
      <w:pPr>
        <w:jc w:val="both"/>
        <w:rPr>
          <w:sz w:val="23"/>
          <w:szCs w:val="23"/>
        </w:rPr>
      </w:pPr>
      <w:r>
        <w:rPr>
          <w:sz w:val="23"/>
          <w:szCs w:val="23"/>
        </w:rPr>
        <w:t>Siendo</w:t>
      </w:r>
      <w:r w:rsidR="0029033E" w:rsidRPr="0029033E">
        <w:rPr>
          <w:sz w:val="23"/>
          <w:szCs w:val="23"/>
        </w:rPr>
        <w:t xml:space="preserve"> fácil obtener información importante de la tabla Pais</w:t>
      </w:r>
      <w:r>
        <w:rPr>
          <w:sz w:val="23"/>
          <w:szCs w:val="23"/>
        </w:rPr>
        <w:t>, se va a proceder a procesar dicha tabla a JSON detallando los campos que posee</w:t>
      </w:r>
      <w:r w:rsidR="0029033E" w:rsidRPr="0029033E">
        <w:rPr>
          <w:sz w:val="23"/>
          <w:szCs w:val="23"/>
        </w:rPr>
        <w:t xml:space="preserve">: </w:t>
      </w:r>
    </w:p>
    <w:p w:rsidR="0029033E" w:rsidRPr="0029033E" w:rsidRDefault="0029033E" w:rsidP="00710F14">
      <w:pPr>
        <w:pStyle w:val="Prrafodelista"/>
        <w:numPr>
          <w:ilvl w:val="0"/>
          <w:numId w:val="1"/>
        </w:numPr>
        <w:jc w:val="both"/>
        <w:rPr>
          <w:sz w:val="23"/>
          <w:szCs w:val="23"/>
        </w:rPr>
      </w:pPr>
      <w:r w:rsidRPr="0029033E">
        <w:rPr>
          <w:sz w:val="23"/>
          <w:szCs w:val="23"/>
        </w:rPr>
        <w:t xml:space="preserve">Posee tres campos: paisid, nombre y CodigoId. También se puede ver rápidamente sus tipos y si pueden ser NULL. </w:t>
      </w:r>
    </w:p>
    <w:p w:rsidR="0029033E" w:rsidRPr="0029033E" w:rsidRDefault="0029033E" w:rsidP="00710F14">
      <w:pPr>
        <w:pStyle w:val="Prrafodelista"/>
        <w:numPr>
          <w:ilvl w:val="0"/>
          <w:numId w:val="1"/>
        </w:numPr>
        <w:jc w:val="both"/>
        <w:rPr>
          <w:sz w:val="23"/>
          <w:szCs w:val="23"/>
        </w:rPr>
      </w:pPr>
      <w:r w:rsidRPr="0029033E">
        <w:rPr>
          <w:sz w:val="23"/>
          <w:szCs w:val="23"/>
        </w:rPr>
        <w:t xml:space="preserve">El campo Pais.CodigoId apunta a la columna Codigo.CodigoId. </w:t>
      </w:r>
    </w:p>
    <w:p w:rsidR="0029033E" w:rsidRDefault="0029033E" w:rsidP="00710F14">
      <w:pPr>
        <w:pStyle w:val="Prrafodelista"/>
        <w:numPr>
          <w:ilvl w:val="0"/>
          <w:numId w:val="1"/>
        </w:numPr>
        <w:jc w:val="both"/>
        <w:rPr>
          <w:sz w:val="23"/>
          <w:szCs w:val="23"/>
        </w:rPr>
      </w:pPr>
      <w:r w:rsidRPr="0029033E">
        <w:rPr>
          <w:sz w:val="23"/>
          <w:szCs w:val="23"/>
        </w:rPr>
        <w:t xml:space="preserve">El campo Pais.paisid es referido por la columna Cliente.paisid. </w:t>
      </w:r>
    </w:p>
    <w:p w:rsidR="0029033E" w:rsidRDefault="0029033E" w:rsidP="00710F14">
      <w:pPr>
        <w:jc w:val="both"/>
        <w:rPr>
          <w:sz w:val="23"/>
          <w:szCs w:val="23"/>
        </w:rPr>
      </w:pPr>
      <w:r w:rsidRPr="0029033E">
        <w:rPr>
          <w:sz w:val="23"/>
          <w:szCs w:val="23"/>
        </w:rPr>
        <w:t>A continuación, el usuario puede selecci</w:t>
      </w:r>
      <w:r w:rsidR="00710F14">
        <w:rPr>
          <w:sz w:val="23"/>
          <w:szCs w:val="23"/>
        </w:rPr>
        <w:t>onar una o más tablas</w:t>
      </w:r>
      <w:r w:rsidRPr="0029033E">
        <w:rPr>
          <w:sz w:val="23"/>
          <w:szCs w:val="23"/>
        </w:rPr>
        <w:t>:</w:t>
      </w:r>
    </w:p>
    <w:p w:rsidR="00710F14" w:rsidRDefault="0029033E" w:rsidP="00710F14">
      <w:pPr>
        <w:keepNext/>
      </w:pPr>
      <w:r w:rsidRPr="0029033E">
        <w:rPr>
          <w:noProof/>
          <w:sz w:val="23"/>
          <w:szCs w:val="23"/>
          <w:lang w:eastAsia="es-ES"/>
        </w:rPr>
        <w:lastRenderedPageBreak/>
        <w:drawing>
          <wp:inline distT="0" distB="0" distL="0" distR="0" wp14:anchorId="388FB1C4" wp14:editId="7BA39001">
            <wp:extent cx="5398494" cy="2907101"/>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6824" cy="2916972"/>
                    </a:xfrm>
                    <a:prstGeom prst="rect">
                      <a:avLst/>
                    </a:prstGeom>
                    <a:noFill/>
                    <a:ln>
                      <a:noFill/>
                    </a:ln>
                  </pic:spPr>
                </pic:pic>
              </a:graphicData>
            </a:graphic>
          </wp:inline>
        </w:drawing>
      </w:r>
    </w:p>
    <w:p w:rsidR="0029033E" w:rsidRDefault="00710F14" w:rsidP="00710F14">
      <w:pPr>
        <w:pStyle w:val="Descripcin"/>
        <w:jc w:val="center"/>
        <w:rPr>
          <w:sz w:val="23"/>
          <w:szCs w:val="23"/>
        </w:rPr>
      </w:pPr>
      <w:r>
        <w:t xml:space="preserve">Ilustración </w:t>
      </w:r>
      <w:r w:rsidR="000A655B">
        <w:fldChar w:fldCharType="begin"/>
      </w:r>
      <w:r w:rsidR="000A655B">
        <w:instrText xml:space="preserve"> SEQ Ilustración \* ARABIC </w:instrText>
      </w:r>
      <w:r w:rsidR="000A655B">
        <w:fldChar w:fldCharType="separate"/>
      </w:r>
      <w:r w:rsidR="006A7B52">
        <w:rPr>
          <w:noProof/>
        </w:rPr>
        <w:t>7</w:t>
      </w:r>
      <w:r w:rsidR="000A655B">
        <w:rPr>
          <w:noProof/>
        </w:rPr>
        <w:fldChar w:fldCharType="end"/>
      </w:r>
      <w:r>
        <w:t>:Selección de una tabla SQL</w:t>
      </w:r>
    </w:p>
    <w:p w:rsidR="0029033E" w:rsidRDefault="0029033E" w:rsidP="00710F14">
      <w:pPr>
        <w:jc w:val="both"/>
        <w:rPr>
          <w:sz w:val="23"/>
          <w:szCs w:val="23"/>
        </w:rPr>
      </w:pPr>
      <w:r>
        <w:rPr>
          <w:sz w:val="23"/>
          <w:szCs w:val="23"/>
        </w:rPr>
        <w:t xml:space="preserve">Al hacer click en </w:t>
      </w:r>
      <w:r w:rsidR="00710F14">
        <w:rPr>
          <w:sz w:val="23"/>
          <w:szCs w:val="23"/>
        </w:rPr>
        <w:t>el icono de procesar (Engranaje)</w:t>
      </w:r>
      <w:r>
        <w:rPr>
          <w:sz w:val="23"/>
          <w:szCs w:val="23"/>
        </w:rPr>
        <w:t>:</w:t>
      </w:r>
    </w:p>
    <w:p w:rsidR="00710F14" w:rsidRDefault="0029033E" w:rsidP="00710F14">
      <w:pPr>
        <w:keepNext/>
        <w:jc w:val="center"/>
      </w:pPr>
      <w:r w:rsidRPr="0029033E">
        <w:rPr>
          <w:noProof/>
          <w:sz w:val="23"/>
          <w:szCs w:val="23"/>
          <w:lang w:eastAsia="es-ES"/>
        </w:rPr>
        <w:drawing>
          <wp:inline distT="0" distB="0" distL="0" distR="0" wp14:anchorId="4B3AC72F" wp14:editId="28F837B5">
            <wp:extent cx="1130300" cy="7073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30300" cy="707390"/>
                    </a:xfrm>
                    <a:prstGeom prst="rect">
                      <a:avLst/>
                    </a:prstGeom>
                    <a:noFill/>
                    <a:ln>
                      <a:noFill/>
                    </a:ln>
                  </pic:spPr>
                </pic:pic>
              </a:graphicData>
            </a:graphic>
          </wp:inline>
        </w:drawing>
      </w:r>
    </w:p>
    <w:p w:rsidR="0029033E" w:rsidRDefault="00710F14" w:rsidP="00710F14">
      <w:pPr>
        <w:pStyle w:val="Descripcin"/>
        <w:jc w:val="center"/>
        <w:rPr>
          <w:sz w:val="23"/>
          <w:szCs w:val="23"/>
        </w:rPr>
      </w:pPr>
      <w:r>
        <w:t xml:space="preserve">Ilustración </w:t>
      </w:r>
      <w:r w:rsidR="000A655B">
        <w:fldChar w:fldCharType="begin"/>
      </w:r>
      <w:r w:rsidR="000A655B">
        <w:instrText xml:space="preserve"> SEQ Ilustración \* ARABIC </w:instrText>
      </w:r>
      <w:r w:rsidR="000A655B">
        <w:fldChar w:fldCharType="separate"/>
      </w:r>
      <w:r w:rsidR="006A7B52">
        <w:rPr>
          <w:noProof/>
        </w:rPr>
        <w:t>8</w:t>
      </w:r>
      <w:r w:rsidR="000A655B">
        <w:rPr>
          <w:noProof/>
        </w:rPr>
        <w:fldChar w:fldCharType="end"/>
      </w:r>
      <w:r>
        <w:t>: Botón de "Procesar" en la herramienta AlfaConverter</w:t>
      </w:r>
    </w:p>
    <w:p w:rsidR="0029033E" w:rsidRDefault="0029033E" w:rsidP="00710F14">
      <w:pPr>
        <w:jc w:val="both"/>
        <w:rPr>
          <w:sz w:val="23"/>
          <w:szCs w:val="23"/>
        </w:rPr>
      </w:pPr>
      <w:r>
        <w:rPr>
          <w:sz w:val="23"/>
          <w:szCs w:val="23"/>
        </w:rPr>
        <w:t>La aplicación realiza un análisis de la tabla seleccionada y genera un JSON equivalente en el panel derecho:</w:t>
      </w:r>
    </w:p>
    <w:p w:rsidR="00710F14" w:rsidRDefault="0029033E" w:rsidP="00710F14">
      <w:pPr>
        <w:keepNext/>
      </w:pPr>
      <w:r w:rsidRPr="0029033E">
        <w:rPr>
          <w:noProof/>
          <w:sz w:val="23"/>
          <w:szCs w:val="23"/>
          <w:lang w:eastAsia="es-ES"/>
        </w:rPr>
        <w:drawing>
          <wp:inline distT="0" distB="0" distL="0" distR="0" wp14:anchorId="0D82E488" wp14:editId="7185E06A">
            <wp:extent cx="5398614" cy="258792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3425" cy="2595025"/>
                    </a:xfrm>
                    <a:prstGeom prst="rect">
                      <a:avLst/>
                    </a:prstGeom>
                    <a:noFill/>
                    <a:ln>
                      <a:noFill/>
                    </a:ln>
                  </pic:spPr>
                </pic:pic>
              </a:graphicData>
            </a:graphic>
          </wp:inline>
        </w:drawing>
      </w:r>
    </w:p>
    <w:p w:rsidR="0029033E" w:rsidRDefault="00710F14" w:rsidP="00710F14">
      <w:pPr>
        <w:pStyle w:val="Descripcin"/>
        <w:jc w:val="center"/>
        <w:rPr>
          <w:sz w:val="23"/>
          <w:szCs w:val="23"/>
        </w:rPr>
      </w:pPr>
      <w:r>
        <w:t xml:space="preserve">Ilustración </w:t>
      </w:r>
      <w:r w:rsidR="000A655B">
        <w:fldChar w:fldCharType="begin"/>
      </w:r>
      <w:r w:rsidR="000A655B">
        <w:instrText xml:space="preserve"> SEQ Ilustración \* ARABIC </w:instrText>
      </w:r>
      <w:r w:rsidR="000A655B">
        <w:fldChar w:fldCharType="separate"/>
      </w:r>
      <w:r w:rsidR="006A7B52">
        <w:rPr>
          <w:noProof/>
        </w:rPr>
        <w:t>9</w:t>
      </w:r>
      <w:r w:rsidR="000A655B">
        <w:rPr>
          <w:noProof/>
        </w:rPr>
        <w:fldChar w:fldCharType="end"/>
      </w:r>
      <w:r>
        <w:t>: Conversión de una tabla SQL a JSON</w:t>
      </w:r>
    </w:p>
    <w:p w:rsidR="0029033E" w:rsidRPr="0029033E" w:rsidRDefault="0029033E" w:rsidP="00710F14">
      <w:pPr>
        <w:jc w:val="both"/>
        <w:rPr>
          <w:sz w:val="23"/>
          <w:szCs w:val="23"/>
        </w:rPr>
      </w:pPr>
      <w:r>
        <w:rPr>
          <w:sz w:val="23"/>
          <w:szCs w:val="23"/>
        </w:rPr>
        <w:t>Co</w:t>
      </w:r>
      <w:r w:rsidR="00710F14">
        <w:rPr>
          <w:sz w:val="23"/>
          <w:szCs w:val="23"/>
        </w:rPr>
        <w:t>mo se puede observar en la ilustración 8</w:t>
      </w:r>
      <w:r>
        <w:rPr>
          <w:sz w:val="23"/>
          <w:szCs w:val="23"/>
        </w:rPr>
        <w:t>, el JSON que se ha generado explica las relaciones SQL con origen en la tabla Cliente:</w:t>
      </w:r>
    </w:p>
    <w:p w:rsidR="0029033E" w:rsidRPr="0029033E" w:rsidRDefault="0029033E" w:rsidP="00710F14">
      <w:pPr>
        <w:pStyle w:val="Prrafodelista"/>
        <w:numPr>
          <w:ilvl w:val="0"/>
          <w:numId w:val="5"/>
        </w:numPr>
        <w:jc w:val="both"/>
        <w:rPr>
          <w:sz w:val="23"/>
          <w:szCs w:val="23"/>
        </w:rPr>
      </w:pPr>
      <w:r w:rsidRPr="0029033E">
        <w:rPr>
          <w:sz w:val="23"/>
          <w:szCs w:val="23"/>
        </w:rPr>
        <w:lastRenderedPageBreak/>
        <w:t xml:space="preserve">Como Cliente.paisid es una clave foránea hacia la tabla Pais, en la estructura JSON se traduce en un campo de nombre “Pais” que a su vez contiene campos según su tabla. </w:t>
      </w:r>
    </w:p>
    <w:p w:rsidR="0029033E" w:rsidRPr="0029033E" w:rsidRDefault="0029033E" w:rsidP="00710F14">
      <w:pPr>
        <w:pStyle w:val="Prrafodelista"/>
        <w:numPr>
          <w:ilvl w:val="0"/>
          <w:numId w:val="5"/>
        </w:numPr>
        <w:jc w:val="both"/>
        <w:rPr>
          <w:sz w:val="23"/>
          <w:szCs w:val="23"/>
        </w:rPr>
      </w:pPr>
      <w:r w:rsidRPr="0029033E">
        <w:rPr>
          <w:sz w:val="23"/>
          <w:szCs w:val="23"/>
        </w:rPr>
        <w:t xml:space="preserve">Como Pais.CodigoId es una clave foránea hacia la tabla Codigo, en la estructura JSON se traduce en un campo de nombre “Codigo” dentro del campo “Pais” que a su vez contiene campos según su tabla. </w:t>
      </w:r>
    </w:p>
    <w:p w:rsidR="0029033E" w:rsidRPr="0029033E" w:rsidRDefault="0029033E" w:rsidP="00710F14">
      <w:pPr>
        <w:pStyle w:val="Prrafodelista"/>
        <w:numPr>
          <w:ilvl w:val="0"/>
          <w:numId w:val="5"/>
        </w:numPr>
        <w:jc w:val="both"/>
        <w:rPr>
          <w:sz w:val="23"/>
          <w:szCs w:val="23"/>
        </w:rPr>
      </w:pPr>
      <w:r w:rsidRPr="0029033E">
        <w:rPr>
          <w:sz w:val="23"/>
          <w:szCs w:val="23"/>
        </w:rPr>
        <w:t xml:space="preserve">Como Pais.paisid es referido por la tabla Cliente, se crea un campo “Clientes” (nótese la automatización del plural), que es de tipo array. Como el objeto “Cliente” ya fue definido en un nivel superior, para evitar bucles infinitos, se frena aquí esta rama de la estructura JSON10. </w:t>
      </w:r>
    </w:p>
    <w:p w:rsidR="0029033E" w:rsidRPr="0029033E" w:rsidRDefault="0029033E" w:rsidP="00710F14">
      <w:pPr>
        <w:pStyle w:val="Prrafodelista"/>
        <w:numPr>
          <w:ilvl w:val="0"/>
          <w:numId w:val="5"/>
        </w:numPr>
        <w:jc w:val="both"/>
        <w:rPr>
          <w:sz w:val="23"/>
          <w:szCs w:val="23"/>
        </w:rPr>
      </w:pPr>
      <w:r w:rsidRPr="0029033E">
        <w:rPr>
          <w:sz w:val="23"/>
          <w:szCs w:val="23"/>
        </w:rPr>
        <w:t xml:space="preserve">Ocurre lo mismo con el campo “Paises” autogenerado en plural dentro del campo “Codigo”. Como la estructura “Pais” ha sido generada en niveles superiores, también se frena aquí la definición de la rama para evitar el bucle infinito. </w:t>
      </w:r>
    </w:p>
    <w:p w:rsidR="00E144F8" w:rsidRDefault="0029033E" w:rsidP="00E144F8">
      <w:pPr>
        <w:pStyle w:val="Prrafodelista"/>
        <w:numPr>
          <w:ilvl w:val="0"/>
          <w:numId w:val="5"/>
        </w:numPr>
        <w:jc w:val="both"/>
        <w:rPr>
          <w:sz w:val="23"/>
          <w:szCs w:val="23"/>
        </w:rPr>
      </w:pPr>
      <w:r w:rsidRPr="0029033E">
        <w:rPr>
          <w:sz w:val="23"/>
          <w:szCs w:val="23"/>
        </w:rPr>
        <w:t xml:space="preserve">Los tipos SQL se convierten a tipos NoSQL: </w:t>
      </w:r>
    </w:p>
    <w:p w:rsidR="00E144F8" w:rsidRDefault="00E144F8" w:rsidP="00E144F8">
      <w:pPr>
        <w:pStyle w:val="Prrafodelista"/>
        <w:numPr>
          <w:ilvl w:val="1"/>
          <w:numId w:val="5"/>
        </w:numPr>
        <w:jc w:val="both"/>
        <w:rPr>
          <w:sz w:val="23"/>
          <w:szCs w:val="23"/>
        </w:rPr>
      </w:pPr>
      <w:r w:rsidRPr="00E144F8">
        <w:rPr>
          <w:sz w:val="23"/>
          <w:szCs w:val="23"/>
        </w:rPr>
        <w:t xml:space="preserve">Integer se traduce a Integer. </w:t>
      </w:r>
    </w:p>
    <w:p w:rsidR="00E144F8" w:rsidRPr="00E144F8" w:rsidRDefault="00E144F8" w:rsidP="00E144F8">
      <w:pPr>
        <w:pStyle w:val="Prrafodelista"/>
        <w:numPr>
          <w:ilvl w:val="1"/>
          <w:numId w:val="5"/>
        </w:numPr>
        <w:jc w:val="both"/>
        <w:rPr>
          <w:sz w:val="23"/>
          <w:szCs w:val="23"/>
        </w:rPr>
      </w:pPr>
      <w:r>
        <w:rPr>
          <w:sz w:val="23"/>
          <w:szCs w:val="23"/>
        </w:rPr>
        <w:t>Varchar se traduce a String.</w:t>
      </w:r>
    </w:p>
    <w:p w:rsidR="00E144F8" w:rsidRDefault="00E144F8" w:rsidP="00E144F8">
      <w:pPr>
        <w:pStyle w:val="Ttulo2"/>
      </w:pPr>
      <w:r>
        <w:t>Conversión de varias tablas SQL a JSON</w:t>
      </w:r>
    </w:p>
    <w:p w:rsidR="00F76A72" w:rsidRDefault="00F76A72" w:rsidP="00710F14">
      <w:pPr>
        <w:pStyle w:val="Default"/>
        <w:jc w:val="both"/>
        <w:rPr>
          <w:sz w:val="23"/>
          <w:szCs w:val="23"/>
        </w:rPr>
      </w:pPr>
      <w:r>
        <w:rPr>
          <w:sz w:val="23"/>
          <w:szCs w:val="23"/>
        </w:rPr>
        <w:t xml:space="preserve">También es posible generar un JSON de múltiples tablas como se aprecia en la siguiente imagen: </w:t>
      </w:r>
    </w:p>
    <w:p w:rsidR="00F76A72" w:rsidRDefault="00F76A72" w:rsidP="00F76A72">
      <w:pPr>
        <w:pStyle w:val="Default"/>
        <w:keepNext/>
      </w:pPr>
      <w:r w:rsidRPr="00F76A72">
        <w:rPr>
          <w:i/>
          <w:iCs/>
          <w:noProof/>
          <w:sz w:val="18"/>
          <w:szCs w:val="18"/>
          <w:lang w:eastAsia="es-ES"/>
        </w:rPr>
        <w:drawing>
          <wp:inline distT="0" distB="0" distL="0" distR="0" wp14:anchorId="04B5599E" wp14:editId="3C3BC622">
            <wp:extent cx="5400040" cy="3653274"/>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653274"/>
                    </a:xfrm>
                    <a:prstGeom prst="rect">
                      <a:avLst/>
                    </a:prstGeom>
                    <a:noFill/>
                    <a:ln>
                      <a:noFill/>
                    </a:ln>
                  </pic:spPr>
                </pic:pic>
              </a:graphicData>
            </a:graphic>
          </wp:inline>
        </w:drawing>
      </w:r>
    </w:p>
    <w:p w:rsidR="00F76A72" w:rsidRDefault="00F76A72" w:rsidP="00F76A72">
      <w:pPr>
        <w:pStyle w:val="Descripcin"/>
        <w:jc w:val="center"/>
        <w:rPr>
          <w:i w:val="0"/>
          <w:iCs w:val="0"/>
        </w:rPr>
      </w:pPr>
      <w:r>
        <w:t xml:space="preserve">Ilustración </w:t>
      </w:r>
      <w:r w:rsidR="000A655B">
        <w:fldChar w:fldCharType="begin"/>
      </w:r>
      <w:r w:rsidR="000A655B">
        <w:instrText xml:space="preserve"> SEQ Ilustración \* ARABIC </w:instrText>
      </w:r>
      <w:r w:rsidR="000A655B">
        <w:fldChar w:fldCharType="separate"/>
      </w:r>
      <w:r w:rsidR="006A7B52">
        <w:rPr>
          <w:noProof/>
        </w:rPr>
        <w:t>10</w:t>
      </w:r>
      <w:r w:rsidR="000A655B">
        <w:rPr>
          <w:noProof/>
        </w:rPr>
        <w:fldChar w:fldCharType="end"/>
      </w:r>
      <w:r>
        <w:t xml:space="preserve">: </w:t>
      </w:r>
      <w:r w:rsidRPr="00BC20D2">
        <w:t>Conversión de dos tablas SQL a estructura JSON</w:t>
      </w:r>
    </w:p>
    <w:p w:rsidR="00F76A72" w:rsidRDefault="00F76A72" w:rsidP="00710F14">
      <w:pPr>
        <w:pStyle w:val="Default"/>
        <w:jc w:val="both"/>
        <w:rPr>
          <w:sz w:val="23"/>
          <w:szCs w:val="23"/>
        </w:rPr>
      </w:pPr>
      <w:r>
        <w:rPr>
          <w:sz w:val="23"/>
          <w:szCs w:val="23"/>
        </w:rPr>
        <w:t xml:space="preserve">En este caso, la estructura para la tabla Pais se genera siguiendo las relaciones tomando como punto de partida dicha tabla. Al generar conjuntamente Cliente y Pais, es fácil darse cuenta de la acción de la protección de bucles infinitos: </w:t>
      </w:r>
    </w:p>
    <w:p w:rsidR="00F76A72" w:rsidRDefault="00F76A72" w:rsidP="00710F14">
      <w:pPr>
        <w:pStyle w:val="Default"/>
        <w:numPr>
          <w:ilvl w:val="0"/>
          <w:numId w:val="7"/>
        </w:numPr>
        <w:spacing w:after="61"/>
        <w:jc w:val="both"/>
        <w:rPr>
          <w:sz w:val="23"/>
          <w:szCs w:val="23"/>
        </w:rPr>
      </w:pPr>
      <w:r>
        <w:rPr>
          <w:sz w:val="23"/>
          <w:szCs w:val="23"/>
        </w:rPr>
        <w:t xml:space="preserve">El campo “Pais” frena su definición en el campo “Clientes” porque ya se definió en un nivel superior. </w:t>
      </w:r>
    </w:p>
    <w:p w:rsidR="00710F14" w:rsidRDefault="00F76A72" w:rsidP="00710F14">
      <w:pPr>
        <w:pStyle w:val="Default"/>
        <w:numPr>
          <w:ilvl w:val="0"/>
          <w:numId w:val="7"/>
        </w:numPr>
        <w:jc w:val="both"/>
        <w:rPr>
          <w:sz w:val="23"/>
          <w:szCs w:val="23"/>
        </w:rPr>
      </w:pPr>
      <w:r>
        <w:rPr>
          <w:sz w:val="23"/>
          <w:szCs w:val="23"/>
        </w:rPr>
        <w:lastRenderedPageBreak/>
        <w:t xml:space="preserve">Sin embargo, cuando se define la estructura “Pais” de forma paralela, la estructura “Clientes” sí es definida. </w:t>
      </w:r>
    </w:p>
    <w:p w:rsidR="00710F14" w:rsidRPr="00710F14" w:rsidRDefault="00710F14" w:rsidP="00710F14">
      <w:pPr>
        <w:pStyle w:val="Default"/>
        <w:ind w:left="720"/>
        <w:jc w:val="both"/>
        <w:rPr>
          <w:sz w:val="23"/>
          <w:szCs w:val="23"/>
        </w:rPr>
      </w:pPr>
    </w:p>
    <w:p w:rsidR="00710F14" w:rsidRPr="00710F14" w:rsidRDefault="00710F14" w:rsidP="00710F14">
      <w:pPr>
        <w:pStyle w:val="Ttulo2"/>
      </w:pPr>
      <w:r>
        <w:t xml:space="preserve">Importación de un script SQL </w:t>
      </w:r>
    </w:p>
    <w:p w:rsidR="00F76A72" w:rsidRPr="00F76A72" w:rsidRDefault="00F76A72" w:rsidP="00710F14">
      <w:pPr>
        <w:jc w:val="both"/>
        <w:rPr>
          <w:sz w:val="23"/>
          <w:szCs w:val="23"/>
        </w:rPr>
      </w:pPr>
      <w:r>
        <w:rPr>
          <w:sz w:val="23"/>
          <w:szCs w:val="23"/>
        </w:rPr>
        <w:t>Además de poder acceder a una base de datos ya existente, la aplicación dispone de la posibilidad de importar u</w:t>
      </w:r>
      <w:r w:rsidR="00710F14">
        <w:rPr>
          <w:sz w:val="23"/>
          <w:szCs w:val="23"/>
        </w:rPr>
        <w:t>n script SQL con sentencias DDL</w:t>
      </w:r>
      <w:r>
        <w:rPr>
          <w:sz w:val="23"/>
          <w:szCs w:val="23"/>
        </w:rPr>
        <w:t xml:space="preserve"> mediante el botón de importar como se aprecia en la siguiente imagen:</w:t>
      </w:r>
    </w:p>
    <w:p w:rsidR="00F76A72" w:rsidRDefault="00F76A72" w:rsidP="00F76A72">
      <w:pPr>
        <w:keepNext/>
        <w:jc w:val="center"/>
      </w:pPr>
      <w:r w:rsidRPr="00F76A72">
        <w:rPr>
          <w:noProof/>
          <w:sz w:val="23"/>
          <w:szCs w:val="23"/>
          <w:lang w:eastAsia="es-ES"/>
        </w:rPr>
        <w:drawing>
          <wp:inline distT="0" distB="0" distL="0" distR="0" wp14:anchorId="66521641" wp14:editId="762CB48B">
            <wp:extent cx="1061085" cy="767715"/>
            <wp:effectExtent l="0" t="0" r="571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1085" cy="767715"/>
                    </a:xfrm>
                    <a:prstGeom prst="rect">
                      <a:avLst/>
                    </a:prstGeom>
                    <a:noFill/>
                    <a:ln>
                      <a:noFill/>
                    </a:ln>
                  </pic:spPr>
                </pic:pic>
              </a:graphicData>
            </a:graphic>
          </wp:inline>
        </w:drawing>
      </w:r>
    </w:p>
    <w:p w:rsidR="0029033E" w:rsidRDefault="00F76A72" w:rsidP="00F76A72">
      <w:pPr>
        <w:pStyle w:val="Descripcin"/>
        <w:jc w:val="center"/>
      </w:pPr>
      <w:r>
        <w:t xml:space="preserve">Ilustración </w:t>
      </w:r>
      <w:r w:rsidR="000A655B">
        <w:fldChar w:fldCharType="begin"/>
      </w:r>
      <w:r w:rsidR="000A655B">
        <w:instrText xml:space="preserve"> SEQ Ilustración \* ARABIC</w:instrText>
      </w:r>
      <w:r w:rsidR="000A655B">
        <w:instrText xml:space="preserve"> </w:instrText>
      </w:r>
      <w:r w:rsidR="000A655B">
        <w:fldChar w:fldCharType="separate"/>
      </w:r>
      <w:r w:rsidR="006A7B52">
        <w:rPr>
          <w:noProof/>
        </w:rPr>
        <w:t>11</w:t>
      </w:r>
      <w:r w:rsidR="000A655B">
        <w:rPr>
          <w:noProof/>
        </w:rPr>
        <w:fldChar w:fldCharType="end"/>
      </w:r>
      <w:r>
        <w:t>: Botón "Importar" de la herramienta AlfaConverter</w:t>
      </w:r>
    </w:p>
    <w:p w:rsidR="00A340F6" w:rsidRDefault="00A340F6" w:rsidP="00A340F6">
      <w:pPr>
        <w:keepNext/>
      </w:pPr>
      <w:r w:rsidRPr="00A340F6">
        <w:rPr>
          <w:noProof/>
          <w:lang w:eastAsia="es-ES"/>
        </w:rPr>
        <w:drawing>
          <wp:inline distT="0" distB="0" distL="0" distR="0" wp14:anchorId="54532242" wp14:editId="14561B0A">
            <wp:extent cx="5400040" cy="4508481"/>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508481"/>
                    </a:xfrm>
                    <a:prstGeom prst="rect">
                      <a:avLst/>
                    </a:prstGeom>
                    <a:noFill/>
                    <a:ln>
                      <a:noFill/>
                    </a:ln>
                  </pic:spPr>
                </pic:pic>
              </a:graphicData>
            </a:graphic>
          </wp:inline>
        </w:drawing>
      </w:r>
    </w:p>
    <w:p w:rsidR="00A340F6" w:rsidRDefault="00A340F6" w:rsidP="00A340F6">
      <w:pPr>
        <w:pStyle w:val="Descripcin"/>
        <w:jc w:val="center"/>
      </w:pPr>
      <w:r>
        <w:t xml:space="preserve">Ilustración </w:t>
      </w:r>
      <w:r w:rsidR="000A655B">
        <w:fldChar w:fldCharType="begin"/>
      </w:r>
      <w:r w:rsidR="000A655B">
        <w:instrText xml:space="preserve"> SEQ Ilustración \* ARABIC </w:instrText>
      </w:r>
      <w:r w:rsidR="000A655B">
        <w:fldChar w:fldCharType="separate"/>
      </w:r>
      <w:r w:rsidR="006A7B52">
        <w:rPr>
          <w:noProof/>
        </w:rPr>
        <w:t>12</w:t>
      </w:r>
      <w:r w:rsidR="000A655B">
        <w:rPr>
          <w:noProof/>
        </w:rPr>
        <w:fldChar w:fldCharType="end"/>
      </w:r>
      <w:r>
        <w:t>: Importación de un script SQL en AlfaConverter</w:t>
      </w:r>
    </w:p>
    <w:p w:rsidR="00A340F6" w:rsidRPr="00710F14" w:rsidRDefault="00A340F6" w:rsidP="00710F14">
      <w:pPr>
        <w:jc w:val="both"/>
        <w:rPr>
          <w:sz w:val="23"/>
          <w:szCs w:val="23"/>
        </w:rPr>
      </w:pPr>
      <w:r w:rsidRPr="00710F14">
        <w:rPr>
          <w:sz w:val="23"/>
          <w:szCs w:val="23"/>
        </w:rPr>
        <w:t>Si la importación ha sido realizada correctamente, la aplicación mostrará un mensaje similar al que aparece a continuación como notificación para el usuario:</w:t>
      </w:r>
    </w:p>
    <w:p w:rsidR="00A340F6" w:rsidRDefault="00A340F6" w:rsidP="00A340F6">
      <w:pPr>
        <w:keepNext/>
        <w:jc w:val="center"/>
      </w:pPr>
      <w:r w:rsidRPr="00A340F6">
        <w:rPr>
          <w:noProof/>
          <w:lang w:eastAsia="es-ES"/>
        </w:rPr>
        <w:lastRenderedPageBreak/>
        <w:drawing>
          <wp:inline distT="0" distB="0" distL="0" distR="0" wp14:anchorId="1807403D" wp14:editId="69382738">
            <wp:extent cx="3381375" cy="1440815"/>
            <wp:effectExtent l="0" t="0" r="9525"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1375" cy="1440815"/>
                    </a:xfrm>
                    <a:prstGeom prst="rect">
                      <a:avLst/>
                    </a:prstGeom>
                    <a:noFill/>
                    <a:ln>
                      <a:noFill/>
                    </a:ln>
                  </pic:spPr>
                </pic:pic>
              </a:graphicData>
            </a:graphic>
          </wp:inline>
        </w:drawing>
      </w:r>
    </w:p>
    <w:p w:rsidR="00A340F6" w:rsidRDefault="00A340F6" w:rsidP="00A340F6">
      <w:pPr>
        <w:pStyle w:val="Descripcin"/>
        <w:jc w:val="center"/>
      </w:pPr>
      <w:r>
        <w:t xml:space="preserve">Ilustración </w:t>
      </w:r>
      <w:r w:rsidR="000A655B">
        <w:fldChar w:fldCharType="begin"/>
      </w:r>
      <w:r w:rsidR="000A655B">
        <w:instrText xml:space="preserve"> SEQ Ilustración \* ARABIC </w:instrText>
      </w:r>
      <w:r w:rsidR="000A655B">
        <w:fldChar w:fldCharType="separate"/>
      </w:r>
      <w:r w:rsidR="006A7B52">
        <w:rPr>
          <w:noProof/>
        </w:rPr>
        <w:t>13</w:t>
      </w:r>
      <w:r w:rsidR="000A655B">
        <w:rPr>
          <w:noProof/>
        </w:rPr>
        <w:fldChar w:fldCharType="end"/>
      </w:r>
      <w:r>
        <w:t>: Mensaje de notificación por parte de la herramienta AlfaConverter</w:t>
      </w:r>
    </w:p>
    <w:p w:rsidR="00A340F6" w:rsidRDefault="00A340F6" w:rsidP="00710F14">
      <w:pPr>
        <w:jc w:val="both"/>
        <w:rPr>
          <w:sz w:val="23"/>
          <w:szCs w:val="23"/>
        </w:rPr>
      </w:pPr>
      <w:r>
        <w:rPr>
          <w:sz w:val="23"/>
          <w:szCs w:val="23"/>
        </w:rPr>
        <w:t>Tras lo cual, es posible seleccionar la nueva base de datos como una más:</w:t>
      </w:r>
    </w:p>
    <w:p w:rsidR="00A340F6" w:rsidRDefault="00A340F6" w:rsidP="00A340F6">
      <w:pPr>
        <w:keepNext/>
      </w:pPr>
      <w:r w:rsidRPr="00A340F6">
        <w:rPr>
          <w:noProof/>
          <w:lang w:eastAsia="es-ES"/>
        </w:rPr>
        <w:drawing>
          <wp:inline distT="0" distB="0" distL="0" distR="0" wp14:anchorId="1A26FD9E" wp14:editId="64DC4A06">
            <wp:extent cx="5400040" cy="303234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032348"/>
                    </a:xfrm>
                    <a:prstGeom prst="rect">
                      <a:avLst/>
                    </a:prstGeom>
                    <a:noFill/>
                    <a:ln>
                      <a:noFill/>
                    </a:ln>
                  </pic:spPr>
                </pic:pic>
              </a:graphicData>
            </a:graphic>
          </wp:inline>
        </w:drawing>
      </w:r>
    </w:p>
    <w:p w:rsidR="00A340F6" w:rsidRPr="00A340F6" w:rsidRDefault="00A340F6" w:rsidP="00A340F6">
      <w:pPr>
        <w:pStyle w:val="Descripcin"/>
        <w:jc w:val="center"/>
      </w:pPr>
      <w:r>
        <w:t xml:space="preserve">Ilustración </w:t>
      </w:r>
      <w:r w:rsidR="000A655B">
        <w:fldChar w:fldCharType="begin"/>
      </w:r>
      <w:r w:rsidR="000A655B">
        <w:instrText xml:space="preserve"> </w:instrText>
      </w:r>
      <w:r w:rsidR="000A655B">
        <w:instrText xml:space="preserve">SEQ Ilustración \* ARABIC </w:instrText>
      </w:r>
      <w:r w:rsidR="000A655B">
        <w:fldChar w:fldCharType="separate"/>
      </w:r>
      <w:r w:rsidR="006A7B52">
        <w:rPr>
          <w:noProof/>
        </w:rPr>
        <w:t>14</w:t>
      </w:r>
      <w:r w:rsidR="000A655B">
        <w:rPr>
          <w:noProof/>
        </w:rPr>
        <w:fldChar w:fldCharType="end"/>
      </w:r>
      <w:r>
        <w:t>: Visualización de una nueva BD de datos importada</w:t>
      </w:r>
    </w:p>
    <w:sectPr w:rsidR="00A340F6" w:rsidRPr="00A340F6" w:rsidSect="00B854D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55B" w:rsidRDefault="000A655B" w:rsidP="0029033E">
      <w:pPr>
        <w:spacing w:after="0" w:line="240" w:lineRule="auto"/>
      </w:pPr>
      <w:r>
        <w:separator/>
      </w:r>
    </w:p>
  </w:endnote>
  <w:endnote w:type="continuationSeparator" w:id="0">
    <w:p w:rsidR="000A655B" w:rsidRDefault="000A655B" w:rsidP="00290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55B" w:rsidRDefault="000A655B" w:rsidP="0029033E">
      <w:pPr>
        <w:spacing w:after="0" w:line="240" w:lineRule="auto"/>
      </w:pPr>
      <w:r>
        <w:separator/>
      </w:r>
    </w:p>
  </w:footnote>
  <w:footnote w:type="continuationSeparator" w:id="0">
    <w:p w:rsidR="000A655B" w:rsidRDefault="000A655B" w:rsidP="002903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3E56A"/>
    <w:multiLevelType w:val="hybridMultilevel"/>
    <w:tmpl w:val="B4CD466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D5EA3"/>
    <w:multiLevelType w:val="hybridMultilevel"/>
    <w:tmpl w:val="3356D102"/>
    <w:lvl w:ilvl="0" w:tplc="C19878D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E3F144"/>
    <w:multiLevelType w:val="hybridMultilevel"/>
    <w:tmpl w:val="5C4F533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BD3C1D9"/>
    <w:multiLevelType w:val="hybridMultilevel"/>
    <w:tmpl w:val="41FAAFC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2CB1986"/>
    <w:multiLevelType w:val="hybridMultilevel"/>
    <w:tmpl w:val="B428D46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071AF1"/>
    <w:multiLevelType w:val="hybridMultilevel"/>
    <w:tmpl w:val="8882BCE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6C94D07"/>
    <w:multiLevelType w:val="hybridMultilevel"/>
    <w:tmpl w:val="E9061B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7E5369"/>
    <w:multiLevelType w:val="hybridMultilevel"/>
    <w:tmpl w:val="5C9C4D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C2C41CB"/>
    <w:multiLevelType w:val="hybridMultilevel"/>
    <w:tmpl w:val="B97C3B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A5026EA"/>
    <w:multiLevelType w:val="hybridMultilevel"/>
    <w:tmpl w:val="31C9FC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7122005F"/>
    <w:multiLevelType w:val="hybridMultilevel"/>
    <w:tmpl w:val="D89A2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9"/>
  </w:num>
  <w:num w:numId="4">
    <w:abstractNumId w:val="3"/>
  </w:num>
  <w:num w:numId="5">
    <w:abstractNumId w:val="6"/>
  </w:num>
  <w:num w:numId="6">
    <w:abstractNumId w:val="5"/>
  </w:num>
  <w:num w:numId="7">
    <w:abstractNumId w:val="8"/>
  </w:num>
  <w:num w:numId="8">
    <w:abstractNumId w:val="10"/>
  </w:num>
  <w:num w:numId="9">
    <w:abstractNumId w:val="1"/>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C54"/>
    <w:rsid w:val="000A655B"/>
    <w:rsid w:val="00231BFE"/>
    <w:rsid w:val="0029033E"/>
    <w:rsid w:val="003E54F1"/>
    <w:rsid w:val="00454A86"/>
    <w:rsid w:val="00630115"/>
    <w:rsid w:val="006A55A4"/>
    <w:rsid w:val="006A7B52"/>
    <w:rsid w:val="00710F14"/>
    <w:rsid w:val="00A340F6"/>
    <w:rsid w:val="00B854D7"/>
    <w:rsid w:val="00B87DE7"/>
    <w:rsid w:val="00C60B6F"/>
    <w:rsid w:val="00D25752"/>
    <w:rsid w:val="00E144F8"/>
    <w:rsid w:val="00EF0D44"/>
    <w:rsid w:val="00F76A72"/>
    <w:rsid w:val="00FC5C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C7C58"/>
  <w15:chartTrackingRefBased/>
  <w15:docId w15:val="{C59B48F2-59E0-4D1A-B45A-9D03CE2A2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76A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10F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033E"/>
    <w:pPr>
      <w:ind w:left="720"/>
      <w:contextualSpacing/>
    </w:pPr>
  </w:style>
  <w:style w:type="paragraph" w:styleId="Encabezado">
    <w:name w:val="header"/>
    <w:basedOn w:val="Normal"/>
    <w:link w:val="EncabezadoCar"/>
    <w:uiPriority w:val="99"/>
    <w:unhideWhenUsed/>
    <w:rsid w:val="002903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033E"/>
  </w:style>
  <w:style w:type="paragraph" w:styleId="Piedepgina">
    <w:name w:val="footer"/>
    <w:basedOn w:val="Normal"/>
    <w:link w:val="PiedepginaCar"/>
    <w:uiPriority w:val="99"/>
    <w:unhideWhenUsed/>
    <w:rsid w:val="002903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033E"/>
  </w:style>
  <w:style w:type="paragraph" w:customStyle="1" w:styleId="Default">
    <w:name w:val="Default"/>
    <w:rsid w:val="00F76A72"/>
    <w:pPr>
      <w:autoSpaceDE w:val="0"/>
      <w:autoSpaceDN w:val="0"/>
      <w:adjustRightInd w:val="0"/>
      <w:spacing w:after="0" w:line="240" w:lineRule="auto"/>
    </w:pPr>
    <w:rPr>
      <w:rFonts w:ascii="Calibri" w:hAnsi="Calibri" w:cs="Calibri"/>
      <w:color w:val="000000"/>
      <w:sz w:val="24"/>
      <w:szCs w:val="24"/>
    </w:rPr>
  </w:style>
  <w:style w:type="paragraph" w:styleId="Descripcin">
    <w:name w:val="caption"/>
    <w:basedOn w:val="Normal"/>
    <w:next w:val="Normal"/>
    <w:uiPriority w:val="35"/>
    <w:unhideWhenUsed/>
    <w:qFormat/>
    <w:rsid w:val="00F76A72"/>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F76A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6A7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76A72"/>
    <w:rPr>
      <w:rFonts w:asciiTheme="majorHAnsi" w:eastAsiaTheme="majorEastAsia" w:hAnsiTheme="majorHAnsi" w:cstheme="majorBidi"/>
      <w:color w:val="2E74B5" w:themeColor="accent1" w:themeShade="BF"/>
      <w:sz w:val="32"/>
      <w:szCs w:val="32"/>
    </w:rPr>
  </w:style>
  <w:style w:type="character" w:styleId="nfasissutil">
    <w:name w:val="Subtle Emphasis"/>
    <w:basedOn w:val="Fuentedeprrafopredeter"/>
    <w:uiPriority w:val="19"/>
    <w:qFormat/>
    <w:rsid w:val="006A55A4"/>
    <w:rPr>
      <w:i/>
      <w:iCs/>
      <w:color w:val="404040" w:themeColor="text1" w:themeTint="BF"/>
    </w:rPr>
  </w:style>
  <w:style w:type="character" w:customStyle="1" w:styleId="Ttulo2Car">
    <w:name w:val="Título 2 Car"/>
    <w:basedOn w:val="Fuentedeprrafopredeter"/>
    <w:link w:val="Ttulo2"/>
    <w:uiPriority w:val="9"/>
    <w:rsid w:val="00710F14"/>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B854D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854D7"/>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F90A92CE1644C0875EACE641E8FBA0"/>
        <w:category>
          <w:name w:val="General"/>
          <w:gallery w:val="placeholder"/>
        </w:category>
        <w:types>
          <w:type w:val="bbPlcHdr"/>
        </w:types>
        <w:behaviors>
          <w:behavior w:val="content"/>
        </w:behaviors>
        <w:guid w:val="{1FC339FA-F02C-448C-B7C9-881AC5C43E87}"/>
      </w:docPartPr>
      <w:docPartBody>
        <w:p w:rsidR="003C4D57" w:rsidRDefault="00853DAA" w:rsidP="00853DAA">
          <w:pPr>
            <w:pStyle w:val="03F90A92CE1644C0875EACE641E8FBA0"/>
          </w:pPr>
          <w:r>
            <w:rPr>
              <w:rFonts w:asciiTheme="majorHAnsi" w:eastAsiaTheme="majorEastAsia" w:hAnsiTheme="majorHAnsi" w:cstheme="majorBidi"/>
              <w:caps/>
              <w:color w:val="5B9BD5" w:themeColor="accent1"/>
              <w:sz w:val="80"/>
              <w:szCs w:val="80"/>
            </w:rPr>
            <w:t>[Título del documento]</w:t>
          </w:r>
        </w:p>
      </w:docPartBody>
    </w:docPart>
    <w:docPart>
      <w:docPartPr>
        <w:name w:val="8D71820E28554FF5A2E6346144B633D7"/>
        <w:category>
          <w:name w:val="General"/>
          <w:gallery w:val="placeholder"/>
        </w:category>
        <w:types>
          <w:type w:val="bbPlcHdr"/>
        </w:types>
        <w:behaviors>
          <w:behavior w:val="content"/>
        </w:behaviors>
        <w:guid w:val="{27A0BAFD-4DCC-4777-A156-A17B4237A991}"/>
      </w:docPartPr>
      <w:docPartBody>
        <w:p w:rsidR="003C4D57" w:rsidRDefault="00853DAA" w:rsidP="00853DAA">
          <w:pPr>
            <w:pStyle w:val="8D71820E28554FF5A2E6346144B633D7"/>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DAA"/>
    <w:rsid w:val="003C4D57"/>
    <w:rsid w:val="00555F16"/>
    <w:rsid w:val="007475B9"/>
    <w:rsid w:val="007E619E"/>
    <w:rsid w:val="00853D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3F90A92CE1644C0875EACE641E8FBA0">
    <w:name w:val="03F90A92CE1644C0875EACE641E8FBA0"/>
    <w:rsid w:val="00853DAA"/>
  </w:style>
  <w:style w:type="paragraph" w:customStyle="1" w:styleId="8D71820E28554FF5A2E6346144B633D7">
    <w:name w:val="8D71820E28554FF5A2E6346144B633D7"/>
    <w:rsid w:val="00853D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2020-02-06T00:00:00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9</Pages>
  <Words>959</Words>
  <Characters>5275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Kybele</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ALfaconverter</dc:title>
  <dc:subject>Manual de usuario</dc:subject>
  <dc:creator>Cristian Gómez Macías</dc:creator>
  <cp:keywords/>
  <dc:description/>
  <cp:lastModifiedBy>Cristian Gómez Macías</cp:lastModifiedBy>
  <cp:revision>8</cp:revision>
  <dcterms:created xsi:type="dcterms:W3CDTF">2020-02-06T10:19:00Z</dcterms:created>
  <dcterms:modified xsi:type="dcterms:W3CDTF">2020-02-10T11:43:00Z</dcterms:modified>
</cp:coreProperties>
</file>