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최적 처방 가이드</w:t>
      </w:r>
    </w:p>
    <w:p>
      <w:pPr>
        <w:jc w:val="center"/>
      </w:pPr>
      <w:r>
        <w:rPr>
          <w:i/>
          <w:color w:val="595959"/>
        </w:rPr>
        <w:t>API: Telmisartan    BCS: II    생성일: 2026-06-27 05:38</w:t>
      </w:r>
    </w:p>
    <w:p>
      <w:pPr>
        <w:pStyle w:val="Heading1"/>
      </w:pPr>
      <w:r>
        <w:t>1. 처방 요약</w:t>
      </w:r>
    </w:p>
    <w:p>
      <w:pPr>
        <w:pStyle w:val="Heading2"/>
      </w:pPr>
      <w:r>
        <w:t>처방 F1 (리스크: Low)  [확정 ✔]</w:t>
      </w:r>
    </w:p>
    <w:p>
      <w:r>
        <w:t>BCS Class II 저용해도 개선을 위한 고체분산체(Solid Dispersion) 기반 설계. HPMC 담체로 비정질화 유도, 가용화제 병용.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부형제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역할</w:t>
            </w:r>
          </w:p>
        </w:tc>
        <w:tc>
          <w:tcPr>
            <w:tcW w:type="dxa" w:w="2160"/>
          </w:tcPr>
          <w:p>
            <w:r>
              <w:rPr>
                <w:b/>
              </w:rPr>
              <w:t>함량(mg)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비율(%)</w:t>
            </w:r>
          </w:p>
        </w:tc>
      </w:tr>
      <w:tr>
        <w:tc>
          <w:tcPr>
            <w:tcW w:type="dxa" w:w="2160"/>
          </w:tcPr>
          <w:p>
            <w:r>
              <w:t>HPMC</w:t>
            </w:r>
          </w:p>
        </w:tc>
        <w:tc>
          <w:tcPr>
            <w:tcW w:type="dxa" w:w="2160"/>
          </w:tcPr>
          <w:p>
            <w:r>
              <w:t>담체/결합제</w:t>
            </w:r>
          </w:p>
        </w:tc>
        <w:tc>
          <w:tcPr>
            <w:tcW w:type="dxa" w:w="2160"/>
          </w:tcPr>
          <w:p>
            <w:r>
              <w:t>60.0</w:t>
            </w:r>
          </w:p>
        </w:tc>
        <w:tc>
          <w:tcPr>
            <w:tcW w:type="dxa" w:w="2160"/>
          </w:tcPr>
          <w:p>
            <w:r>
              <w:t>30.0</w:t>
            </w:r>
          </w:p>
        </w:tc>
      </w:tr>
      <w:tr>
        <w:tc>
          <w:tcPr>
            <w:tcW w:type="dxa" w:w="2160"/>
          </w:tcPr>
          <w:p>
            <w:r>
              <w:t>SLS</w:t>
            </w:r>
          </w:p>
        </w:tc>
        <w:tc>
          <w:tcPr>
            <w:tcW w:type="dxa" w:w="2160"/>
          </w:tcPr>
          <w:p>
            <w:r>
              <w:t>가용화제</w:t>
            </w:r>
          </w:p>
        </w:tc>
        <w:tc>
          <w:tcPr>
            <w:tcW w:type="dxa" w:w="2160"/>
          </w:tcPr>
          <w:p>
            <w:r>
              <w:t>4.0</w:t>
            </w:r>
          </w:p>
        </w:tc>
        <w:tc>
          <w:tcPr>
            <w:tcW w:type="dxa" w:w="2160"/>
          </w:tcPr>
          <w:p>
            <w:r>
              <w:t>2.0</w:t>
            </w:r>
          </w:p>
        </w:tc>
      </w:tr>
      <w:tr>
        <w:tc>
          <w:tcPr>
            <w:tcW w:type="dxa" w:w="2160"/>
          </w:tcPr>
          <w:p>
            <w:r>
              <w:t>Croscarmellose Na</w:t>
            </w:r>
          </w:p>
        </w:tc>
        <w:tc>
          <w:tcPr>
            <w:tcW w:type="dxa" w:w="2160"/>
          </w:tcPr>
          <w:p>
            <w:r>
              <w:t>붕해제</w:t>
            </w:r>
          </w:p>
        </w:tc>
        <w:tc>
          <w:tcPr>
            <w:tcW w:type="dxa" w:w="2160"/>
          </w:tcPr>
          <w:p>
            <w:r>
              <w:t>10.0</w:t>
            </w:r>
          </w:p>
        </w:tc>
        <w:tc>
          <w:tcPr>
            <w:tcW w:type="dxa" w:w="2160"/>
          </w:tcPr>
          <w:p>
            <w:r>
              <w:t>5.0</w:t>
            </w:r>
          </w:p>
        </w:tc>
      </w:tr>
    </w:tbl>
    <w:p>
      <w:r>
        <w:rPr>
          <w:b/>
        </w:rPr>
        <w:t>설계 기대 — 용출률 89.0%, 함량 99.0%</w:t>
      </w:r>
    </w:p>
    <w:p>
      <w:r>
        <w:t>편차 분석 — Δ용출 2.5%, Δ함량 0.1% → 합격</w:t>
      </w:r>
    </w:p>
    <w:p>
      <w:pPr>
        <w:pStyle w:val="Heading2"/>
      </w:pPr>
      <w:r>
        <w:t>처방 F2 (리스크: Med)  [개선 필요]</w:t>
      </w:r>
    </w:p>
    <w:p>
      <w:r>
        <w:t>BCS Class II 저용해도 개선을 위한 고체분산체(Solid Dispersion) 기반 설계. HPMC 담체로 비정질화 유도, 가용화제 병용.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부형제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역할</w:t>
            </w:r>
          </w:p>
        </w:tc>
        <w:tc>
          <w:tcPr>
            <w:tcW w:type="dxa" w:w="2160"/>
          </w:tcPr>
          <w:p>
            <w:r>
              <w:rPr>
                <w:b/>
              </w:rPr>
              <w:t>함량(mg)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비율(%)</w:t>
            </w:r>
          </w:p>
        </w:tc>
      </w:tr>
      <w:tr>
        <w:tc>
          <w:tcPr>
            <w:tcW w:type="dxa" w:w="2160"/>
          </w:tcPr>
          <w:p>
            <w:r>
              <w:t>HPMC</w:t>
            </w:r>
          </w:p>
        </w:tc>
        <w:tc>
          <w:tcPr>
            <w:tcW w:type="dxa" w:w="2160"/>
          </w:tcPr>
          <w:p>
            <w:r>
              <w:t>담체/결합제</w:t>
            </w:r>
          </w:p>
        </w:tc>
        <w:tc>
          <w:tcPr>
            <w:tcW w:type="dxa" w:w="2160"/>
          </w:tcPr>
          <w:p>
            <w:r>
              <w:t>60.0</w:t>
            </w:r>
          </w:p>
        </w:tc>
        <w:tc>
          <w:tcPr>
            <w:tcW w:type="dxa" w:w="2160"/>
          </w:tcPr>
          <w:p>
            <w:r>
              <w:t>30.0</w:t>
            </w:r>
          </w:p>
        </w:tc>
      </w:tr>
      <w:tr>
        <w:tc>
          <w:tcPr>
            <w:tcW w:type="dxa" w:w="2160"/>
          </w:tcPr>
          <w:p>
            <w:r>
              <w:t>SLS</w:t>
            </w:r>
          </w:p>
        </w:tc>
        <w:tc>
          <w:tcPr>
            <w:tcW w:type="dxa" w:w="2160"/>
          </w:tcPr>
          <w:p>
            <w:r>
              <w:t>가용화제</w:t>
            </w:r>
          </w:p>
        </w:tc>
        <w:tc>
          <w:tcPr>
            <w:tcW w:type="dxa" w:w="2160"/>
          </w:tcPr>
          <w:p>
            <w:r>
              <w:t>4.0</w:t>
            </w:r>
          </w:p>
        </w:tc>
        <w:tc>
          <w:tcPr>
            <w:tcW w:type="dxa" w:w="2160"/>
          </w:tcPr>
          <w:p>
            <w:r>
              <w:t>2.0</w:t>
            </w:r>
          </w:p>
        </w:tc>
      </w:tr>
      <w:tr>
        <w:tc>
          <w:tcPr>
            <w:tcW w:type="dxa" w:w="2160"/>
          </w:tcPr>
          <w:p>
            <w:r>
              <w:t>Croscarmellose Na</w:t>
            </w:r>
          </w:p>
        </w:tc>
        <w:tc>
          <w:tcPr>
            <w:tcW w:type="dxa" w:w="2160"/>
          </w:tcPr>
          <w:p>
            <w:r>
              <w:t>붕해제</w:t>
            </w:r>
          </w:p>
        </w:tc>
        <w:tc>
          <w:tcPr>
            <w:tcW w:type="dxa" w:w="2160"/>
          </w:tcPr>
          <w:p>
            <w:r>
              <w:t>10.0</w:t>
            </w:r>
          </w:p>
        </w:tc>
        <w:tc>
          <w:tcPr>
            <w:tcW w:type="dxa" w:w="2160"/>
          </w:tcPr>
          <w:p>
            <w:r>
              <w:t>5.0</w:t>
            </w:r>
          </w:p>
        </w:tc>
      </w:tr>
    </w:tbl>
    <w:p>
      <w:r>
        <w:rPr>
          <w:b/>
        </w:rPr>
        <w:t>설계 기대 — 용출률 90.0%, 함량 99.0%</w:t>
      </w:r>
    </w:p>
    <w:p>
      <w:r>
        <w:t>편차 분석 — Δ용출 -18.0%, Δ함량 -0.7% → 불합격</w:t>
      </w:r>
    </w:p>
    <w:p>
      <w:pPr>
        <w:pStyle w:val="Heading3"/>
      </w:pPr>
      <w:r>
        <w:t>개선안</w:t>
      </w:r>
    </w:p>
    <w:p>
      <w:r>
        <w:t>용출 미달 원인: 비정질 안정성 부족 추정. 개선안: HPMC 등급을 점도 높은 grade 로 교체하고 가용화제 SLS 를 3%로 증량. 재시험 시 6개월 가속 안정성 병행 평가 권장.</w:t>
      </w:r>
    </w:p>
    <w:p>
      <w:pPr>
        <w:pStyle w:val="Heading2"/>
      </w:pPr>
      <w:r>
        <w:t>처방 F3 (리스크: High)  [확정 ✔]</w:t>
      </w:r>
    </w:p>
    <w:p>
      <w:r>
        <w:t>BCS Class II 저용해도 개선을 위한 고체분산체(Solid Dispersion) 기반 설계. HPMC 담체로 비정질화 유도, 가용화제 병용.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부형제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역할</w:t>
            </w:r>
          </w:p>
        </w:tc>
        <w:tc>
          <w:tcPr>
            <w:tcW w:type="dxa" w:w="2160"/>
          </w:tcPr>
          <w:p>
            <w:r>
              <w:rPr>
                <w:b/>
              </w:rPr>
              <w:t>함량(mg)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비율(%)</w:t>
            </w:r>
          </w:p>
        </w:tc>
      </w:tr>
      <w:tr>
        <w:tc>
          <w:tcPr>
            <w:tcW w:type="dxa" w:w="2160"/>
          </w:tcPr>
          <w:p>
            <w:r>
              <w:t>HPMC</w:t>
            </w:r>
          </w:p>
        </w:tc>
        <w:tc>
          <w:tcPr>
            <w:tcW w:type="dxa" w:w="2160"/>
          </w:tcPr>
          <w:p>
            <w:r>
              <w:t>담체/결합제</w:t>
            </w:r>
          </w:p>
        </w:tc>
        <w:tc>
          <w:tcPr>
            <w:tcW w:type="dxa" w:w="2160"/>
          </w:tcPr>
          <w:p>
            <w:r>
              <w:t>60.0</w:t>
            </w:r>
          </w:p>
        </w:tc>
        <w:tc>
          <w:tcPr>
            <w:tcW w:type="dxa" w:w="2160"/>
          </w:tcPr>
          <w:p>
            <w:r>
              <w:t>30.0</w:t>
            </w:r>
          </w:p>
        </w:tc>
      </w:tr>
      <w:tr>
        <w:tc>
          <w:tcPr>
            <w:tcW w:type="dxa" w:w="2160"/>
          </w:tcPr>
          <w:p>
            <w:r>
              <w:t>SLS</w:t>
            </w:r>
          </w:p>
        </w:tc>
        <w:tc>
          <w:tcPr>
            <w:tcW w:type="dxa" w:w="2160"/>
          </w:tcPr>
          <w:p>
            <w:r>
              <w:t>가용화제</w:t>
            </w:r>
          </w:p>
        </w:tc>
        <w:tc>
          <w:tcPr>
            <w:tcW w:type="dxa" w:w="2160"/>
          </w:tcPr>
          <w:p>
            <w:r>
              <w:t>4.0</w:t>
            </w:r>
          </w:p>
        </w:tc>
        <w:tc>
          <w:tcPr>
            <w:tcW w:type="dxa" w:w="2160"/>
          </w:tcPr>
          <w:p>
            <w:r>
              <w:t>2.0</w:t>
            </w:r>
          </w:p>
        </w:tc>
      </w:tr>
      <w:tr>
        <w:tc>
          <w:tcPr>
            <w:tcW w:type="dxa" w:w="2160"/>
          </w:tcPr>
          <w:p>
            <w:r>
              <w:t>Croscarmellose Na</w:t>
            </w:r>
          </w:p>
        </w:tc>
        <w:tc>
          <w:tcPr>
            <w:tcW w:type="dxa" w:w="2160"/>
          </w:tcPr>
          <w:p>
            <w:r>
              <w:t>붕해제</w:t>
            </w:r>
          </w:p>
        </w:tc>
        <w:tc>
          <w:tcPr>
            <w:tcW w:type="dxa" w:w="2160"/>
          </w:tcPr>
          <w:p>
            <w:r>
              <w:t>10.0</w:t>
            </w:r>
          </w:p>
        </w:tc>
        <w:tc>
          <w:tcPr>
            <w:tcW w:type="dxa" w:w="2160"/>
          </w:tcPr>
          <w:p>
            <w:r>
              <w:t>5.0</w:t>
            </w:r>
          </w:p>
        </w:tc>
      </w:tr>
    </w:tbl>
    <w:p>
      <w:r>
        <w:rPr>
          <w:b/>
        </w:rPr>
        <w:t>설계 기대 — 용출률 91.0%, 함량 99.0%</w:t>
      </w:r>
    </w:p>
    <w:p>
      <w:r>
        <w:t>편차 분석 — Δ용출 1.0%, Δ함량 0.4% → 합격</w:t>
      </w:r>
    </w:p>
    <w:p>
      <w:pPr>
        <w:pStyle w:val="Heading1"/>
      </w:pPr>
      <w:r>
        <w:t>2. 참조 유사 사례</w:t>
      </w:r>
    </w:p>
    <w:p>
      <w:r>
        <w:t>case_001, pubmed_12345</w:t>
      </w:r>
    </w:p>
    <w:p>
      <w:pPr>
        <w:pStyle w:val="Heading1"/>
      </w:pPr>
      <w:r>
        <w:t>3. 감사 추적 (Audit Trail)</w:t>
      </w:r>
    </w:p>
    <w:p>
      <w:r>
        <w:t>본 가이드는 Vertex AI 기반 제제연구 에이전트가 자동 생성하였으며, GxP 규제 준수를 위해 입력 파라미터·추론 모델·합격 기준이 로그에 기록됩니다.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