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1A6C" w14:textId="77777777" w:rsidR="00865F43" w:rsidRDefault="00C867A8" w:rsidP="00C867A8">
      <w:pPr>
        <w:ind w:right="16"/>
        <w:jc w:val="both"/>
        <w:rPr>
          <w:rFonts w:ascii="Arial" w:hAnsi="Arial" w:cs="Arial"/>
          <w:snapToGrid w:val="0"/>
          <w:sz w:val="22"/>
          <w:szCs w:val="22"/>
        </w:rPr>
      </w:pPr>
      <w:r w:rsidRPr="00DC4604">
        <w:rPr>
          <w:rFonts w:ascii="Arial" w:hAnsi="Arial" w:cs="Arial"/>
          <w:snapToGrid w:val="0"/>
          <w:sz w:val="22"/>
          <w:szCs w:val="22"/>
        </w:rPr>
        <w:t>Compare and contrast the Agile approach to Plan driven ap</w:t>
      </w:r>
      <w:r>
        <w:rPr>
          <w:rFonts w:ascii="Arial" w:hAnsi="Arial" w:cs="Arial"/>
          <w:snapToGrid w:val="0"/>
          <w:sz w:val="22"/>
          <w:szCs w:val="22"/>
        </w:rPr>
        <w:t>proaches (e.g. Waterfall). The c</w:t>
      </w:r>
      <w:r w:rsidRPr="00DC4604">
        <w:rPr>
          <w:rFonts w:ascii="Arial" w:hAnsi="Arial" w:cs="Arial"/>
          <w:snapToGrid w:val="0"/>
          <w:sz w:val="22"/>
          <w:szCs w:val="22"/>
        </w:rPr>
        <w:t>omparisons should be based on the effectiveness of each appro</w:t>
      </w:r>
      <w:r>
        <w:rPr>
          <w:rFonts w:ascii="Arial" w:hAnsi="Arial" w:cs="Arial"/>
          <w:snapToGrid w:val="0"/>
          <w:sz w:val="22"/>
          <w:szCs w:val="22"/>
        </w:rPr>
        <w:t xml:space="preserve">ach for managing changes in a </w:t>
      </w:r>
      <w:r w:rsidRPr="00DC4604">
        <w:rPr>
          <w:rFonts w:ascii="Arial" w:hAnsi="Arial" w:cs="Arial"/>
          <w:snapToGrid w:val="0"/>
          <w:sz w:val="22"/>
          <w:szCs w:val="22"/>
        </w:rPr>
        <w:t>project, customer availability, feature organization, and development and funding.</w:t>
      </w:r>
    </w:p>
    <w:p w14:paraId="3F93990C" w14:textId="77777777" w:rsidR="00C867A8" w:rsidRDefault="00C867A8" w:rsidP="00C867A8">
      <w:pPr>
        <w:ind w:firstLine="240"/>
        <w:rPr>
          <w:rFonts w:ascii="Arial" w:hAnsi="Arial" w:cs="Arial"/>
          <w:snapToGrid w:val="0"/>
          <w:sz w:val="22"/>
          <w:szCs w:val="22"/>
        </w:rPr>
      </w:pPr>
    </w:p>
    <w:tbl>
      <w:tblPr>
        <w:tblStyle w:val="TableGrid"/>
        <w:tblW w:w="0" w:type="auto"/>
        <w:tblInd w:w="108" w:type="dxa"/>
        <w:tblLook w:val="04A0" w:firstRow="1" w:lastRow="0" w:firstColumn="1" w:lastColumn="0" w:noHBand="0" w:noVBand="1"/>
      </w:tblPr>
      <w:tblGrid>
        <w:gridCol w:w="2539"/>
        <w:gridCol w:w="2528"/>
        <w:gridCol w:w="4175"/>
      </w:tblGrid>
      <w:tr w:rsidR="00C867A8" w:rsidRPr="00D01AAB" w14:paraId="6D70F1CE" w14:textId="77777777" w:rsidTr="002F4BC5">
        <w:trPr>
          <w:trHeight w:val="404"/>
        </w:trPr>
        <w:tc>
          <w:tcPr>
            <w:tcW w:w="2539" w:type="dxa"/>
          </w:tcPr>
          <w:p w14:paraId="1C6325D9"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 xml:space="preserve">Factor </w:t>
            </w:r>
          </w:p>
        </w:tc>
        <w:tc>
          <w:tcPr>
            <w:tcW w:w="2528" w:type="dxa"/>
          </w:tcPr>
          <w:p w14:paraId="22AFAA0F"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 xml:space="preserve">Waterfall </w:t>
            </w:r>
          </w:p>
        </w:tc>
        <w:tc>
          <w:tcPr>
            <w:tcW w:w="4175" w:type="dxa"/>
          </w:tcPr>
          <w:p w14:paraId="481BCC14"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Agile</w:t>
            </w:r>
          </w:p>
        </w:tc>
      </w:tr>
      <w:tr w:rsidR="00C867A8" w:rsidRPr="00D01AAB" w14:paraId="5DF21649" w14:textId="77777777" w:rsidTr="002F4BC5">
        <w:trPr>
          <w:trHeight w:val="1631"/>
        </w:trPr>
        <w:tc>
          <w:tcPr>
            <w:tcW w:w="2539" w:type="dxa"/>
          </w:tcPr>
          <w:p w14:paraId="20F9642C" w14:textId="6FE6D4CC"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Managing change</w:t>
            </w:r>
            <w:r w:rsidR="006D0588">
              <w:rPr>
                <w:rFonts w:ascii="Arial" w:hAnsi="Arial" w:cs="Arial"/>
                <w:snapToGrid w:val="0"/>
                <w:color w:val="000000" w:themeColor="text1"/>
                <w:sz w:val="22"/>
                <w:szCs w:val="22"/>
              </w:rPr>
              <w:t>s</w:t>
            </w:r>
            <w:r w:rsidRPr="00D01AAB">
              <w:rPr>
                <w:rFonts w:ascii="Arial" w:hAnsi="Arial" w:cs="Arial"/>
                <w:snapToGrid w:val="0"/>
                <w:color w:val="000000" w:themeColor="text1"/>
                <w:sz w:val="22"/>
                <w:szCs w:val="22"/>
              </w:rPr>
              <w:t xml:space="preserve"> in a project</w:t>
            </w:r>
          </w:p>
        </w:tc>
        <w:tc>
          <w:tcPr>
            <w:tcW w:w="2528" w:type="dxa"/>
          </w:tcPr>
          <w:p w14:paraId="1A84BB09"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Works well when scope is known in advance</w:t>
            </w:r>
            <w:r>
              <w:rPr>
                <w:rFonts w:ascii="Arial" w:hAnsi="Arial" w:cs="Arial"/>
                <w:snapToGrid w:val="0"/>
                <w:color w:val="000000" w:themeColor="text1"/>
                <w:sz w:val="22"/>
                <w:szCs w:val="22"/>
              </w:rPr>
              <w:t>.</w:t>
            </w:r>
          </w:p>
        </w:tc>
        <w:tc>
          <w:tcPr>
            <w:tcW w:w="4175" w:type="dxa"/>
          </w:tcPr>
          <w:p w14:paraId="710813F2"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Welcomes change, but, changes come at the expense of costs, schedule and other features. Works well when scope is not known</w:t>
            </w:r>
            <w:r>
              <w:rPr>
                <w:rFonts w:ascii="Arial" w:hAnsi="Arial" w:cs="Arial"/>
                <w:snapToGrid w:val="0"/>
                <w:color w:val="000000" w:themeColor="text1"/>
                <w:sz w:val="22"/>
                <w:szCs w:val="22"/>
              </w:rPr>
              <w:t>.</w:t>
            </w:r>
          </w:p>
        </w:tc>
      </w:tr>
      <w:tr w:rsidR="00C867A8" w:rsidRPr="00D01AAB" w14:paraId="55C503D0" w14:textId="77777777" w:rsidTr="002F4BC5">
        <w:trPr>
          <w:trHeight w:val="880"/>
        </w:trPr>
        <w:tc>
          <w:tcPr>
            <w:tcW w:w="2539" w:type="dxa"/>
          </w:tcPr>
          <w:p w14:paraId="2B4DD399"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Customer availability</w:t>
            </w:r>
          </w:p>
        </w:tc>
        <w:tc>
          <w:tcPr>
            <w:tcW w:w="2528" w:type="dxa"/>
          </w:tcPr>
          <w:p w14:paraId="63BB6FB1"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Requires customers involvement only at milestones</w:t>
            </w:r>
            <w:r>
              <w:rPr>
                <w:rFonts w:ascii="Arial" w:hAnsi="Arial" w:cs="Arial"/>
                <w:snapToGrid w:val="0"/>
                <w:color w:val="000000" w:themeColor="text1"/>
                <w:sz w:val="22"/>
                <w:szCs w:val="22"/>
              </w:rPr>
              <w:t>.</w:t>
            </w:r>
          </w:p>
        </w:tc>
        <w:tc>
          <w:tcPr>
            <w:tcW w:w="4175" w:type="dxa"/>
          </w:tcPr>
          <w:p w14:paraId="28B8D4B6"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Prefers customers to be av</w:t>
            </w:r>
            <w:r>
              <w:rPr>
                <w:rFonts w:ascii="Arial" w:hAnsi="Arial" w:cs="Arial"/>
                <w:snapToGrid w:val="0"/>
                <w:color w:val="000000" w:themeColor="text1"/>
                <w:sz w:val="22"/>
                <w:szCs w:val="22"/>
              </w:rPr>
              <w:t>ailable throughout the project.</w:t>
            </w:r>
          </w:p>
        </w:tc>
      </w:tr>
      <w:tr w:rsidR="00C867A8" w:rsidRPr="00D01AAB" w14:paraId="4D556A69" w14:textId="77777777" w:rsidTr="002F4BC5">
        <w:trPr>
          <w:trHeight w:val="2325"/>
        </w:trPr>
        <w:tc>
          <w:tcPr>
            <w:tcW w:w="2539" w:type="dxa"/>
          </w:tcPr>
          <w:p w14:paraId="02301729"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 xml:space="preserve">Feature organization </w:t>
            </w:r>
          </w:p>
        </w:tc>
        <w:tc>
          <w:tcPr>
            <w:tcW w:w="2528" w:type="dxa"/>
          </w:tcPr>
          <w:p w14:paraId="09F53625"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“Do everything we agreed on” approach ensures the customer gets everything they asked for; “all or nothing” approach increases risks of failure</w:t>
            </w:r>
            <w:r>
              <w:rPr>
                <w:rFonts w:ascii="Arial" w:hAnsi="Arial" w:cs="Arial"/>
                <w:snapToGrid w:val="0"/>
                <w:color w:val="000000" w:themeColor="text1"/>
                <w:sz w:val="22"/>
                <w:szCs w:val="22"/>
              </w:rPr>
              <w:t>.</w:t>
            </w:r>
          </w:p>
        </w:tc>
        <w:tc>
          <w:tcPr>
            <w:tcW w:w="4175" w:type="dxa"/>
          </w:tcPr>
          <w:p w14:paraId="1F2AF067"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Prioritization by value ensures the most valuable features are implemented first, thus reducing risk of having an unusable product once funding runs out. Decreases risks of complete failure by allowing “partial” success</w:t>
            </w:r>
            <w:r>
              <w:rPr>
                <w:rFonts w:ascii="Arial" w:hAnsi="Arial" w:cs="Arial"/>
                <w:snapToGrid w:val="0"/>
                <w:color w:val="000000" w:themeColor="text1"/>
                <w:sz w:val="22"/>
                <w:szCs w:val="22"/>
              </w:rPr>
              <w:t>.</w:t>
            </w:r>
          </w:p>
        </w:tc>
      </w:tr>
      <w:tr w:rsidR="00C867A8" w:rsidRPr="00D01AAB" w14:paraId="2677EC92" w14:textId="77777777" w:rsidTr="002F4BC5">
        <w:trPr>
          <w:trHeight w:val="1607"/>
        </w:trPr>
        <w:tc>
          <w:tcPr>
            <w:tcW w:w="2539" w:type="dxa"/>
          </w:tcPr>
          <w:p w14:paraId="60E02847"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 xml:space="preserve">Development and funding </w:t>
            </w:r>
          </w:p>
        </w:tc>
        <w:tc>
          <w:tcPr>
            <w:tcW w:w="2528" w:type="dxa"/>
          </w:tcPr>
          <w:p w14:paraId="12762422"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May reduce risk in the face of certain constraints in a contract between a vendor and external customer such as the government</w:t>
            </w:r>
            <w:r>
              <w:rPr>
                <w:rFonts w:ascii="Arial" w:hAnsi="Arial" w:cs="Arial"/>
                <w:snapToGrid w:val="0"/>
                <w:color w:val="000000" w:themeColor="text1"/>
                <w:sz w:val="22"/>
                <w:szCs w:val="22"/>
              </w:rPr>
              <w:t>.</w:t>
            </w:r>
          </w:p>
        </w:tc>
        <w:tc>
          <w:tcPr>
            <w:tcW w:w="4175" w:type="dxa"/>
          </w:tcPr>
          <w:p w14:paraId="5954D4E3" w14:textId="77777777" w:rsidR="00C867A8" w:rsidRPr="00D01AAB" w:rsidRDefault="00C867A8" w:rsidP="002F4BC5">
            <w:pPr>
              <w:pStyle w:val="Footer"/>
              <w:tabs>
                <w:tab w:val="right" w:pos="10490"/>
              </w:tabs>
              <w:jc w:val="both"/>
              <w:rPr>
                <w:rFonts w:ascii="Arial" w:hAnsi="Arial" w:cs="Arial"/>
                <w:snapToGrid w:val="0"/>
                <w:color w:val="000000" w:themeColor="text1"/>
                <w:sz w:val="22"/>
                <w:szCs w:val="22"/>
              </w:rPr>
            </w:pPr>
            <w:r w:rsidRPr="00D01AAB">
              <w:rPr>
                <w:rFonts w:ascii="Arial" w:hAnsi="Arial" w:cs="Arial"/>
                <w:snapToGrid w:val="0"/>
                <w:color w:val="000000" w:themeColor="text1"/>
                <w:sz w:val="22"/>
                <w:szCs w:val="22"/>
              </w:rPr>
              <w:t>Works extremely well with Time and Materials or other non-fixed funding, may increase stress in fixed price scenario</w:t>
            </w:r>
            <w:r>
              <w:rPr>
                <w:rFonts w:ascii="Arial" w:hAnsi="Arial" w:cs="Arial"/>
                <w:snapToGrid w:val="0"/>
                <w:color w:val="000000" w:themeColor="text1"/>
                <w:sz w:val="22"/>
                <w:szCs w:val="22"/>
              </w:rPr>
              <w:t>.</w:t>
            </w:r>
            <w:r w:rsidRPr="00D01AAB">
              <w:rPr>
                <w:rFonts w:ascii="Arial" w:hAnsi="Arial" w:cs="Arial"/>
                <w:snapToGrid w:val="0"/>
                <w:color w:val="000000" w:themeColor="text1"/>
                <w:sz w:val="22"/>
                <w:szCs w:val="22"/>
              </w:rPr>
              <w:t xml:space="preserve"> </w:t>
            </w:r>
          </w:p>
        </w:tc>
      </w:tr>
    </w:tbl>
    <w:p w14:paraId="61BB6A4A" w14:textId="77777777" w:rsidR="00C867A8" w:rsidRDefault="00C867A8" w:rsidP="00C867A8">
      <w:pPr>
        <w:ind w:firstLine="240"/>
      </w:pPr>
    </w:p>
    <w:sectPr w:rsidR="00C86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A8"/>
    <w:rsid w:val="006D0588"/>
    <w:rsid w:val="00865F43"/>
    <w:rsid w:val="00C86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82E7"/>
  <w15:chartTrackingRefBased/>
  <w15:docId w15:val="{FCA76C66-57E0-483B-A70A-5F9C9158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A8"/>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867A8"/>
    <w:pPr>
      <w:tabs>
        <w:tab w:val="center" w:pos="4320"/>
        <w:tab w:val="right" w:pos="8640"/>
      </w:tabs>
    </w:pPr>
  </w:style>
  <w:style w:type="character" w:customStyle="1" w:styleId="FooterChar">
    <w:name w:val="Footer Char"/>
    <w:basedOn w:val="DefaultParagraphFont"/>
    <w:link w:val="Footer"/>
    <w:uiPriority w:val="99"/>
    <w:rsid w:val="00C867A8"/>
    <w:rPr>
      <w:rFonts w:ascii="Times New Roman" w:eastAsia="Times New Roman" w:hAnsi="Times New Roman" w:cs="Times New Roman"/>
      <w:sz w:val="24"/>
      <w:szCs w:val="24"/>
      <w:lang w:eastAsia="en-US"/>
    </w:rPr>
  </w:style>
  <w:style w:type="table" w:styleId="TableGrid">
    <w:name w:val="Table Grid"/>
    <w:basedOn w:val="TableNormal"/>
    <w:uiPriority w:val="59"/>
    <w:rsid w:val="00C867A8"/>
    <w:pPr>
      <w:spacing w:after="0" w:line="240" w:lineRule="auto"/>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67369DA5F3D5428B00EFD6E39211B5" ma:contentTypeVersion="3" ma:contentTypeDescription="Create a new document." ma:contentTypeScope="" ma:versionID="639293492815fcfe17eafb7c1c4d3c85">
  <xsd:schema xmlns:xsd="http://www.w3.org/2001/XMLSchema" xmlns:xs="http://www.w3.org/2001/XMLSchema" xmlns:p="http://schemas.microsoft.com/office/2006/metadata/properties" xmlns:ns2="cbbb2a4a-1328-44c8-8525-fbacdfdeb142" targetNamespace="http://schemas.microsoft.com/office/2006/metadata/properties" ma:root="true" ma:fieldsID="100bee5e67d41405454df0c3c43f5384" ns2:_="">
    <xsd:import namespace="cbbb2a4a-1328-44c8-8525-fbacdfdeb142"/>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bb2a4a-1328-44c8-8525-fbacdfdeb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2B40C7-FCBB-49B6-9A24-A7A9E46E6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bb2a4a-1328-44c8-8525-fbacdfdeb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AB32E1-A65A-4543-955D-7E152BD093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Phit Huan</dc:creator>
  <cp:keywords/>
  <dc:description/>
  <cp:lastModifiedBy>0204677 LIM ZHE YUAN</cp:lastModifiedBy>
  <cp:revision>2</cp:revision>
  <dcterms:created xsi:type="dcterms:W3CDTF">2022-06-09T08:11:00Z</dcterms:created>
  <dcterms:modified xsi:type="dcterms:W3CDTF">2023-03-06T05:49:00Z</dcterms:modified>
</cp:coreProperties>
</file>