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Справка о контрактации и расходовании средств в рамках </w:t>
      </w:r>
      <w:r>
        <w:rPr>
          <w:rFonts w:cs="Times New Roman" w:ascii="Times New Roman" w:hAnsi="Times New Roman"/>
          <w:b/>
          <w:bCs/>
          <w:sz w:val="28"/>
          <w:szCs w:val="28"/>
        </w:rPr>
        <w:t>оснащения специализированных классов (кружков) и центров практической подготовки</w:t>
      </w:r>
    </w:p>
    <w:tbl>
      <w:tblPr>
        <w:tblStyle w:val="a3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54"/>
        <w:gridCol w:w="7067"/>
      </w:tblGrid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Субъект РФ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0" w:name="__DdeLink__254_1573026913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rf_subject</w:t>
            </w:r>
            <w:bookmarkEnd w:id="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Дата заполнения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${</w:t>
            </w:r>
            <w:bookmarkStart w:id="1" w:name="__DdeLink__260_1573026913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date</w:t>
            </w:r>
            <w:bookmarkEnd w:id="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субсидии федерального бюджета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61"/>
        <w:gridCol w:w="1506"/>
        <w:gridCol w:w="1656"/>
        <w:gridCol w:w="1606"/>
        <w:gridCol w:w="1693"/>
      </w:tblGrid>
      <w:tr>
        <w:trPr>
          <w:trHeight w:val="272" w:hRule="atLeast"/>
        </w:trPr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2024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29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Фактическое расходование средств на отчетную дату </w:t>
            </w:r>
          </w:p>
        </w:tc>
      </w:tr>
      <w:tr>
        <w:trPr>
          <w:trHeight w:val="70" w:hRule="atLeast"/>
        </w:trPr>
        <w:tc>
          <w:tcPr>
            <w:tcW w:w="34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</w:tr>
      <w:tr>
        <w:trPr>
          <w:trHeight w:val="495" w:hRule="atLeast"/>
        </w:trPr>
        <w:tc>
          <w:tcPr>
            <w:tcW w:w="34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szCs w:val="24"/>
                <w:lang w:eastAsia="ru-RU"/>
              </w:rPr>
              <w:t>${GrantFunds}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" w:name="__DdeLink__254_15730269131"/>
            <w:bookmarkStart w:id="3" w:name="__DdeLink__322_848814867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cFedFunds</w:t>
            </w:r>
            <w:bookmarkEnd w:id="2"/>
            <w:bookmarkEnd w:id="3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${p</w:t>
            </w:r>
            <w:bookmarkStart w:id="4" w:name="__DdeLink__254_157302691311"/>
            <w:bookmarkStart w:id="5" w:name="__DdeLink__322_8488148671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cFedFunds</w:t>
            </w:r>
            <w:bookmarkEnd w:id="4"/>
            <w:bookmarkEnd w:id="5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6" w:name="__DdeLink__254_15730269132"/>
            <w:bookmarkStart w:id="7" w:name="__DdeLink__330_848814867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fFedFunds</w:t>
            </w:r>
            <w:bookmarkEnd w:id="6"/>
            <w:bookmarkEnd w:id="7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${pf</w:t>
            </w:r>
            <w:bookmarkStart w:id="8" w:name="__DdeLink__254_1573026913111"/>
            <w:bookmarkStart w:id="9" w:name="__DdeLink__322_84881486711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FedFunds</w:t>
            </w:r>
            <w:bookmarkEnd w:id="8"/>
            <w:bookmarkEnd w:id="9"/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субъекта РФ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61"/>
        <w:gridCol w:w="1506"/>
        <w:gridCol w:w="1656"/>
        <w:gridCol w:w="1606"/>
        <w:gridCol w:w="1693"/>
      </w:tblGrid>
      <w:tr>
        <w:trPr>
          <w:trHeight w:val="164" w:hRule="atLeast"/>
        </w:trPr>
        <w:tc>
          <w:tcPr>
            <w:tcW w:w="346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2024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29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 xml:space="preserve">Фактическое расходование средств на отчетную дату </w:t>
            </w:r>
          </w:p>
        </w:tc>
      </w:tr>
      <w:tr>
        <w:trPr>
          <w:trHeight w:val="70" w:hRule="atLeast"/>
        </w:trPr>
        <w:tc>
          <w:tcPr>
            <w:tcW w:w="34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</w:tr>
      <w:tr>
        <w:trPr>
          <w:trHeight w:val="495" w:hRule="atLeast"/>
        </w:trPr>
        <w:tc>
          <w:tcPr>
            <w:tcW w:w="34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10" w:name="__DdeLink__280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FinancingFundsOfSubject</w:t>
            </w:r>
            <w:bookmarkEnd w:id="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1" w:name="__DdeLink__254_15730269135"/>
            <w:bookmarkStart w:id="12" w:name="__DdeLink__326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cRegionFunds</w:t>
            </w:r>
            <w:bookmarkEnd w:id="11"/>
            <w:bookmarkEnd w:id="12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${pcRegionFunds}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3" w:name="__DdeLink__254_15730269136"/>
            <w:bookmarkStart w:id="14" w:name="__DdeLink__334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fRegionFunds</w:t>
            </w:r>
            <w:bookmarkEnd w:id="13"/>
            <w:bookmarkEnd w:id="14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${pfRegionFunds}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>Средства экономии (нарастающим итогом)</w:t>
      </w:r>
    </w:p>
    <w:tbl>
      <w:tblPr>
        <w:tblW w:w="5000" w:type="pct"/>
        <w:jc w:val="left"/>
        <w:tblInd w:w="-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60"/>
        <w:gridCol w:w="1507"/>
        <w:gridCol w:w="1656"/>
        <w:gridCol w:w="1606"/>
        <w:gridCol w:w="1693"/>
      </w:tblGrid>
      <w:tr>
        <w:trPr>
          <w:trHeight w:val="164" w:hRule="atLeast"/>
        </w:trPr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2024 год</w:t>
            </w:r>
          </w:p>
        </w:tc>
        <w:tc>
          <w:tcPr>
            <w:tcW w:w="3163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Средства федерального бюджета на отчетную дату</w:t>
            </w:r>
          </w:p>
        </w:tc>
        <w:tc>
          <w:tcPr>
            <w:tcW w:w="329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Средства субъекта РФ</w:t>
              <w:br/>
              <w:t xml:space="preserve"> на отчетную дату </w:t>
            </w:r>
          </w:p>
        </w:tc>
      </w:tr>
      <w:tr>
        <w:trPr>
          <w:trHeight w:val="70" w:hRule="atLeast"/>
        </w:trPr>
        <w:tc>
          <w:tcPr>
            <w:tcW w:w="34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7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 xml:space="preserve">% от общего плана </w:t>
            </w:r>
          </w:p>
        </w:tc>
      </w:tr>
      <w:tr>
        <w:trPr>
          <w:trHeight w:val="495" w:hRule="atLeast"/>
        </w:trPr>
        <w:tc>
          <w:tcPr>
            <w:tcW w:w="346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Средства экономии, руб. </w:t>
            </w:r>
          </w:p>
        </w:tc>
        <w:tc>
          <w:tcPr>
            <w:tcW w:w="150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0,00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</w:rPr>
              <w:t>0,00 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0,00 </w:t>
            </w:r>
          </w:p>
        </w:tc>
      </w:tr>
    </w:tbl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Должностное лицо, ответственное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за реализацию мероприятий в субъекте РФ</w:t>
        <w:tab/>
        <w:tab/>
        <w:t>_____________ / _________ 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lang w:eastAsia="ru-RU"/>
        </w:rPr>
      </w:pPr>
      <w:r>
        <w:rPr>
          <w:rFonts w:eastAsia="Times New Roman" w:cs="Times New Roman" w:ascii="Times New Roman" w:hAnsi="Times New Roman"/>
          <w:color w:val="00000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Исполнитель со стороны </w:t>
        <w:br/>
        <w:t xml:space="preserve">финансовой службы   </w:t>
        <w:tab/>
        <w:tab/>
        <w:tab/>
        <w:tab/>
        <w:tab/>
        <w:tab/>
        <w:t xml:space="preserve"> _____________ / _________ /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Исполнитель: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ФИО, Телефон</w:t>
      </w:r>
    </w:p>
    <w:sectPr>
      <w:type w:val="nextPage"/>
      <w:pgSz w:w="11906" w:h="16838"/>
      <w:pgMar w:left="1134" w:right="850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концевой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5">
    <w:name w:val="Символ концевой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Endnote Text"/>
    <w:basedOn w:val="Normal"/>
    <w:link w:val="Style14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paragraph" w:styleId="Style26">
    <w:name w:val="Footnote Text"/>
    <w:basedOn w:val="Normal"/>
    <w:link w:val="Style17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14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9103-D88D-4D1A-950D-9C2EB5A5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1</Pages>
  <Words>172</Words>
  <Characters>1169</Characters>
  <CharactersWithSpaces>1313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2024-03-12T13:16:00Z</dcterms:created>
  <dc:creator>Конкурс Кластеры</dc:creator>
  <dc:description/>
  <dc:language>ru-RU</dc:language>
  <cp:lastModifiedBy/>
  <cp:lastPrinted>2024-03-12T13:34:00Z</cp:lastPrinted>
  <dcterms:modified xsi:type="dcterms:W3CDTF">2024-04-27T10:10:20Z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