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${</w:t>
      </w:r>
      <w:bookmarkStart w:id="0" w:name="__DdeLink__254_15730269139"/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t</w:t>
      </w:r>
      <w:bookmarkEnd w:id="0"/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itle}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Style w:val="a3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4"/>
        <w:gridCol w:w="7067"/>
      </w:tblGrid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" w:name="__DdeLink__254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rf_subject</w:t>
            </w:r>
            <w:bookmarkEnd w:id="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базовой организации кластера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2" w:name="__DdeLink__256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base_organization</w:t>
            </w:r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отрасли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3" w:name="__DdeLink__258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industry</w:t>
            </w:r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Дата заполнения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4" w:name="__DdeLink__260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date</w:t>
            </w:r>
            <w:bookmarkEnd w:id="4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FFFFFF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FFFFFF"/>
          <w:lang w:eastAsia="ru-RU"/>
        </w:rPr>
        <w:t>-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гранта федерального бюджета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9"/>
        <w:gridCol w:w="1506"/>
        <w:gridCol w:w="1658"/>
        <w:gridCol w:w="1616"/>
        <w:gridCol w:w="1693"/>
      </w:tblGrid>
      <w:tr>
        <w:trPr>
          <w:trHeight w:val="272" w:hRule="atLeast"/>
        </w:trPr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4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 w:val="false"/>
                <w:color w:val="000000"/>
                <w:szCs w:val="24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 w:val="false"/>
                <w:color w:val="000000"/>
                <w:szCs w:val="24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рубли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szCs w:val="24"/>
                <w:lang w:eastAsia="ru-RU"/>
              </w:rPr>
              <w:t>${GrantFunds}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5" w:name="__DdeLink__322_848814867"/>
            <w:bookmarkStart w:id="6" w:name="__DdeLink__254_15730269131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5"/>
            <w:bookmarkEnd w:id="6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${p</w:t>
            </w:r>
            <w:bookmarkStart w:id="7" w:name="__DdeLink__322_8488148671"/>
            <w:bookmarkStart w:id="8" w:name="__DdeLink__254_157302691311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7"/>
            <w:bookmarkEnd w:id="8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9" w:name="__DdeLink__330_848814867"/>
            <w:bookmarkStart w:id="10" w:name="__DdeLink__254_15730269132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fFedFunds</w:t>
            </w:r>
            <w:bookmarkEnd w:id="9"/>
            <w:bookmarkEnd w:id="10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${pf</w:t>
            </w:r>
            <w:bookmarkStart w:id="11" w:name="__DdeLink__322_84881486711"/>
            <w:bookmarkStart w:id="12" w:name="__DdeLink__254_1573026913111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FedFunds</w:t>
            </w:r>
            <w:bookmarkEnd w:id="11"/>
            <w:bookmarkEnd w:id="12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FFFFFF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FFFFFF"/>
          <w:lang w:eastAsia="ru-RU"/>
        </w:rPr>
        <w:t>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${ExtraFundsEconomicSector_BLOCK_1}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9"/>
        <w:gridCol w:w="1506"/>
        <w:gridCol w:w="1658"/>
        <w:gridCol w:w="1616"/>
        <w:gridCol w:w="1693"/>
      </w:tblGrid>
      <w:tr>
        <w:trPr>
          <w:trHeight w:val="60" w:hRule="atLeast"/>
        </w:trPr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4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3" w:name="__DdeLink__278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ExtraFundsEconomicSector</w:t>
            </w:r>
            <w:bookmarkEnd w:id="1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4" w:name="__DdeLink__324_848814867"/>
            <w:bookmarkStart w:id="15" w:name="__DdeLink__254_1573026913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cEmplFunds</w:t>
            </w:r>
            <w:bookmarkEnd w:id="14"/>
            <w:bookmarkEnd w:id="1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${pcEmplFunds}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6" w:name="__DdeLink__254_15730269134"/>
            <w:bookmarkStart w:id="17" w:name="__DdeLink__332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fEmplFunds</w:t>
            </w:r>
            <w:bookmarkEnd w:id="16"/>
            <w:bookmarkEnd w:id="1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${pfEmplFunds}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${/ExtraFundsEconomicSector_BLOCK_1}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${ExtraFundsEconomicSector_BLOCK_2}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9"/>
        <w:gridCol w:w="3164"/>
        <w:gridCol w:w="3309"/>
      </w:tblGrid>
      <w:tr>
        <w:trPr>
          <w:trHeight w:val="60" w:hRule="atLeast"/>
        </w:trPr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164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</w:tr>
      <w:tr>
        <w:trPr>
          <w:trHeight w:val="495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8" w:name="__DdeLink__278_11939712101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ExtraFundsEconomicSector</w:t>
            </w:r>
            <w:bookmarkEnd w:id="18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1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9" w:name="__DdeLink__254_157302691331"/>
            <w:bookmarkStart w:id="20" w:name="__DdeLink__324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cEmplFunds</w:t>
            </w:r>
            <w:bookmarkEnd w:id="19"/>
            <w:bookmarkEnd w:id="2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1" w:name="__DdeLink__254_157302691341"/>
            <w:bookmarkStart w:id="22" w:name="__DdeLink__332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fEmplFunds</w:t>
            </w:r>
            <w:bookmarkEnd w:id="21"/>
            <w:bookmarkEnd w:id="2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${/ExtraFundsEconomicSector_BLOCK_2}</w:t>
      </w:r>
    </w:p>
    <w:p>
      <w:pPr>
        <w:pStyle w:val="Normal"/>
        <w:spacing w:lineRule="auto" w:line="240" w:before="0" w:after="0"/>
        <w:rPr>
          <w:color w:val="FFFFFF"/>
        </w:rPr>
      </w:pPr>
      <w:r>
        <w:rPr>
          <w:rFonts w:eastAsia="Times New Roman" w:cs="Times New Roman" w:ascii="Times New Roman" w:hAnsi="Times New Roman"/>
          <w:b/>
          <w:bCs/>
          <w:color w:val="FFFFFF"/>
          <w:lang w:eastAsia="ru-RU"/>
        </w:rPr>
        <w:t>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${FinancingFundsOfSubject_BLOCK_1}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9"/>
        <w:gridCol w:w="1506"/>
        <w:gridCol w:w="1658"/>
        <w:gridCol w:w="1616"/>
        <w:gridCol w:w="1693"/>
      </w:tblGrid>
      <w:tr>
        <w:trPr>
          <w:trHeight w:val="164" w:hRule="atLeast"/>
        </w:trPr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4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23" w:name="__DdeLink__280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2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4" w:name="__DdeLink__326_848814867"/>
            <w:bookmarkStart w:id="25" w:name="__DdeLink__254_1573026913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24"/>
            <w:bookmarkEnd w:id="2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${pcRegionFunds}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6" w:name="__DdeLink__334_848814867"/>
            <w:bookmarkStart w:id="27" w:name="__DdeLink__254_15730269136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26"/>
            <w:bookmarkEnd w:id="2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${pfRegionFunds}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${/FinancingFundsOfSubject_BLOCK_1}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${FinancingFundsOfSubject_BLOCK_2}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9"/>
        <w:gridCol w:w="3164"/>
        <w:gridCol w:w="3309"/>
      </w:tblGrid>
      <w:tr>
        <w:trPr>
          <w:trHeight w:val="164" w:hRule="atLeast"/>
        </w:trPr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164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</w:tr>
      <w:tr>
        <w:trPr>
          <w:trHeight w:val="495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28" w:name="__DdeLink__280_11939712101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28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1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9" w:name="__DdeLink__254_157302691351"/>
            <w:bookmarkStart w:id="30" w:name="__DdeLink__326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29"/>
            <w:bookmarkEnd w:id="3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1" w:name="__DdeLink__334_8488148671"/>
            <w:bookmarkStart w:id="32" w:name="__DdeLink__254_15730269136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31"/>
            <w:bookmarkEnd w:id="3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${/FinancingFundsOfSubject_BLOCK_2}</w:t>
      </w:r>
    </w:p>
    <w:p>
      <w:pPr>
        <w:pStyle w:val="Normal"/>
        <w:spacing w:lineRule="auto" w:line="240" w:before="0" w:after="0"/>
        <w:rPr>
          <w:color w:val="FFFFFF"/>
        </w:rPr>
      </w:pPr>
      <w:r>
        <w:rPr>
          <w:rFonts w:eastAsia="Times New Roman" w:cs="Times New Roman" w:ascii="Times New Roman" w:hAnsi="Times New Roman"/>
          <w:b/>
          <w:bCs/>
          <w:color w:val="FFFFFF"/>
          <w:lang w:eastAsia="ru-RU"/>
        </w:rPr>
        <w:t>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${ExtraFundsOO_BLOCK_1}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9"/>
        <w:gridCol w:w="1506"/>
        <w:gridCol w:w="1658"/>
        <w:gridCol w:w="1616"/>
        <w:gridCol w:w="1693"/>
      </w:tblGrid>
      <w:tr>
        <w:trPr>
          <w:trHeight w:val="60" w:hRule="atLeast"/>
        </w:trPr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4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33" w:name="__DdeLink__282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ExtraFundsOO</w:t>
            </w:r>
            <w:bookmarkEnd w:id="3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4" w:name="__DdeLink__328_848814867"/>
            <w:bookmarkStart w:id="35" w:name="__DdeLink__254_1573026913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cOOFunds</w:t>
            </w:r>
            <w:bookmarkEnd w:id="34"/>
            <w:bookmarkEnd w:id="3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${pcOOFunds}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6" w:name="__DdeLink__336_848814867"/>
            <w:bookmarkStart w:id="37" w:name="__DdeLink__254_15730269138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fOOFunds</w:t>
            </w:r>
            <w:bookmarkEnd w:id="36"/>
            <w:bookmarkEnd w:id="3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${pfOOFunds}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2"/>
          <w:szCs w:val="2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eastAsia="ru-RU"/>
        </w:rPr>
        <w:t>${/ExtraFundsOO_BLOCK_1}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${ExtraFundsOO_BLOCK_2}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9"/>
        <w:gridCol w:w="3164"/>
        <w:gridCol w:w="3309"/>
      </w:tblGrid>
      <w:tr>
        <w:trPr>
          <w:trHeight w:val="60" w:hRule="atLeast"/>
        </w:trPr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164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</w:tr>
      <w:tr>
        <w:trPr>
          <w:trHeight w:val="495" w:hRule="atLeast"/>
        </w:trPr>
        <w:tc>
          <w:tcPr>
            <w:tcW w:w="34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38" w:name="__DdeLink__282_11939712101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ExtraFundsOO</w:t>
            </w:r>
            <w:bookmarkEnd w:id="38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1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9" w:name="__DdeLink__328_8488148671"/>
            <w:bookmarkStart w:id="40" w:name="__DdeLink__254_1573026913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cOOFunds</w:t>
            </w:r>
            <w:bookmarkEnd w:id="39"/>
            <w:bookmarkEnd w:id="4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41" w:name="__DdeLink__336_8488148671"/>
            <w:bookmarkStart w:id="42" w:name="__DdeLink__254_15730269138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fOOFunds</w:t>
            </w:r>
            <w:bookmarkEnd w:id="41"/>
            <w:bookmarkEnd w:id="4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2"/>
          <w:szCs w:val="2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eastAsia="ru-RU"/>
        </w:rPr>
        <w:t>${/ExtraFundsOO_BLOCK_2}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FFF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FFFFFF"/>
          <w:sz w:val="28"/>
          <w:szCs w:val="28"/>
          <w:lang w:eastAsia="ru-RU"/>
        </w:rPr>
        <w:t>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Руководитель ОО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FFFFF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FFFFFF"/>
          <w:sz w:val="28"/>
          <w:szCs w:val="28"/>
          <w:lang w:eastAsia="ru-RU"/>
        </w:rPr>
        <w:t>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Главный бухгалтер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FFFFFF"/>
        </w:rPr>
      </w:pPr>
      <w:r>
        <w:rPr>
          <w:rFonts w:cs="Times New Roman" w:ascii="Times New Roman" w:hAnsi="Times New Roman"/>
          <w:color w:val="FFFFFF"/>
        </w:rPr>
        <w:t>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FFFFFF"/>
        </w:rPr>
      </w:pPr>
      <w:r>
        <w:rPr>
          <w:rFonts w:cs="Times New Roman" w:ascii="Times New Roman" w:hAnsi="Times New Roman"/>
          <w:color w:val="FFFFFF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ФИО, Телефон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1134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Style16"/>
    <w:next w:val="Style17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7">
    <w:name w:val="Heading 7"/>
    <w:basedOn w:val="Style16"/>
    <w:next w:val="Style17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0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1">
    <w:name w:val="Привязка концевой сноски"/>
    <w:rPr>
      <w:vertAlign w:val="superscript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3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4">
    <w:name w:val="Привязка сноски"/>
    <w:rPr>
      <w:vertAlign w:val="superscript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Endnote Text"/>
    <w:basedOn w:val="Normal"/>
    <w:link w:val="Style9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2">
    <w:name w:val="Footnote Text"/>
    <w:basedOn w:val="Normal"/>
    <w:link w:val="Style12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Иллюстрация"/>
    <w:basedOn w:val="Style19"/>
    <w:qFormat/>
    <w:pPr/>
    <w:rPr/>
  </w:style>
  <w:style w:type="paragraph" w:styleId="Style27">
    <w:name w:val="Annotation Text"/>
    <w:basedOn w:val="Style17"/>
    <w:pPr>
      <w:ind w:left="2268" w:hanging="0"/>
    </w:pPr>
    <w:rPr/>
  </w:style>
  <w:style w:type="paragraph" w:styleId="1">
    <w:name w:val="Конец нумерованного списка 1"/>
    <w:basedOn w:val="Style18"/>
    <w:next w:val="11"/>
    <w:qFormat/>
    <w:pPr>
      <w:spacing w:before="0" w:after="240"/>
      <w:ind w:left="360" w:hanging="360"/>
    </w:pPr>
    <w:rPr/>
  </w:style>
  <w:style w:type="paragraph" w:styleId="11">
    <w:name w:val="List 3"/>
    <w:basedOn w:val="Style18"/>
    <w:pPr>
      <w:spacing w:before="0" w:after="120"/>
      <w:ind w:left="360" w:hanging="360"/>
    </w:pPr>
    <w:rPr/>
  </w:style>
  <w:style w:type="paragraph" w:styleId="12">
    <w:name w:val="TOC 1"/>
    <w:basedOn w:val="Style20"/>
    <w:pPr>
      <w:tabs>
        <w:tab w:val="clear" w:pos="708"/>
        <w:tab w:val="right" w:pos="9922" w:leader="dot"/>
      </w:tabs>
      <w:ind w:left="0" w:hanging="0"/>
    </w:pPr>
    <w:rPr/>
  </w:style>
  <w:style w:type="paragraph" w:styleId="Style28">
    <w:name w:val="Обратный отступ"/>
    <w:basedOn w:val="Style17"/>
    <w:qFormat/>
    <w:pPr>
      <w:tabs>
        <w:tab w:val="clear" w:pos="708"/>
        <w:tab w:val="left" w:pos="0" w:leader="none"/>
      </w:tabs>
      <w:ind w:left="567" w:hanging="283"/>
    </w:pPr>
    <w:rPr/>
  </w:style>
  <w:style w:type="paragraph" w:styleId="Style29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LibreOffice/7.3.7.2$Linux_X86_64 LibreOffice_project/30$Build-2</Application>
  <AppVersion>15.0000</AppVersion>
  <Pages>2</Pages>
  <Words>307</Words>
  <Characters>2577</Characters>
  <CharactersWithSpaces>2774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2022-09-01T12:25:00Z</dcterms:created>
  <dc:creator>Конкурс Кластеры</dc:creator>
  <dc:description/>
  <dc:language>ru-RU</dc:language>
  <cp:lastModifiedBy/>
  <dcterms:modified xsi:type="dcterms:W3CDTF">2023-08-30T13:01:11Z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