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82D5" w14:textId="708C3B99" w:rsidR="000741BF" w:rsidRPr="000741BF" w:rsidRDefault="000741BF" w:rsidP="000741BF">
      <w:pPr>
        <w:pStyle w:val="Title"/>
        <w:jc w:val="center"/>
        <w:rPr>
          <w:sz w:val="40"/>
          <w:szCs w:val="40"/>
          <w:lang w:val="en-US"/>
        </w:rPr>
      </w:pPr>
      <w:r w:rsidRPr="000741BF">
        <w:rPr>
          <w:sz w:val="40"/>
          <w:szCs w:val="40"/>
          <w:lang w:val="en-US"/>
        </w:rPr>
        <w:t xml:space="preserve">Lightning Bank </w:t>
      </w:r>
      <w:r w:rsidR="00400EBB">
        <w:rPr>
          <w:sz w:val="40"/>
          <w:szCs w:val="40"/>
          <w:lang w:val="en-US"/>
        </w:rPr>
        <w:t>Case Study</w:t>
      </w:r>
    </w:p>
    <w:p w14:paraId="507E1702" w14:textId="77777777" w:rsidR="00364F74" w:rsidRDefault="00364F74" w:rsidP="00364F74">
      <w:pPr>
        <w:rPr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25724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C3490" w14:textId="5745A282" w:rsidR="00085EC1" w:rsidRDefault="00085EC1">
          <w:pPr>
            <w:pStyle w:val="TOCHeading"/>
          </w:pPr>
          <w:r>
            <w:t>Contents</w:t>
          </w:r>
        </w:p>
        <w:p w14:paraId="74CD28B1" w14:textId="6EB07A7D" w:rsidR="00D41617" w:rsidRDefault="00085EC1">
          <w:pPr>
            <w:pStyle w:val="TOC1"/>
            <w:tabs>
              <w:tab w:val="right" w:leader="dot" w:pos="9323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16288" w:history="1">
            <w:r w:rsidR="00D41617" w:rsidRPr="00817BFF">
              <w:rPr>
                <w:rStyle w:val="Hyperlink"/>
                <w:noProof/>
                <w:lang w:val="en-US"/>
              </w:rPr>
              <w:t>Personas</w:t>
            </w:r>
            <w:r w:rsidR="00D41617">
              <w:rPr>
                <w:noProof/>
                <w:webHidden/>
              </w:rPr>
              <w:tab/>
            </w:r>
            <w:r w:rsidR="00D41617">
              <w:rPr>
                <w:noProof/>
                <w:webHidden/>
              </w:rPr>
              <w:fldChar w:fldCharType="begin"/>
            </w:r>
            <w:r w:rsidR="00D41617">
              <w:rPr>
                <w:noProof/>
                <w:webHidden/>
              </w:rPr>
              <w:instrText xml:space="preserve"> PAGEREF _Toc208316288 \h </w:instrText>
            </w:r>
            <w:r w:rsidR="00D41617">
              <w:rPr>
                <w:noProof/>
                <w:webHidden/>
              </w:rPr>
            </w:r>
            <w:r w:rsidR="00D41617">
              <w:rPr>
                <w:noProof/>
                <w:webHidden/>
              </w:rPr>
              <w:fldChar w:fldCharType="separate"/>
            </w:r>
            <w:r w:rsidR="00D41617">
              <w:rPr>
                <w:noProof/>
                <w:webHidden/>
              </w:rPr>
              <w:t>1</w:t>
            </w:r>
            <w:r w:rsidR="00D41617">
              <w:rPr>
                <w:noProof/>
                <w:webHidden/>
              </w:rPr>
              <w:fldChar w:fldCharType="end"/>
            </w:r>
          </w:hyperlink>
        </w:p>
        <w:p w14:paraId="7D9F0EE0" w14:textId="5F71A6DC" w:rsidR="00D41617" w:rsidRDefault="00D41617">
          <w:pPr>
            <w:pStyle w:val="TOC1"/>
            <w:tabs>
              <w:tab w:val="right" w:leader="dot" w:pos="9323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8316289" w:history="1">
            <w:r w:rsidRPr="00817BFF">
              <w:rPr>
                <w:rStyle w:val="Hyperlink"/>
                <w:noProof/>
                <w:lang w:val="en-US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9BE3" w14:textId="7A6A6454" w:rsidR="00D41617" w:rsidRDefault="00D41617">
          <w:pPr>
            <w:pStyle w:val="TOC1"/>
            <w:tabs>
              <w:tab w:val="right" w:leader="dot" w:pos="9323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8316290" w:history="1">
            <w:r w:rsidRPr="00817BFF">
              <w:rPr>
                <w:rStyle w:val="Hyperlink"/>
                <w:noProof/>
                <w:lang w:val="en-US"/>
              </w:rPr>
              <w:t>Interest Rate Risks and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3EAF" w14:textId="016870CF" w:rsidR="00D41617" w:rsidRDefault="00D41617">
          <w:pPr>
            <w:pStyle w:val="TOC1"/>
            <w:tabs>
              <w:tab w:val="right" w:leader="dot" w:pos="9323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8316291" w:history="1">
            <w:r w:rsidRPr="00817BFF">
              <w:rPr>
                <w:rStyle w:val="Hyperlink"/>
                <w:noProof/>
                <w:lang w:val="en-US"/>
              </w:rPr>
              <w:t>Stable Channel Logistics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BD02" w14:textId="3DB21EE4" w:rsidR="00D41617" w:rsidRDefault="00D41617">
          <w:pPr>
            <w:pStyle w:val="TOC2"/>
            <w:tabs>
              <w:tab w:val="right" w:leader="dot" w:pos="9323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8316292" w:history="1">
            <w:r w:rsidRPr="00817BFF">
              <w:rPr>
                <w:rStyle w:val="Hyperlink"/>
                <w:noProof/>
                <w:lang w:val="en-US"/>
              </w:rPr>
              <w:t>Fixed Interest Rate - Percentage of Stable Fiat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ABBF" w14:textId="4889270E" w:rsidR="00D41617" w:rsidRDefault="00D41617">
          <w:pPr>
            <w:pStyle w:val="TOC2"/>
            <w:tabs>
              <w:tab w:val="right" w:leader="dot" w:pos="9323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8316293" w:history="1">
            <w:r w:rsidRPr="00817BFF">
              <w:rPr>
                <w:rStyle w:val="Hyperlink"/>
                <w:noProof/>
                <w:lang w:val="en-US"/>
              </w:rPr>
              <w:t>Variable Interest Rate - Percentage of Bitcoin CAGR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09E6" w14:textId="023CBD2B" w:rsidR="00085EC1" w:rsidRPr="00085EC1" w:rsidRDefault="00085EC1" w:rsidP="00364F74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PlainTable2"/>
        <w:tblW w:w="935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8"/>
        <w:gridCol w:w="7938"/>
      </w:tblGrid>
      <w:tr w:rsidR="00461E81" w14:paraId="0444763F" w14:textId="77777777" w:rsidTr="00F2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tcBorders>
              <w:bottom w:val="none" w:sz="0" w:space="0" w:color="auto"/>
            </w:tcBorders>
            <w:shd w:val="clear" w:color="auto" w:fill="156082" w:themeFill="accent1"/>
            <w:vAlign w:val="center"/>
          </w:tcPr>
          <w:p w14:paraId="40AB3CB3" w14:textId="77777777" w:rsidR="00461E81" w:rsidRPr="00802BF6" w:rsidRDefault="00461E81" w:rsidP="00F238C9">
            <w:pPr>
              <w:pStyle w:val="Heading1"/>
              <w:rPr>
                <w:lang w:val="en-US"/>
              </w:rPr>
            </w:pPr>
            <w:bookmarkStart w:id="0" w:name="_Toc208316288"/>
            <w:r>
              <w:rPr>
                <w:lang w:val="en-US"/>
              </w:rPr>
              <w:t>Personas</w:t>
            </w:r>
            <w:bookmarkEnd w:id="0"/>
          </w:p>
        </w:tc>
      </w:tr>
      <w:tr w:rsidR="00461E81" w14:paraId="7D7C10D6" w14:textId="77777777" w:rsidTr="00F2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C1E4F5" w:themeFill="accent1" w:themeFillTint="33"/>
            <w:vAlign w:val="center"/>
          </w:tcPr>
          <w:p w14:paraId="517912D9" w14:textId="77777777" w:rsidR="00461E81" w:rsidRPr="008F6F07" w:rsidRDefault="00461E81" w:rsidP="00F238C9">
            <w:pPr>
              <w:rPr>
                <w:lang w:val="en-US"/>
              </w:rPr>
            </w:pPr>
            <w:r w:rsidRPr="008F6F07">
              <w:rPr>
                <w:lang w:val="en-US"/>
              </w:rPr>
              <w:t>Participants</w:t>
            </w:r>
          </w:p>
        </w:tc>
        <w:tc>
          <w:tcPr>
            <w:tcW w:w="7938" w:type="dxa"/>
            <w:shd w:val="clear" w:color="auto" w:fill="C1E4F5" w:themeFill="accent1" w:themeFillTint="33"/>
            <w:vAlign w:val="center"/>
          </w:tcPr>
          <w:p w14:paraId="2CD4DF02" w14:textId="77777777" w:rsidR="00461E81" w:rsidRPr="00744CCC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61E81" w14:paraId="1836F086" w14:textId="77777777" w:rsidTr="0077205E">
        <w:trPr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C1E4F5" w:themeFill="accent1" w:themeFillTint="33"/>
          </w:tcPr>
          <w:p w14:paraId="1B9EDC07" w14:textId="77777777" w:rsidR="00461E81" w:rsidRDefault="00461E81" w:rsidP="00F238C9">
            <w:pPr>
              <w:rPr>
                <w:lang w:val="en-US"/>
              </w:rPr>
            </w:pPr>
            <w:r>
              <w:t>Liquidity Service Provider</w:t>
            </w:r>
          </w:p>
        </w:tc>
        <w:tc>
          <w:tcPr>
            <w:tcW w:w="7938" w:type="dxa"/>
          </w:tcPr>
          <w:p w14:paraId="386BBCCE" w14:textId="3CA555D5" w:rsidR="00461E81" w:rsidRPr="008F6F07" w:rsidRDefault="00461E81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Lightning Bank </w:t>
            </w:r>
            <w:r w:rsidR="00066D70">
              <w:rPr>
                <w:lang w:val="en-US"/>
              </w:rPr>
              <w:t xml:space="preserve">that </w:t>
            </w:r>
            <w:r>
              <w:rPr>
                <w:lang w:val="en-US"/>
              </w:rPr>
              <w:t xml:space="preserve">sells Corporate Bonds </w:t>
            </w:r>
            <w:r w:rsidR="00F80255">
              <w:rPr>
                <w:lang w:val="en-US"/>
              </w:rPr>
              <w:t xml:space="preserve">which </w:t>
            </w:r>
            <w:r w:rsidR="00066D70">
              <w:rPr>
                <w:lang w:val="en-US"/>
              </w:rPr>
              <w:t>are</w:t>
            </w:r>
            <w:r w:rsidR="00F80255">
              <w:rPr>
                <w:lang w:val="en-US"/>
              </w:rPr>
              <w:t xml:space="preserve"> used </w:t>
            </w:r>
            <w:r w:rsidR="008011D0">
              <w:rPr>
                <w:lang w:val="en-US"/>
              </w:rPr>
              <w:t>for the</w:t>
            </w:r>
            <w:r>
              <w:rPr>
                <w:lang w:val="en-US"/>
              </w:rPr>
              <w:t xml:space="preserve"> purchase </w:t>
            </w:r>
            <w:r w:rsidR="008011D0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Bitcoin </w:t>
            </w:r>
            <w:r w:rsidR="00F80255">
              <w:rPr>
                <w:lang w:val="en-US"/>
              </w:rPr>
              <w:t>to</w:t>
            </w:r>
            <w:r>
              <w:rPr>
                <w:lang w:val="en-US"/>
              </w:rPr>
              <w:t xml:space="preserve"> add to the protocols Bitcoin Total Value Locked (BTC TVL) </w:t>
            </w:r>
            <w:r w:rsidR="002E3575">
              <w:rPr>
                <w:lang w:val="en-US"/>
              </w:rPr>
              <w:t>then</w:t>
            </w:r>
            <w:r>
              <w:rPr>
                <w:lang w:val="en-US"/>
              </w:rPr>
              <w:t xml:space="preserve"> earn yield for its Bitcoin Treasury.</w:t>
            </w:r>
            <w:r w:rsidR="0014630F">
              <w:rPr>
                <w:lang w:val="en-US"/>
              </w:rPr>
              <w:t xml:space="preserve"> It also provides the </w:t>
            </w:r>
            <w:r w:rsidR="007D7194">
              <w:rPr>
                <w:lang w:val="en-US"/>
              </w:rPr>
              <w:t xml:space="preserve">Lightning Stable Channel liquidity services </w:t>
            </w:r>
            <w:r w:rsidR="003E5DB2">
              <w:rPr>
                <w:lang w:val="en-US"/>
              </w:rPr>
              <w:t>to facilitate Bitcoin DeFi</w:t>
            </w:r>
            <w:r w:rsidR="008215B9">
              <w:rPr>
                <w:lang w:val="en-US"/>
              </w:rPr>
              <w:t xml:space="preserve"> by pairing Stable Receivers with Stable Providers and </w:t>
            </w:r>
            <w:r w:rsidR="005831F1">
              <w:rPr>
                <w:lang w:val="en-US"/>
              </w:rPr>
              <w:t>distributing yield</w:t>
            </w:r>
            <w:r w:rsidR="003E5DB2">
              <w:rPr>
                <w:lang w:val="en-US"/>
              </w:rPr>
              <w:t>.</w:t>
            </w:r>
          </w:p>
        </w:tc>
      </w:tr>
      <w:tr w:rsidR="00461E81" w14:paraId="4A4E346F" w14:textId="77777777" w:rsidTr="0033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</w:tcPr>
          <w:p w14:paraId="0EB5F550" w14:textId="77777777" w:rsidR="00461E81" w:rsidRPr="008F6F07" w:rsidRDefault="00461E81" w:rsidP="00F238C9">
            <w:pPr>
              <w:rPr>
                <w:lang w:val="en-US"/>
              </w:rPr>
            </w:pPr>
            <w:r>
              <w:rPr>
                <w:lang w:val="en-US"/>
              </w:rPr>
              <w:t>Fiat Investors</w:t>
            </w:r>
          </w:p>
        </w:tc>
        <w:tc>
          <w:tcPr>
            <w:tcW w:w="7938" w:type="dxa"/>
            <w:tcBorders>
              <w:top w:val="none" w:sz="0" w:space="0" w:color="auto"/>
              <w:bottom w:val="none" w:sz="0" w:space="0" w:color="auto"/>
            </w:tcBorders>
          </w:tcPr>
          <w:p w14:paraId="7590AD1D" w14:textId="7AF23EA1" w:rsidR="00461E81" w:rsidRPr="008F6F07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Investors </w:t>
            </w:r>
            <w:r w:rsidR="00534D83">
              <w:rPr>
                <w:lang w:val="en-US"/>
              </w:rPr>
              <w:t>such as Corporate Bond purchasers</w:t>
            </w:r>
            <w:r w:rsidR="00B24676">
              <w:rPr>
                <w:lang w:val="en-US"/>
              </w:rPr>
              <w:t xml:space="preserve">, </w:t>
            </w:r>
            <w:r w:rsidR="00595FB8">
              <w:rPr>
                <w:lang w:val="en-US"/>
              </w:rPr>
              <w:t>money market funds</w:t>
            </w:r>
            <w:r w:rsidR="002E3575">
              <w:rPr>
                <w:lang w:val="en-US"/>
              </w:rPr>
              <w:t>, or high-interest savers</w:t>
            </w:r>
            <w:r w:rsidR="00595FB8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are unable or uncomfortable to participate in the volatility of Bitcoin but are seeking to maximize yield earning potential by capturing a portion of the Bitcoin Compound Annual Growth Rate (BTC CAGR). Essentially positioning themselves as Bitcoin shorts.</w:t>
            </w:r>
          </w:p>
        </w:tc>
      </w:tr>
      <w:tr w:rsidR="00461E81" w14:paraId="20588D7C" w14:textId="77777777" w:rsidTr="00F238C9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C1E4F5" w:themeFill="accent1" w:themeFillTint="33"/>
          </w:tcPr>
          <w:p w14:paraId="353E6CC1" w14:textId="77777777" w:rsidR="00461E81" w:rsidRPr="008F6F07" w:rsidRDefault="00461E81" w:rsidP="00F238C9">
            <w:pPr>
              <w:rPr>
                <w:lang w:val="en-US"/>
              </w:rPr>
            </w:pPr>
            <w:r>
              <w:rPr>
                <w:lang w:val="en-US"/>
              </w:rPr>
              <w:t>Bitcoin Investors</w:t>
            </w:r>
          </w:p>
        </w:tc>
        <w:tc>
          <w:tcPr>
            <w:tcW w:w="7938" w:type="dxa"/>
          </w:tcPr>
          <w:p w14:paraId="36DEE734" w14:textId="77777777" w:rsidR="00461E81" w:rsidRPr="008F6F07" w:rsidRDefault="00461E81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Investors seeking maximize yield earnings on their Bitcoin holdings by being paired with Fiat Investors to capture a portion of the Bitcoin Compound Annual Growth Rate (BTC CAGR). Essentially positioning themselves as Bitcoin 2X Leverage Longs. </w:t>
            </w:r>
          </w:p>
        </w:tc>
      </w:tr>
    </w:tbl>
    <w:p w14:paraId="00388E7D" w14:textId="77777777" w:rsidR="00461E81" w:rsidRPr="00364F74" w:rsidRDefault="00461E81" w:rsidP="00461E81">
      <w:pPr>
        <w:rPr>
          <w:lang w:val="en-US"/>
        </w:rPr>
      </w:pPr>
    </w:p>
    <w:tbl>
      <w:tblPr>
        <w:tblStyle w:val="PlainTable2"/>
        <w:tblW w:w="935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8"/>
        <w:gridCol w:w="2551"/>
        <w:gridCol w:w="2552"/>
        <w:gridCol w:w="2835"/>
      </w:tblGrid>
      <w:tr w:rsidR="00461E81" w14:paraId="0061BC2D" w14:textId="77777777" w:rsidTr="00F2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bottom w:val="none" w:sz="0" w:space="0" w:color="auto"/>
            </w:tcBorders>
            <w:shd w:val="clear" w:color="auto" w:fill="156082" w:themeFill="accent1"/>
            <w:vAlign w:val="center"/>
          </w:tcPr>
          <w:p w14:paraId="14BF0CFB" w14:textId="77777777" w:rsidR="00461E81" w:rsidRPr="00802BF6" w:rsidRDefault="00461E81" w:rsidP="00F238C9">
            <w:pPr>
              <w:pStyle w:val="Heading1"/>
              <w:rPr>
                <w:lang w:val="en-US"/>
              </w:rPr>
            </w:pPr>
            <w:bookmarkStart w:id="1" w:name="_Toc208316289"/>
            <w:r>
              <w:rPr>
                <w:lang w:val="en-US"/>
              </w:rPr>
              <w:t>Scenarios</w:t>
            </w:r>
            <w:bookmarkEnd w:id="1"/>
          </w:p>
        </w:tc>
      </w:tr>
      <w:tr w:rsidR="00461E81" w14:paraId="487D5994" w14:textId="77777777" w:rsidTr="00F2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407CB4AA" w14:textId="77777777" w:rsidR="00461E81" w:rsidRPr="008F6F07" w:rsidRDefault="00461E81" w:rsidP="00F238C9">
            <w:pPr>
              <w:rPr>
                <w:lang w:val="en-US"/>
              </w:rPr>
            </w:pPr>
            <w:r w:rsidRPr="008F6F07">
              <w:rPr>
                <w:lang w:val="en-US"/>
              </w:rPr>
              <w:t>Participants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0B2BB124" w14:textId="649013B6" w:rsidR="00461E81" w:rsidRPr="00744CCC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Fully </w:t>
            </w:r>
            <w:r w:rsidRPr="00744CCC">
              <w:rPr>
                <w:b/>
                <w:bCs/>
                <w:lang w:val="en-US"/>
              </w:rPr>
              <w:t>Custodial</w:t>
            </w:r>
            <w:r w:rsidR="00474722">
              <w:rPr>
                <w:b/>
                <w:bCs/>
                <w:lang w:val="en-US"/>
              </w:rPr>
              <w:t xml:space="preserve"> (CeFi)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26375BD1" w14:textId="47F1EE5B" w:rsidR="00461E81" w:rsidRPr="00744CCC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44CCC">
              <w:rPr>
                <w:b/>
                <w:bCs/>
                <w:lang w:val="en-US"/>
              </w:rPr>
              <w:t>Partially Custodial</w:t>
            </w:r>
            <w:r w:rsidR="00474722">
              <w:rPr>
                <w:b/>
                <w:bCs/>
                <w:lang w:val="en-US"/>
              </w:rPr>
              <w:t xml:space="preserve"> (DeFi)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34CA1B12" w14:textId="2DEA30F1" w:rsidR="00461E81" w:rsidRPr="00744CCC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44CCC">
              <w:rPr>
                <w:b/>
                <w:bCs/>
                <w:lang w:val="en-US"/>
              </w:rPr>
              <w:t>Non-Custodial</w:t>
            </w:r>
            <w:r w:rsidR="00474722">
              <w:rPr>
                <w:b/>
                <w:bCs/>
                <w:lang w:val="en-US"/>
              </w:rPr>
              <w:t xml:space="preserve"> (DeFi)</w:t>
            </w:r>
          </w:p>
        </w:tc>
      </w:tr>
      <w:tr w:rsidR="00461E81" w14:paraId="7BDC840C" w14:textId="77777777" w:rsidTr="00F238C9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C1E4F5" w:themeFill="accent1" w:themeFillTint="33"/>
          </w:tcPr>
          <w:p w14:paraId="0BE26D04" w14:textId="77777777" w:rsidR="00461E81" w:rsidRPr="008F6F07" w:rsidRDefault="00461E81" w:rsidP="00F238C9">
            <w:pPr>
              <w:rPr>
                <w:lang w:val="en-US"/>
              </w:rPr>
            </w:pPr>
            <w:r w:rsidRPr="008F6F07">
              <w:rPr>
                <w:lang w:val="en-US"/>
              </w:rPr>
              <w:t>Stable Receiver</w:t>
            </w:r>
          </w:p>
        </w:tc>
        <w:tc>
          <w:tcPr>
            <w:tcW w:w="2551" w:type="dxa"/>
          </w:tcPr>
          <w:p w14:paraId="087CFBA9" w14:textId="77777777" w:rsidR="00461E81" w:rsidRPr="008F6F07" w:rsidRDefault="00461E81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Liquidity Service Provider on behalf of Fiat Investors</w:t>
            </w:r>
          </w:p>
        </w:tc>
        <w:tc>
          <w:tcPr>
            <w:tcW w:w="2552" w:type="dxa"/>
          </w:tcPr>
          <w:p w14:paraId="3DCF47A1" w14:textId="77777777" w:rsidR="00461E81" w:rsidRPr="008F6F07" w:rsidRDefault="00461E81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Liquidity Service Provider on behalf of Fiat Investors</w:t>
            </w:r>
          </w:p>
        </w:tc>
        <w:tc>
          <w:tcPr>
            <w:tcW w:w="2835" w:type="dxa"/>
          </w:tcPr>
          <w:p w14:paraId="53FBBF08" w14:textId="77777777" w:rsidR="00461E81" w:rsidRPr="008F6F07" w:rsidRDefault="00461E81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Fiat Investors</w:t>
            </w:r>
          </w:p>
        </w:tc>
      </w:tr>
      <w:tr w:rsidR="00461E81" w14:paraId="04DED0AE" w14:textId="77777777" w:rsidTr="00F2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</w:tcPr>
          <w:p w14:paraId="55C2C103" w14:textId="77777777" w:rsidR="00461E81" w:rsidRPr="008F6F07" w:rsidRDefault="00461E81" w:rsidP="00F238C9">
            <w:pPr>
              <w:rPr>
                <w:lang w:val="en-US"/>
              </w:rPr>
            </w:pPr>
            <w:r w:rsidRPr="008F6F07">
              <w:rPr>
                <w:lang w:val="en-US"/>
              </w:rPr>
              <w:t>Stable Provider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14:paraId="2B736549" w14:textId="77777777" w:rsidR="00461E81" w:rsidRPr="008F6F07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Liquidity Service Provider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</w:tcPr>
          <w:p w14:paraId="05016928" w14:textId="77777777" w:rsidR="00461E81" w:rsidRPr="008F6F07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Bitcoin Investors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14:paraId="222BC986" w14:textId="77777777" w:rsidR="00461E81" w:rsidRPr="008F6F07" w:rsidRDefault="00461E81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Bitcoin Investors</w:t>
            </w:r>
          </w:p>
        </w:tc>
      </w:tr>
    </w:tbl>
    <w:p w14:paraId="4823501F" w14:textId="7FD0CCC5" w:rsidR="004565AB" w:rsidRDefault="004565AB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</w:p>
    <w:tbl>
      <w:tblPr>
        <w:tblStyle w:val="PlainTable2"/>
        <w:tblW w:w="9351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8"/>
        <w:gridCol w:w="2105"/>
        <w:gridCol w:w="2001"/>
        <w:gridCol w:w="1842"/>
        <w:gridCol w:w="1985"/>
      </w:tblGrid>
      <w:tr w:rsidR="00142320" w14:paraId="5DE3CA5B" w14:textId="77777777" w:rsidTr="00F2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tcBorders>
              <w:bottom w:val="none" w:sz="0" w:space="0" w:color="auto"/>
            </w:tcBorders>
            <w:shd w:val="clear" w:color="auto" w:fill="156082" w:themeFill="accent1"/>
            <w:vAlign w:val="center"/>
          </w:tcPr>
          <w:p w14:paraId="2F334B7D" w14:textId="24ABDFAE" w:rsidR="00142320" w:rsidRPr="00D86F44" w:rsidRDefault="005956A3" w:rsidP="00F238C9">
            <w:pPr>
              <w:pStyle w:val="Heading1"/>
              <w:rPr>
                <w:lang w:val="en-US"/>
              </w:rPr>
            </w:pPr>
            <w:bookmarkStart w:id="2" w:name="_Toc208316290"/>
            <w:r>
              <w:rPr>
                <w:lang w:val="en-US"/>
              </w:rPr>
              <w:lastRenderedPageBreak/>
              <w:t xml:space="preserve">Interest Rate </w:t>
            </w:r>
            <w:r w:rsidR="00142320" w:rsidRPr="00D86F44">
              <w:rPr>
                <w:lang w:val="en-US"/>
              </w:rPr>
              <w:t>Risk</w:t>
            </w:r>
            <w:r w:rsidR="00434C5D">
              <w:rPr>
                <w:lang w:val="en-US"/>
              </w:rPr>
              <w:t>s</w:t>
            </w:r>
            <w:r w:rsidR="00142320" w:rsidRPr="00D86F44">
              <w:rPr>
                <w:lang w:val="en-US"/>
              </w:rPr>
              <w:t xml:space="preserve"> </w:t>
            </w:r>
            <w:r w:rsidR="00142320">
              <w:rPr>
                <w:lang w:val="en-US"/>
              </w:rPr>
              <w:t>and</w:t>
            </w:r>
            <w:r w:rsidR="00142320" w:rsidRPr="00D86F44">
              <w:rPr>
                <w:lang w:val="en-US"/>
              </w:rPr>
              <w:t xml:space="preserve"> Reward</w:t>
            </w:r>
            <w:r w:rsidR="00434C5D">
              <w:rPr>
                <w:lang w:val="en-US"/>
              </w:rPr>
              <w:t>s</w:t>
            </w:r>
            <w:bookmarkEnd w:id="2"/>
          </w:p>
        </w:tc>
      </w:tr>
      <w:tr w:rsidR="00142320" w14:paraId="43CB7A52" w14:textId="77777777" w:rsidTr="0059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06D6FDFF" w14:textId="77777777" w:rsidR="00142320" w:rsidRPr="00D86F44" w:rsidRDefault="00142320" w:rsidP="00F238C9">
            <w:pPr>
              <w:rPr>
                <w:lang w:val="en-US"/>
              </w:rPr>
            </w:pPr>
            <w:r w:rsidRPr="00D86F44">
              <w:rPr>
                <w:lang w:val="en-US"/>
              </w:rPr>
              <w:t>Participants</w:t>
            </w:r>
          </w:p>
        </w:tc>
        <w:tc>
          <w:tcPr>
            <w:tcW w:w="4106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66D90615" w14:textId="72F95888" w:rsidR="00142320" w:rsidRPr="00D86F44" w:rsidRDefault="00142320" w:rsidP="00595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86F44">
              <w:rPr>
                <w:b/>
                <w:bCs/>
                <w:lang w:val="en-US"/>
              </w:rPr>
              <w:t>Fixed</w:t>
            </w:r>
            <w:r w:rsidR="005956A3">
              <w:rPr>
                <w:b/>
                <w:bCs/>
                <w:lang w:val="en-US"/>
              </w:rPr>
              <w:t xml:space="preserve"> - </w:t>
            </w:r>
            <w:r w:rsidRPr="00D86F44">
              <w:rPr>
                <w:b/>
                <w:bCs/>
                <w:lang w:val="en-US"/>
              </w:rPr>
              <w:t xml:space="preserve">Percentage of </w:t>
            </w:r>
            <w:r w:rsidR="005A3E32">
              <w:rPr>
                <w:b/>
                <w:bCs/>
                <w:lang w:val="en-US"/>
              </w:rPr>
              <w:t xml:space="preserve">Stable </w:t>
            </w:r>
            <w:r w:rsidRPr="00D86F44">
              <w:rPr>
                <w:b/>
                <w:bCs/>
                <w:lang w:val="en-US"/>
              </w:rPr>
              <w:t>Fiat</w:t>
            </w:r>
          </w:p>
        </w:tc>
        <w:tc>
          <w:tcPr>
            <w:tcW w:w="3827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47EC0011" w14:textId="783A22E0" w:rsidR="00142320" w:rsidRPr="00D86F44" w:rsidRDefault="00142320" w:rsidP="00595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86F44">
              <w:rPr>
                <w:b/>
                <w:bCs/>
                <w:lang w:val="en-US"/>
              </w:rPr>
              <w:t>Variable</w:t>
            </w:r>
            <w:r w:rsidR="005956A3">
              <w:rPr>
                <w:b/>
                <w:bCs/>
                <w:lang w:val="en-US"/>
              </w:rPr>
              <w:t xml:space="preserve"> - </w:t>
            </w:r>
            <w:r w:rsidRPr="00D86F44">
              <w:rPr>
                <w:b/>
                <w:bCs/>
                <w:lang w:val="en-US"/>
              </w:rPr>
              <w:t>Percentage of Bitcoin CAGR</w:t>
            </w:r>
          </w:p>
        </w:tc>
      </w:tr>
      <w:tr w:rsidR="00142320" w14:paraId="089EA893" w14:textId="77777777" w:rsidTr="00F238C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C1E4F5" w:themeFill="accent1" w:themeFillTint="33"/>
          </w:tcPr>
          <w:p w14:paraId="70207613" w14:textId="77777777" w:rsidR="00142320" w:rsidRPr="008F6F07" w:rsidRDefault="00142320" w:rsidP="00F238C9">
            <w:pPr>
              <w:rPr>
                <w:lang w:val="en-US"/>
              </w:rPr>
            </w:pPr>
          </w:p>
        </w:tc>
        <w:tc>
          <w:tcPr>
            <w:tcW w:w="2105" w:type="dxa"/>
            <w:shd w:val="clear" w:color="auto" w:fill="C1E4F5" w:themeFill="accent1" w:themeFillTint="33"/>
            <w:vAlign w:val="center"/>
          </w:tcPr>
          <w:p w14:paraId="285EB263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F6F07">
              <w:rPr>
                <w:b/>
                <w:bCs/>
                <w:lang w:val="en-US"/>
              </w:rPr>
              <w:t>Risk</w:t>
            </w:r>
          </w:p>
        </w:tc>
        <w:tc>
          <w:tcPr>
            <w:tcW w:w="2001" w:type="dxa"/>
            <w:shd w:val="clear" w:color="auto" w:fill="C1E4F5" w:themeFill="accent1" w:themeFillTint="33"/>
            <w:vAlign w:val="center"/>
          </w:tcPr>
          <w:p w14:paraId="53EE40A1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F6F07">
              <w:rPr>
                <w:b/>
                <w:bCs/>
                <w:lang w:val="en-US"/>
              </w:rPr>
              <w:t>Reward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763230F5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F6F07">
              <w:rPr>
                <w:b/>
                <w:bCs/>
                <w:lang w:val="en-US"/>
              </w:rPr>
              <w:t>Risk</w:t>
            </w:r>
          </w:p>
        </w:tc>
        <w:tc>
          <w:tcPr>
            <w:tcW w:w="1985" w:type="dxa"/>
            <w:shd w:val="clear" w:color="auto" w:fill="C1E4F5" w:themeFill="accent1" w:themeFillTint="33"/>
            <w:vAlign w:val="center"/>
          </w:tcPr>
          <w:p w14:paraId="7E8D2A5A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F6F07">
              <w:rPr>
                <w:b/>
                <w:bCs/>
                <w:lang w:val="en-US"/>
              </w:rPr>
              <w:t>Reward</w:t>
            </w:r>
          </w:p>
        </w:tc>
      </w:tr>
      <w:tr w:rsidR="00142320" w14:paraId="762B2195" w14:textId="77777777" w:rsidTr="00F2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  <w:shd w:val="clear" w:color="auto" w:fill="C1E4F5" w:themeFill="accent1" w:themeFillTint="33"/>
          </w:tcPr>
          <w:p w14:paraId="49B5B5D7" w14:textId="77777777" w:rsidR="00142320" w:rsidRPr="008F6F07" w:rsidRDefault="00142320" w:rsidP="00F238C9">
            <w:pPr>
              <w:rPr>
                <w:lang w:val="en-US"/>
              </w:rPr>
            </w:pPr>
            <w:r w:rsidRPr="008F6F07">
              <w:rPr>
                <w:lang w:val="en-US"/>
              </w:rPr>
              <w:t>Stable Receiver</w:t>
            </w:r>
          </w:p>
        </w:tc>
        <w:tc>
          <w:tcPr>
            <w:tcW w:w="2105" w:type="dxa"/>
            <w:tcBorders>
              <w:top w:val="none" w:sz="0" w:space="0" w:color="auto"/>
              <w:bottom w:val="none" w:sz="0" w:space="0" w:color="auto"/>
            </w:tcBorders>
          </w:tcPr>
          <w:p w14:paraId="5B0DD9E9" w14:textId="77777777" w:rsidR="00142320" w:rsidRPr="008F6F07" w:rsidRDefault="00142320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Low</w:t>
            </w:r>
            <w:r w:rsidRPr="008F6F07">
              <w:rPr>
                <w:lang w:val="en-US"/>
              </w:rPr>
              <w:t xml:space="preserve"> risk because interest is guaranteed by Stable Provider</w:t>
            </w:r>
          </w:p>
        </w:tc>
        <w:tc>
          <w:tcPr>
            <w:tcW w:w="2001" w:type="dxa"/>
            <w:tcBorders>
              <w:top w:val="none" w:sz="0" w:space="0" w:color="auto"/>
              <w:bottom w:val="none" w:sz="0" w:space="0" w:color="auto"/>
            </w:tcBorders>
          </w:tcPr>
          <w:p w14:paraId="3D6DB38F" w14:textId="77777777" w:rsidR="00142320" w:rsidRPr="008F6F07" w:rsidRDefault="00142320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Low</w:t>
            </w:r>
            <w:r w:rsidRPr="008F6F07">
              <w:rPr>
                <w:lang w:val="en-US"/>
              </w:rPr>
              <w:t xml:space="preserve"> reward because interest is based off the percentage of fiat principal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14:paraId="348E4EB7" w14:textId="77777777" w:rsidR="00142320" w:rsidRPr="008F6F07" w:rsidRDefault="00142320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High</w:t>
            </w:r>
            <w:r w:rsidRPr="008F6F07">
              <w:rPr>
                <w:lang w:val="en-US"/>
              </w:rPr>
              <w:t xml:space="preserve"> risk because interest is dependent on Bitcoin price appreciation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14:paraId="526E8D2F" w14:textId="77777777" w:rsidR="00142320" w:rsidRPr="008F6F07" w:rsidRDefault="00142320" w:rsidP="00F2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High</w:t>
            </w:r>
            <w:r w:rsidRPr="008F6F07">
              <w:rPr>
                <w:lang w:val="en-US"/>
              </w:rPr>
              <w:t xml:space="preserve"> reward because interest is based off the percentage of Bitcoin CAGR</w:t>
            </w:r>
          </w:p>
        </w:tc>
      </w:tr>
      <w:tr w:rsidR="00142320" w14:paraId="48156D21" w14:textId="77777777" w:rsidTr="00F238C9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C1E4F5" w:themeFill="accent1" w:themeFillTint="33"/>
          </w:tcPr>
          <w:p w14:paraId="6FB44557" w14:textId="233B1BD4" w:rsidR="00142320" w:rsidRPr="008F6F07" w:rsidRDefault="00142320" w:rsidP="00F238C9">
            <w:pPr>
              <w:rPr>
                <w:lang w:val="en-US"/>
              </w:rPr>
            </w:pPr>
            <w:r w:rsidRPr="008F6F07">
              <w:rPr>
                <w:lang w:val="en-US"/>
              </w:rPr>
              <w:t>Stable Provider</w:t>
            </w:r>
          </w:p>
        </w:tc>
        <w:tc>
          <w:tcPr>
            <w:tcW w:w="2105" w:type="dxa"/>
          </w:tcPr>
          <w:p w14:paraId="71D51051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High</w:t>
            </w:r>
            <w:r w:rsidRPr="008F6F07">
              <w:rPr>
                <w:lang w:val="en-US"/>
              </w:rPr>
              <w:t xml:space="preserve"> risk because interest obligation is taken on</w:t>
            </w:r>
          </w:p>
        </w:tc>
        <w:tc>
          <w:tcPr>
            <w:tcW w:w="2001" w:type="dxa"/>
          </w:tcPr>
          <w:p w14:paraId="15DFDB0E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High</w:t>
            </w:r>
            <w:r w:rsidRPr="008F6F07">
              <w:rPr>
                <w:lang w:val="en-US"/>
              </w:rPr>
              <w:t xml:space="preserve"> reward because majority of the Bitcoin CAGR is earned</w:t>
            </w:r>
          </w:p>
        </w:tc>
        <w:tc>
          <w:tcPr>
            <w:tcW w:w="1842" w:type="dxa"/>
          </w:tcPr>
          <w:p w14:paraId="47E363A7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Low</w:t>
            </w:r>
            <w:r w:rsidRPr="008F6F07">
              <w:rPr>
                <w:lang w:val="en-US"/>
              </w:rPr>
              <w:t xml:space="preserve"> risk because interest is dependent on Bitcoin price appreciation</w:t>
            </w:r>
          </w:p>
        </w:tc>
        <w:tc>
          <w:tcPr>
            <w:tcW w:w="1985" w:type="dxa"/>
          </w:tcPr>
          <w:p w14:paraId="7972E704" w14:textId="77777777" w:rsidR="00142320" w:rsidRPr="008F6F07" w:rsidRDefault="00142320" w:rsidP="00F2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6F07">
              <w:rPr>
                <w:b/>
                <w:bCs/>
                <w:lang w:val="en-US"/>
              </w:rPr>
              <w:t>Low</w:t>
            </w:r>
            <w:r w:rsidRPr="008F6F07">
              <w:rPr>
                <w:lang w:val="en-US"/>
              </w:rPr>
              <w:t xml:space="preserve"> reward because some of the Bitcoin CAGR is shared</w:t>
            </w:r>
          </w:p>
        </w:tc>
      </w:tr>
    </w:tbl>
    <w:p w14:paraId="453D4272" w14:textId="77777777" w:rsidR="00461E81" w:rsidRDefault="00461E81" w:rsidP="00461E81">
      <w:pPr>
        <w:rPr>
          <w:lang w:val="en-US"/>
        </w:rPr>
      </w:pPr>
    </w:p>
    <w:p w14:paraId="26B540A1" w14:textId="1149548C" w:rsidR="00312DC1" w:rsidRDefault="008D4301" w:rsidP="00DC285B">
      <w:pPr>
        <w:pStyle w:val="Heading1"/>
        <w:rPr>
          <w:lang w:val="en-US"/>
        </w:rPr>
      </w:pPr>
      <w:bookmarkStart w:id="3" w:name="_Toc208316291"/>
      <w:r w:rsidRPr="00692692">
        <w:rPr>
          <w:lang w:val="en-US"/>
        </w:rPr>
        <w:t>Stable Channel Logistics</w:t>
      </w:r>
      <w:bookmarkStart w:id="4" w:name="_Toc208258482"/>
      <w:bookmarkEnd w:id="3"/>
    </w:p>
    <w:p w14:paraId="6C05C787" w14:textId="34C481FA" w:rsidR="0016190B" w:rsidRPr="0016190B" w:rsidRDefault="0016190B" w:rsidP="0016190B">
      <w:pPr>
        <w:rPr>
          <w:lang w:val="en-US"/>
        </w:rPr>
      </w:pPr>
      <w:r w:rsidRPr="00814BAB">
        <w:rPr>
          <w:b/>
          <w:bCs/>
          <w:lang w:val="en-US"/>
        </w:rPr>
        <w:t xml:space="preserve">Stable Provider account top-ups are required to ensure enough liquidity is available for making payments otherwise they face liquidation risk to the </w:t>
      </w:r>
      <w:r>
        <w:rPr>
          <w:b/>
          <w:bCs/>
          <w:lang w:val="en-US"/>
        </w:rPr>
        <w:t>Liquidity Service Provider</w:t>
      </w:r>
      <w:r w:rsidRPr="00814BAB">
        <w:rPr>
          <w:b/>
          <w:bCs/>
          <w:lang w:val="en-US"/>
        </w:rPr>
        <w:t>.</w:t>
      </w:r>
    </w:p>
    <w:p w14:paraId="266439D4" w14:textId="314AAF3C" w:rsidR="00F46289" w:rsidRDefault="00364F74" w:rsidP="0093577C">
      <w:pPr>
        <w:pStyle w:val="Heading2"/>
        <w:rPr>
          <w:lang w:val="en-US"/>
        </w:rPr>
      </w:pPr>
      <w:bookmarkStart w:id="5" w:name="_Toc208316292"/>
      <w:r>
        <w:rPr>
          <w:lang w:val="en-US"/>
        </w:rPr>
        <w:t xml:space="preserve">Fixed Interest Rate - </w:t>
      </w:r>
      <w:r w:rsidR="002031CA">
        <w:rPr>
          <w:lang w:val="en-US"/>
        </w:rPr>
        <w:t>Percentage</w:t>
      </w:r>
      <w:r>
        <w:rPr>
          <w:lang w:val="en-US"/>
        </w:rPr>
        <w:t xml:space="preserve"> of </w:t>
      </w:r>
      <w:r w:rsidR="00DF3751">
        <w:rPr>
          <w:lang w:val="en-US"/>
        </w:rPr>
        <w:t xml:space="preserve">Stable </w:t>
      </w:r>
      <w:r>
        <w:rPr>
          <w:lang w:val="en-US"/>
        </w:rPr>
        <w:t>Fiat</w:t>
      </w:r>
      <w:bookmarkEnd w:id="4"/>
      <w:bookmarkEnd w:id="5"/>
    </w:p>
    <w:p w14:paraId="42D49AB5" w14:textId="40752232" w:rsidR="00E6325C" w:rsidRPr="0071725C" w:rsidRDefault="00E6325C" w:rsidP="0071725C">
      <w:pPr>
        <w:pStyle w:val="ListParagraph"/>
        <w:numPr>
          <w:ilvl w:val="0"/>
          <w:numId w:val="3"/>
        </w:numPr>
        <w:rPr>
          <w:lang w:val="en-US"/>
        </w:rPr>
      </w:pPr>
      <w:bookmarkStart w:id="6" w:name="_Toc208258483"/>
      <w:r w:rsidRPr="0071725C">
        <w:rPr>
          <w:lang w:val="en-US"/>
        </w:rPr>
        <w:t xml:space="preserve">Stable Provider sends </w:t>
      </w:r>
      <w:r w:rsidR="00903310" w:rsidRPr="0071725C">
        <w:rPr>
          <w:lang w:val="en-US"/>
        </w:rPr>
        <w:t>Bitcoin</w:t>
      </w:r>
      <w:r w:rsidRPr="0071725C">
        <w:rPr>
          <w:lang w:val="en-US"/>
        </w:rPr>
        <w:t xml:space="preserve"> </w:t>
      </w:r>
      <w:r w:rsidR="00B81CE9" w:rsidRPr="0071725C">
        <w:rPr>
          <w:lang w:val="en-US"/>
        </w:rPr>
        <w:t>to the Liquidity Service Provider account for yield disbursement</w:t>
      </w:r>
      <w:r w:rsidR="00C2585A">
        <w:rPr>
          <w:lang w:val="en-US"/>
        </w:rPr>
        <w:t xml:space="preserve"> to Stable Receiver and Liquidity Service Provider</w:t>
      </w:r>
    </w:p>
    <w:p w14:paraId="54C486DF" w14:textId="0033ED61" w:rsidR="00364F74" w:rsidRDefault="00364F74" w:rsidP="0093577C">
      <w:pPr>
        <w:pStyle w:val="Heading2"/>
        <w:rPr>
          <w:lang w:val="en-US"/>
        </w:rPr>
      </w:pPr>
      <w:bookmarkStart w:id="7" w:name="_Toc208316293"/>
      <w:r>
        <w:rPr>
          <w:lang w:val="en-US"/>
        </w:rPr>
        <w:t xml:space="preserve">Variable Interest Rate - </w:t>
      </w:r>
      <w:r w:rsidR="002031CA">
        <w:rPr>
          <w:lang w:val="en-US"/>
        </w:rPr>
        <w:t>Percentage</w:t>
      </w:r>
      <w:r>
        <w:rPr>
          <w:lang w:val="en-US"/>
        </w:rPr>
        <w:t xml:space="preserve"> of Bitcoin CAGR</w:t>
      </w:r>
      <w:bookmarkEnd w:id="6"/>
      <w:bookmarkEnd w:id="7"/>
    </w:p>
    <w:p w14:paraId="4CE217CA" w14:textId="08E3E094" w:rsidR="007F3F19" w:rsidRPr="007F37A2" w:rsidRDefault="007F3F19" w:rsidP="00337101">
      <w:pPr>
        <w:pStyle w:val="ListParagraph"/>
        <w:numPr>
          <w:ilvl w:val="0"/>
          <w:numId w:val="2"/>
        </w:numPr>
        <w:rPr>
          <w:lang w:val="en-US"/>
        </w:rPr>
      </w:pPr>
      <w:r w:rsidRPr="007F37A2">
        <w:rPr>
          <w:lang w:val="en-US"/>
        </w:rPr>
        <w:t xml:space="preserve">Stable Provider Bitcoin </w:t>
      </w:r>
      <w:r w:rsidR="007D5C9F">
        <w:rPr>
          <w:lang w:val="en-US"/>
        </w:rPr>
        <w:t xml:space="preserve">balance </w:t>
      </w:r>
      <w:r w:rsidRPr="007F37A2">
        <w:rPr>
          <w:lang w:val="en-US"/>
        </w:rPr>
        <w:t xml:space="preserve">is recorded when </w:t>
      </w:r>
      <w:r w:rsidR="007F37A2" w:rsidRPr="007F37A2">
        <w:rPr>
          <w:lang w:val="en-US"/>
        </w:rPr>
        <w:t>liquidity is added</w:t>
      </w:r>
    </w:p>
    <w:p w14:paraId="6085BDC6" w14:textId="2C025A8D" w:rsidR="009A57BA" w:rsidRDefault="009A57BA" w:rsidP="00337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852841">
        <w:rPr>
          <w:lang w:val="en-US"/>
        </w:rPr>
        <w:t xml:space="preserve">the </w:t>
      </w:r>
      <w:r>
        <w:rPr>
          <w:lang w:val="en-US"/>
        </w:rPr>
        <w:t xml:space="preserve">Bitcoin price </w:t>
      </w:r>
      <w:r w:rsidR="002D4B61">
        <w:rPr>
          <w:lang w:val="en-US"/>
        </w:rPr>
        <w:t>increases:</w:t>
      </w:r>
    </w:p>
    <w:p w14:paraId="0739339B" w14:textId="7E084674" w:rsidR="00981E3D" w:rsidRDefault="0096324F" w:rsidP="002D4B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292118">
        <w:rPr>
          <w:lang w:val="en-US"/>
        </w:rPr>
        <w:t xml:space="preserve">the </w:t>
      </w:r>
      <w:r w:rsidR="007F37A2">
        <w:rPr>
          <w:lang w:val="en-US"/>
        </w:rPr>
        <w:t xml:space="preserve">Stable </w:t>
      </w:r>
      <w:r w:rsidR="007D5C9F">
        <w:rPr>
          <w:lang w:val="en-US"/>
        </w:rPr>
        <w:t xml:space="preserve">Provider Bitcoin balance </w:t>
      </w:r>
      <w:r w:rsidR="00A90329">
        <w:rPr>
          <w:lang w:val="en-US"/>
        </w:rPr>
        <w:t>is less than</w:t>
      </w:r>
      <w:r w:rsidR="00265CE3">
        <w:rPr>
          <w:lang w:val="en-US"/>
        </w:rPr>
        <w:t xml:space="preserve"> </w:t>
      </w:r>
      <w:r w:rsidR="0089497A">
        <w:rPr>
          <w:lang w:val="en-US"/>
        </w:rPr>
        <w:t>the recorded balance</w:t>
      </w:r>
      <w:r w:rsidR="009B190A">
        <w:rPr>
          <w:lang w:val="en-US"/>
        </w:rPr>
        <w:t>,</w:t>
      </w:r>
      <w:r w:rsidR="00A90329">
        <w:rPr>
          <w:lang w:val="en-US"/>
        </w:rPr>
        <w:t xml:space="preserve"> then </w:t>
      </w:r>
      <w:r w:rsidR="00981E3D">
        <w:rPr>
          <w:lang w:val="en-US"/>
        </w:rPr>
        <w:t>Stable</w:t>
      </w:r>
      <w:r w:rsidR="00A90329">
        <w:rPr>
          <w:lang w:val="en-US"/>
        </w:rPr>
        <w:t xml:space="preserve"> </w:t>
      </w:r>
      <w:r w:rsidR="007F37A2">
        <w:rPr>
          <w:lang w:val="en-US"/>
        </w:rPr>
        <w:t>Receiver</w:t>
      </w:r>
      <w:r>
        <w:rPr>
          <w:lang w:val="en-US"/>
        </w:rPr>
        <w:t xml:space="preserve"> sends Bitcoin to </w:t>
      </w:r>
      <w:r w:rsidR="00981E3D">
        <w:rPr>
          <w:lang w:val="en-US"/>
        </w:rPr>
        <w:t>Stable Provider</w:t>
      </w:r>
    </w:p>
    <w:p w14:paraId="02AF4916" w14:textId="5759FF94" w:rsidR="008A69B4" w:rsidRPr="009E2EA0" w:rsidRDefault="008A69B4" w:rsidP="008A69B4">
      <w:pPr>
        <w:pStyle w:val="ListParagraph"/>
        <w:numPr>
          <w:ilvl w:val="2"/>
          <w:numId w:val="2"/>
        </w:numPr>
        <w:rPr>
          <w:b/>
          <w:bCs/>
          <w:color w:val="EE0000"/>
          <w:lang w:val="en-US"/>
        </w:rPr>
      </w:pPr>
      <w:r w:rsidRPr="009E2EA0">
        <w:rPr>
          <w:b/>
          <w:bCs/>
          <w:color w:val="EE0000"/>
          <w:lang w:val="en-US"/>
        </w:rPr>
        <w:t>Yield</w:t>
      </w:r>
      <w:r w:rsidR="00486A02" w:rsidRPr="009E2EA0">
        <w:rPr>
          <w:b/>
          <w:bCs/>
          <w:color w:val="EE0000"/>
          <w:lang w:val="en-US"/>
        </w:rPr>
        <w:t xml:space="preserve"> </w:t>
      </w:r>
      <w:r w:rsidR="00DB54B5" w:rsidRPr="009E2EA0">
        <w:rPr>
          <w:b/>
          <w:bCs/>
          <w:color w:val="EE0000"/>
          <w:lang w:val="en-US"/>
        </w:rPr>
        <w:t xml:space="preserve">NOT </w:t>
      </w:r>
      <w:r w:rsidR="00486A02" w:rsidRPr="009E2EA0">
        <w:rPr>
          <w:b/>
          <w:bCs/>
          <w:color w:val="EE0000"/>
          <w:lang w:val="en-US"/>
        </w:rPr>
        <w:t>Collected</w:t>
      </w:r>
    </w:p>
    <w:p w14:paraId="26D0DF49" w14:textId="0A269EC6" w:rsidR="00981E3D" w:rsidRDefault="00981E3D" w:rsidP="00981E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292118">
        <w:rPr>
          <w:lang w:val="en-US"/>
        </w:rPr>
        <w:t xml:space="preserve">the </w:t>
      </w:r>
      <w:r>
        <w:rPr>
          <w:lang w:val="en-US"/>
        </w:rPr>
        <w:t xml:space="preserve">Stable Provider Bitcoin balance is </w:t>
      </w:r>
      <w:r w:rsidR="009B190A">
        <w:rPr>
          <w:lang w:val="en-US"/>
        </w:rPr>
        <w:t>greater than or equal to</w:t>
      </w:r>
      <w:r>
        <w:rPr>
          <w:lang w:val="en-US"/>
        </w:rPr>
        <w:t xml:space="preserve"> </w:t>
      </w:r>
      <w:r w:rsidR="0089497A">
        <w:rPr>
          <w:lang w:val="en-US"/>
        </w:rPr>
        <w:t>the recorded balance</w:t>
      </w:r>
      <w:r w:rsidR="009B190A">
        <w:rPr>
          <w:lang w:val="en-US"/>
        </w:rPr>
        <w:t>,</w:t>
      </w:r>
      <w:r>
        <w:rPr>
          <w:lang w:val="en-US"/>
        </w:rPr>
        <w:t xml:space="preserve"> then Stable Receiver sends Bitcoin to </w:t>
      </w:r>
      <w:r w:rsidR="00292118">
        <w:rPr>
          <w:lang w:val="en-US"/>
        </w:rPr>
        <w:t xml:space="preserve">the </w:t>
      </w:r>
      <w:r w:rsidR="00FA7292">
        <w:rPr>
          <w:lang w:val="en-US"/>
        </w:rPr>
        <w:t>Liquidity Service Provider</w:t>
      </w:r>
      <w:r w:rsidR="004E3950">
        <w:rPr>
          <w:lang w:val="en-US"/>
        </w:rPr>
        <w:t xml:space="preserve"> account for yield disbursement</w:t>
      </w:r>
      <w:r w:rsidR="003A6498">
        <w:rPr>
          <w:lang w:val="en-US"/>
        </w:rPr>
        <w:t xml:space="preserve"> to Stable Receiver and Liquidity Service Provider</w:t>
      </w:r>
    </w:p>
    <w:p w14:paraId="6906B0A3" w14:textId="2ECF74C4" w:rsidR="008A69B4" w:rsidRPr="009E2EA0" w:rsidRDefault="008A69B4" w:rsidP="008A69B4">
      <w:pPr>
        <w:pStyle w:val="ListParagraph"/>
        <w:numPr>
          <w:ilvl w:val="2"/>
          <w:numId w:val="2"/>
        </w:numPr>
        <w:rPr>
          <w:b/>
          <w:bCs/>
          <w:color w:val="124F1A" w:themeColor="accent3" w:themeShade="BF"/>
          <w:lang w:val="en-US"/>
        </w:rPr>
      </w:pPr>
      <w:r w:rsidRPr="009E2EA0">
        <w:rPr>
          <w:b/>
          <w:bCs/>
          <w:color w:val="124F1A" w:themeColor="accent3" w:themeShade="BF"/>
          <w:lang w:val="en-US"/>
        </w:rPr>
        <w:t>Yield</w:t>
      </w:r>
      <w:r w:rsidR="00486A02" w:rsidRPr="009E2EA0">
        <w:rPr>
          <w:b/>
          <w:bCs/>
          <w:color w:val="124F1A" w:themeColor="accent3" w:themeShade="BF"/>
          <w:lang w:val="en-US"/>
        </w:rPr>
        <w:t xml:space="preserve"> Collected</w:t>
      </w:r>
    </w:p>
    <w:p w14:paraId="4C77C048" w14:textId="7DE90271" w:rsidR="009B00B2" w:rsidRDefault="00306279" w:rsidP="00337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852841">
        <w:rPr>
          <w:lang w:val="en-US"/>
        </w:rPr>
        <w:t xml:space="preserve">the </w:t>
      </w:r>
      <w:r>
        <w:rPr>
          <w:lang w:val="en-US"/>
        </w:rPr>
        <w:t>Bitcoin price decrease</w:t>
      </w:r>
      <w:r w:rsidR="009B00B2">
        <w:rPr>
          <w:lang w:val="en-US"/>
        </w:rPr>
        <w:t>s:</w:t>
      </w:r>
    </w:p>
    <w:p w14:paraId="4A536AE6" w14:textId="5A544F98" w:rsidR="00D318C3" w:rsidRDefault="00982CED" w:rsidP="006E6FB9">
      <w:pPr>
        <w:pStyle w:val="ListParagraph"/>
        <w:numPr>
          <w:ilvl w:val="1"/>
          <w:numId w:val="2"/>
        </w:numPr>
        <w:rPr>
          <w:lang w:val="en-US"/>
        </w:rPr>
      </w:pPr>
      <w:bookmarkStart w:id="8" w:name="_Toc208258484"/>
      <w:r>
        <w:rPr>
          <w:lang w:val="en-US"/>
        </w:rPr>
        <w:t>If the</w:t>
      </w:r>
      <w:r w:rsidR="006E6FB9">
        <w:rPr>
          <w:lang w:val="en-US"/>
        </w:rPr>
        <w:t xml:space="preserve"> </w:t>
      </w:r>
      <w:r w:rsidR="00105B1D">
        <w:rPr>
          <w:lang w:val="en-US"/>
        </w:rPr>
        <w:t>Liquidity Service Provide</w:t>
      </w:r>
      <w:r w:rsidR="00D318C3">
        <w:rPr>
          <w:lang w:val="en-US"/>
        </w:rPr>
        <w:t>r account balance is greater than zero, then the Liquidity Service Provider sends Bitcoin to the Stable Receiver</w:t>
      </w:r>
    </w:p>
    <w:p w14:paraId="3394FE57" w14:textId="0DB38C52" w:rsidR="00B40E72" w:rsidRPr="009E2EA0" w:rsidRDefault="00B40E72" w:rsidP="00B40E72">
      <w:pPr>
        <w:pStyle w:val="ListParagraph"/>
        <w:numPr>
          <w:ilvl w:val="2"/>
          <w:numId w:val="2"/>
        </w:numPr>
        <w:rPr>
          <w:b/>
          <w:bCs/>
          <w:color w:val="EE0000"/>
          <w:lang w:val="en-US"/>
        </w:rPr>
      </w:pPr>
      <w:r w:rsidRPr="009E2EA0">
        <w:rPr>
          <w:b/>
          <w:bCs/>
          <w:color w:val="EE0000"/>
          <w:lang w:val="en-US"/>
        </w:rPr>
        <w:t>Yield Reduced</w:t>
      </w:r>
    </w:p>
    <w:p w14:paraId="46A5DC24" w14:textId="551C80BD" w:rsidR="00B40E72" w:rsidRDefault="00B40E72" w:rsidP="00B40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Liquidity Service Provider account balance is </w:t>
      </w:r>
      <w:r w:rsidR="003F5741">
        <w:rPr>
          <w:lang w:val="en-US"/>
        </w:rPr>
        <w:t>equal to</w:t>
      </w:r>
      <w:r>
        <w:rPr>
          <w:lang w:val="en-US"/>
        </w:rPr>
        <w:t xml:space="preserve"> zero, then the Stable Provider sends Bitcoin to the Stable Receiver</w:t>
      </w:r>
    </w:p>
    <w:p w14:paraId="6940F790" w14:textId="29E6A9D9" w:rsidR="00DC285B" w:rsidRPr="009E2EA0" w:rsidRDefault="00B40E72" w:rsidP="00142320">
      <w:pPr>
        <w:pStyle w:val="ListParagraph"/>
        <w:numPr>
          <w:ilvl w:val="2"/>
          <w:numId w:val="2"/>
        </w:numPr>
        <w:rPr>
          <w:b/>
          <w:bCs/>
          <w:color w:val="EE0000"/>
          <w:lang w:val="en-US"/>
        </w:rPr>
      </w:pPr>
      <w:r w:rsidRPr="009E2EA0">
        <w:rPr>
          <w:b/>
          <w:bCs/>
          <w:color w:val="EE0000"/>
          <w:lang w:val="en-US"/>
        </w:rPr>
        <w:t xml:space="preserve">Yield </w:t>
      </w:r>
      <w:r w:rsidR="002A3479" w:rsidRPr="009E2EA0">
        <w:rPr>
          <w:b/>
          <w:bCs/>
          <w:color w:val="EE0000"/>
          <w:lang w:val="en-US"/>
        </w:rPr>
        <w:t>Exhausted or Never</w:t>
      </w:r>
      <w:r w:rsidR="00EE1BE0" w:rsidRPr="009E2EA0">
        <w:rPr>
          <w:b/>
          <w:bCs/>
          <w:color w:val="EE0000"/>
          <w:lang w:val="en-US"/>
        </w:rPr>
        <w:t xml:space="preserve"> </w:t>
      </w:r>
      <w:r w:rsidR="00FE3019" w:rsidRPr="009E2EA0">
        <w:rPr>
          <w:b/>
          <w:bCs/>
          <w:color w:val="EE0000"/>
          <w:lang w:val="en-US"/>
        </w:rPr>
        <w:t>E</w:t>
      </w:r>
      <w:r w:rsidR="00EE1BE0" w:rsidRPr="009E2EA0">
        <w:rPr>
          <w:b/>
          <w:bCs/>
          <w:color w:val="EE0000"/>
          <w:lang w:val="en-US"/>
        </w:rPr>
        <w:t>xisted</w:t>
      </w:r>
      <w:bookmarkEnd w:id="8"/>
    </w:p>
    <w:sectPr w:rsidR="00DC285B" w:rsidRPr="009E2EA0" w:rsidSect="00D74A6C">
      <w:footerReference w:type="default" r:id="rId8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22BCC" w14:textId="77777777" w:rsidR="00DF3F33" w:rsidRDefault="00DF3F33" w:rsidP="00DF3F33">
      <w:pPr>
        <w:spacing w:before="0" w:after="0" w:line="240" w:lineRule="auto"/>
      </w:pPr>
      <w:r>
        <w:separator/>
      </w:r>
    </w:p>
  </w:endnote>
  <w:endnote w:type="continuationSeparator" w:id="0">
    <w:p w14:paraId="34E30976" w14:textId="77777777" w:rsidR="00DF3F33" w:rsidRDefault="00DF3F33" w:rsidP="00DF3F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8525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35FF82" w14:textId="425AC77F" w:rsidR="00DF3F33" w:rsidRDefault="00DF3F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C09BF1" w14:textId="77777777" w:rsidR="00DF3F33" w:rsidRDefault="00DF3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5893E" w14:textId="77777777" w:rsidR="00DF3F33" w:rsidRDefault="00DF3F33" w:rsidP="00DF3F33">
      <w:pPr>
        <w:spacing w:before="0" w:after="0" w:line="240" w:lineRule="auto"/>
      </w:pPr>
      <w:r>
        <w:separator/>
      </w:r>
    </w:p>
  </w:footnote>
  <w:footnote w:type="continuationSeparator" w:id="0">
    <w:p w14:paraId="50D25938" w14:textId="77777777" w:rsidR="00DF3F33" w:rsidRDefault="00DF3F33" w:rsidP="00DF3F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377"/>
    <w:multiLevelType w:val="hybridMultilevel"/>
    <w:tmpl w:val="0D1E9D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7783"/>
    <w:multiLevelType w:val="hybridMultilevel"/>
    <w:tmpl w:val="4B463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2F7E"/>
    <w:multiLevelType w:val="hybridMultilevel"/>
    <w:tmpl w:val="FA38C8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86920">
    <w:abstractNumId w:val="1"/>
  </w:num>
  <w:num w:numId="2" w16cid:durableId="1375806505">
    <w:abstractNumId w:val="2"/>
  </w:num>
  <w:num w:numId="3" w16cid:durableId="19146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4"/>
    <w:rsid w:val="00010D61"/>
    <w:rsid w:val="0002091E"/>
    <w:rsid w:val="00053916"/>
    <w:rsid w:val="0005730F"/>
    <w:rsid w:val="00066D70"/>
    <w:rsid w:val="000741BF"/>
    <w:rsid w:val="00085EC1"/>
    <w:rsid w:val="000960AD"/>
    <w:rsid w:val="000A3EC4"/>
    <w:rsid w:val="000A58A8"/>
    <w:rsid w:val="000A7EF1"/>
    <w:rsid w:val="000B305C"/>
    <w:rsid w:val="000B320C"/>
    <w:rsid w:val="000C5A86"/>
    <w:rsid w:val="000C751F"/>
    <w:rsid w:val="000D5157"/>
    <w:rsid w:val="000E211D"/>
    <w:rsid w:val="000E66F3"/>
    <w:rsid w:val="000F1FE3"/>
    <w:rsid w:val="00105B1D"/>
    <w:rsid w:val="0011022B"/>
    <w:rsid w:val="0013520D"/>
    <w:rsid w:val="00135D7F"/>
    <w:rsid w:val="00142320"/>
    <w:rsid w:val="0014630F"/>
    <w:rsid w:val="0015324B"/>
    <w:rsid w:val="0016190B"/>
    <w:rsid w:val="00197C7B"/>
    <w:rsid w:val="001A74C9"/>
    <w:rsid w:val="001B35A0"/>
    <w:rsid w:val="001C06F6"/>
    <w:rsid w:val="001C4C5D"/>
    <w:rsid w:val="001E2721"/>
    <w:rsid w:val="001F2989"/>
    <w:rsid w:val="001F3B78"/>
    <w:rsid w:val="001F648C"/>
    <w:rsid w:val="002031CA"/>
    <w:rsid w:val="00245C18"/>
    <w:rsid w:val="00265CE3"/>
    <w:rsid w:val="00276D63"/>
    <w:rsid w:val="00292118"/>
    <w:rsid w:val="002A3479"/>
    <w:rsid w:val="002B7FD2"/>
    <w:rsid w:val="002C4C60"/>
    <w:rsid w:val="002C4FE3"/>
    <w:rsid w:val="002D0073"/>
    <w:rsid w:val="002D4B61"/>
    <w:rsid w:val="002E3575"/>
    <w:rsid w:val="00305891"/>
    <w:rsid w:val="00306279"/>
    <w:rsid w:val="00312DC1"/>
    <w:rsid w:val="00314572"/>
    <w:rsid w:val="0031603F"/>
    <w:rsid w:val="00335BCD"/>
    <w:rsid w:val="00337101"/>
    <w:rsid w:val="00337CB3"/>
    <w:rsid w:val="00344F1B"/>
    <w:rsid w:val="00364F74"/>
    <w:rsid w:val="00397F2D"/>
    <w:rsid w:val="003A1580"/>
    <w:rsid w:val="003A6498"/>
    <w:rsid w:val="003B443E"/>
    <w:rsid w:val="003B70D4"/>
    <w:rsid w:val="003D22D2"/>
    <w:rsid w:val="003E058C"/>
    <w:rsid w:val="003E2B5B"/>
    <w:rsid w:val="003E46B2"/>
    <w:rsid w:val="003E5DB2"/>
    <w:rsid w:val="003F0237"/>
    <w:rsid w:val="003F5741"/>
    <w:rsid w:val="00400EBB"/>
    <w:rsid w:val="00405112"/>
    <w:rsid w:val="00425EF2"/>
    <w:rsid w:val="00434C5D"/>
    <w:rsid w:val="004565AB"/>
    <w:rsid w:val="00457761"/>
    <w:rsid w:val="00461E81"/>
    <w:rsid w:val="004671E1"/>
    <w:rsid w:val="00474722"/>
    <w:rsid w:val="00484D01"/>
    <w:rsid w:val="00486A02"/>
    <w:rsid w:val="004A07A6"/>
    <w:rsid w:val="004A5CD8"/>
    <w:rsid w:val="004B7948"/>
    <w:rsid w:val="004E3950"/>
    <w:rsid w:val="0052255B"/>
    <w:rsid w:val="00534D83"/>
    <w:rsid w:val="00566C65"/>
    <w:rsid w:val="005831F1"/>
    <w:rsid w:val="00584F39"/>
    <w:rsid w:val="00585212"/>
    <w:rsid w:val="005956A3"/>
    <w:rsid w:val="00595FB8"/>
    <w:rsid w:val="005A3E32"/>
    <w:rsid w:val="005C5D80"/>
    <w:rsid w:val="005E104C"/>
    <w:rsid w:val="00607AD4"/>
    <w:rsid w:val="00612D27"/>
    <w:rsid w:val="00625DD9"/>
    <w:rsid w:val="00643C7F"/>
    <w:rsid w:val="0068051D"/>
    <w:rsid w:val="006864EE"/>
    <w:rsid w:val="00692692"/>
    <w:rsid w:val="006E6FB9"/>
    <w:rsid w:val="00703B2D"/>
    <w:rsid w:val="0071050C"/>
    <w:rsid w:val="0071725C"/>
    <w:rsid w:val="00734F6C"/>
    <w:rsid w:val="00744CCC"/>
    <w:rsid w:val="0077205E"/>
    <w:rsid w:val="00796EFD"/>
    <w:rsid w:val="007D4A91"/>
    <w:rsid w:val="007D5C9F"/>
    <w:rsid w:val="007D6BDE"/>
    <w:rsid w:val="007D7194"/>
    <w:rsid w:val="007E344D"/>
    <w:rsid w:val="007E3D9B"/>
    <w:rsid w:val="007F2CB1"/>
    <w:rsid w:val="007F37A2"/>
    <w:rsid w:val="007F3F19"/>
    <w:rsid w:val="008011D0"/>
    <w:rsid w:val="00802BF6"/>
    <w:rsid w:val="008053E3"/>
    <w:rsid w:val="00814BAB"/>
    <w:rsid w:val="008215B9"/>
    <w:rsid w:val="00841DB6"/>
    <w:rsid w:val="0085029D"/>
    <w:rsid w:val="00852841"/>
    <w:rsid w:val="00863123"/>
    <w:rsid w:val="00863435"/>
    <w:rsid w:val="0089497A"/>
    <w:rsid w:val="00896C46"/>
    <w:rsid w:val="008A69B4"/>
    <w:rsid w:val="008B2705"/>
    <w:rsid w:val="008C2C0D"/>
    <w:rsid w:val="008D4301"/>
    <w:rsid w:val="008D76F0"/>
    <w:rsid w:val="008E1705"/>
    <w:rsid w:val="008F6F07"/>
    <w:rsid w:val="008F7F00"/>
    <w:rsid w:val="00901AE3"/>
    <w:rsid w:val="00903310"/>
    <w:rsid w:val="00933B23"/>
    <w:rsid w:val="0093577C"/>
    <w:rsid w:val="0096324F"/>
    <w:rsid w:val="00965806"/>
    <w:rsid w:val="009815BE"/>
    <w:rsid w:val="00981E3D"/>
    <w:rsid w:val="00982CED"/>
    <w:rsid w:val="00997197"/>
    <w:rsid w:val="009A57BA"/>
    <w:rsid w:val="009B00B2"/>
    <w:rsid w:val="009B190A"/>
    <w:rsid w:val="009B7687"/>
    <w:rsid w:val="009D06C7"/>
    <w:rsid w:val="009D5FC3"/>
    <w:rsid w:val="009E2EA0"/>
    <w:rsid w:val="009E6C3A"/>
    <w:rsid w:val="009F1F1F"/>
    <w:rsid w:val="009F563B"/>
    <w:rsid w:val="009F67E5"/>
    <w:rsid w:val="00A00E3C"/>
    <w:rsid w:val="00A17C79"/>
    <w:rsid w:val="00A224DF"/>
    <w:rsid w:val="00A2772B"/>
    <w:rsid w:val="00A34554"/>
    <w:rsid w:val="00A44C32"/>
    <w:rsid w:val="00A5315B"/>
    <w:rsid w:val="00A90329"/>
    <w:rsid w:val="00AA16BE"/>
    <w:rsid w:val="00AA1F3C"/>
    <w:rsid w:val="00AB564D"/>
    <w:rsid w:val="00AC4D64"/>
    <w:rsid w:val="00B050AB"/>
    <w:rsid w:val="00B077FD"/>
    <w:rsid w:val="00B24676"/>
    <w:rsid w:val="00B37DB8"/>
    <w:rsid w:val="00B40E72"/>
    <w:rsid w:val="00B454A3"/>
    <w:rsid w:val="00B50F54"/>
    <w:rsid w:val="00B60DA6"/>
    <w:rsid w:val="00B81CE9"/>
    <w:rsid w:val="00BC1885"/>
    <w:rsid w:val="00BC44FE"/>
    <w:rsid w:val="00BE5939"/>
    <w:rsid w:val="00BF221E"/>
    <w:rsid w:val="00C0039C"/>
    <w:rsid w:val="00C13AE0"/>
    <w:rsid w:val="00C17A55"/>
    <w:rsid w:val="00C20B1D"/>
    <w:rsid w:val="00C2585A"/>
    <w:rsid w:val="00C27F8E"/>
    <w:rsid w:val="00C34125"/>
    <w:rsid w:val="00C52970"/>
    <w:rsid w:val="00C632D2"/>
    <w:rsid w:val="00CA0F30"/>
    <w:rsid w:val="00CA4DFE"/>
    <w:rsid w:val="00CB4589"/>
    <w:rsid w:val="00CB4F9C"/>
    <w:rsid w:val="00CD652D"/>
    <w:rsid w:val="00CE066A"/>
    <w:rsid w:val="00D318C3"/>
    <w:rsid w:val="00D32C50"/>
    <w:rsid w:val="00D41617"/>
    <w:rsid w:val="00D45FEF"/>
    <w:rsid w:val="00D57A50"/>
    <w:rsid w:val="00D615CC"/>
    <w:rsid w:val="00D66EEE"/>
    <w:rsid w:val="00D74A6C"/>
    <w:rsid w:val="00D86F44"/>
    <w:rsid w:val="00D90E79"/>
    <w:rsid w:val="00DB54B5"/>
    <w:rsid w:val="00DB7DFB"/>
    <w:rsid w:val="00DC285B"/>
    <w:rsid w:val="00DD68B1"/>
    <w:rsid w:val="00DF3751"/>
    <w:rsid w:val="00DF3F33"/>
    <w:rsid w:val="00E1503B"/>
    <w:rsid w:val="00E2196E"/>
    <w:rsid w:val="00E26193"/>
    <w:rsid w:val="00E371B4"/>
    <w:rsid w:val="00E4391C"/>
    <w:rsid w:val="00E52770"/>
    <w:rsid w:val="00E62740"/>
    <w:rsid w:val="00E6325C"/>
    <w:rsid w:val="00EB25E2"/>
    <w:rsid w:val="00EB41C2"/>
    <w:rsid w:val="00EE1BE0"/>
    <w:rsid w:val="00EE3983"/>
    <w:rsid w:val="00EE6E97"/>
    <w:rsid w:val="00F03BE5"/>
    <w:rsid w:val="00F226F7"/>
    <w:rsid w:val="00F349B4"/>
    <w:rsid w:val="00F46289"/>
    <w:rsid w:val="00F47054"/>
    <w:rsid w:val="00F536E0"/>
    <w:rsid w:val="00F80255"/>
    <w:rsid w:val="00F878F6"/>
    <w:rsid w:val="00F911EB"/>
    <w:rsid w:val="00FA7292"/>
    <w:rsid w:val="00FB53A9"/>
    <w:rsid w:val="00FB56B4"/>
    <w:rsid w:val="00FD207E"/>
    <w:rsid w:val="00F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FE2"/>
  <w15:chartTrackingRefBased/>
  <w15:docId w15:val="{CAFCC9C5-3908-4764-A5A4-7133A012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74"/>
  </w:style>
  <w:style w:type="paragraph" w:styleId="Heading1">
    <w:name w:val="heading 1"/>
    <w:basedOn w:val="Normal"/>
    <w:next w:val="Normal"/>
    <w:link w:val="Heading1Char"/>
    <w:uiPriority w:val="9"/>
    <w:qFormat/>
    <w:rsid w:val="00364F7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F7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7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7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7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7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7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64F7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64F7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7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4F7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F7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4F7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64F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4F7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64F74"/>
    <w:pPr>
      <w:ind w:left="720"/>
      <w:contextualSpacing/>
    </w:pPr>
  </w:style>
  <w:style w:type="character" w:styleId="IntenseEmphasis">
    <w:name w:val="Intense Emphasis"/>
    <w:uiPriority w:val="21"/>
    <w:qFormat/>
    <w:rsid w:val="00364F7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7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7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64F74"/>
    <w:rPr>
      <w:b/>
      <w:bCs/>
      <w:i/>
      <w:iCs/>
      <w:caps/>
      <w:color w:val="156082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64F7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64F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4F7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64F7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4F74"/>
    <w:pPr>
      <w:spacing w:after="1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64F7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64F74"/>
    <w:rPr>
      <w:b/>
      <w:bCs/>
    </w:rPr>
  </w:style>
  <w:style w:type="character" w:styleId="Emphasis">
    <w:name w:val="Emphasis"/>
    <w:uiPriority w:val="20"/>
    <w:qFormat/>
    <w:rsid w:val="00364F7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64F74"/>
    <w:pPr>
      <w:spacing w:after="0" w:line="240" w:lineRule="auto"/>
    </w:pPr>
  </w:style>
  <w:style w:type="character" w:styleId="SubtleEmphasis">
    <w:name w:val="Subtle Emphasis"/>
    <w:uiPriority w:val="19"/>
    <w:qFormat/>
    <w:rsid w:val="00364F7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64F7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64F74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5E10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37D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3F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F33"/>
  </w:style>
  <w:style w:type="paragraph" w:styleId="Footer">
    <w:name w:val="footer"/>
    <w:basedOn w:val="Normal"/>
    <w:link w:val="FooterChar"/>
    <w:uiPriority w:val="99"/>
    <w:unhideWhenUsed/>
    <w:rsid w:val="00DF3F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4625-EE17-4FF6-89C4-B9A4E285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Hutchinson</dc:creator>
  <cp:keywords/>
  <dc:description/>
  <cp:lastModifiedBy>Kyle Hutchinson</cp:lastModifiedBy>
  <cp:revision>243</cp:revision>
  <dcterms:created xsi:type="dcterms:W3CDTF">2025-09-09T01:59:00Z</dcterms:created>
  <dcterms:modified xsi:type="dcterms:W3CDTF">2025-09-09T18:32:00Z</dcterms:modified>
</cp:coreProperties>
</file>