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b95d548208416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International Journal of Business, Humanities and Technology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Expert Systems with Applications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Conference Paper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Business Intelligence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Principles of corporate finance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A Tour of Machine Learning Algorithms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Computers &amp; Operations Research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The Journal of Finance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An introduction to statistical learning: with applications in 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Unive Illinois Chicago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Stock market efficiency: theory, evidence and implications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Neurocomputing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Expert Systems with Applications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Neural Computing and Applications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Expert Systems with Applications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Introduction to ARIMA models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~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Financial Analysts Journal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Data science for business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'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The Bitcoin Bubble and a Bad Hypothesis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Python machine learning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Journal of Forecasting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IEEE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Omega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IEEE Transactions on Fuzzy Systems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Time series analysis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Expert Systems with Applications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Euro-Asian Journal of Economics and Finance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Modern Applied Science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0df86af05f4a43" /><Relationship Type="http://schemas.openxmlformats.org/officeDocument/2006/relationships/numbering" Target="/word/numbering.xml" Id="R02e4a25b9a684197" /><Relationship Type="http://schemas.openxmlformats.org/officeDocument/2006/relationships/settings" Target="/word/settings.xml" Id="R624b0b8873604c0c" /></Relationships>
</file>