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iam-access"/>
    <w:p>
      <w:pPr>
        <w:pStyle w:val="Heading1"/>
      </w:pPr>
      <w:r>
        <w:t xml:space="preserve">3. IAM &amp; Access</w:t>
      </w:r>
    </w:p>
    <w:bookmarkStart w:id="9" w:name="iam-policy-who-role-resource"/>
    <w:p>
      <w:pPr>
        <w:pStyle w:val="Heading2"/>
      </w:pPr>
      <w:r>
        <w:t xml:space="preserve">IAM Policy = Who + Role + Resource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Who (Principal):</w:t>
      </w:r>
      <w:r>
        <w:t xml:space="preserve"> </w:t>
      </w:r>
      <w:r>
        <w:t xml:space="preserve">Google Account Â· Google Group Â· Service Account Â· Cloud Identity domain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Role:</w:t>
      </w:r>
      <w:r>
        <w:t xml:space="preserve"> </w:t>
      </w:r>
      <w:r>
        <w:t xml:space="preserve">a collection of permissions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Resource:</w:t>
      </w:r>
      <w:r>
        <w:t xml:space="preserve"> </w:t>
      </w:r>
      <w:r>
        <w:t xml:space="preserve">what the role applies to</w:t>
      </w:r>
    </w:p>
    <w:bookmarkEnd w:id="9"/>
    <w:bookmarkStart w:id="10" w:name="role-types-â-broadest-to-finest"/>
    <w:p>
      <w:pPr>
        <w:pStyle w:val="Heading2"/>
      </w:pPr>
      <w:r>
        <w:t xml:space="preserve">Role Types â€” Broadest to Finest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52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 (Primitive)</w:t>
            </w:r>
          </w:p>
        </w:tc>
        <w:tc>
          <w:tcPr/>
          <w:p>
            <w:pPr>
              <w:pStyle w:val="Compact"/>
            </w:pPr>
            <w:r>
              <w:t xml:space="preserve">All resources in project</w:t>
            </w:r>
          </w:p>
        </w:tc>
        <w:tc>
          <w:tcPr/>
          <w:p>
            <w:pPr>
              <w:pStyle w:val="Compact"/>
            </w:pPr>
            <w:r>
              <w:t xml:space="preserve">Owner, Editor, 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Predefined</w:t>
            </w:r>
          </w:p>
        </w:tc>
        <w:tc>
          <w:tcPr/>
          <w:p>
            <w:pPr>
              <w:pStyle w:val="Compact"/>
            </w:pPr>
            <w:r>
              <w:t xml:space="preserve">Specific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roles/storage.objectViewer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You define exactly what’s allowed</w:t>
            </w:r>
          </w:p>
        </w:tc>
        <w:tc>
          <w:tcPr/>
          <w:p>
            <w:pPr>
              <w:pStyle w:val="Compact"/>
            </w:pPr>
            <w:r>
              <w:t xml:space="preserve">Bespoke project roles</w:t>
            </w:r>
          </w:p>
        </w:tc>
      </w:tr>
    </w:tbl>
    <w:p>
      <w:pPr>
        <w:pStyle w:val="BlockText"/>
      </w:pPr>
      <w:r>
        <w:t xml:space="preserve">Hierarchy:</w:t>
      </w:r>
      <w:r>
        <w:t xml:space="preserve"> </w:t>
      </w:r>
      <w:r>
        <w:rPr>
          <w:b/>
          <w:bCs/>
        </w:rPr>
        <w:t xml:space="preserve">Basic â†’ Predefined â†’ Custom</w:t>
      </w:r>
      <w:r>
        <w:t xml:space="preserve"> </w:t>
      </w:r>
      <w:r>
        <w:t xml:space="preserve">Always prefer Predefined or Custom â€” Basic roles are too broad.</w:t>
      </w:r>
    </w:p>
    <w:bookmarkEnd w:id="10"/>
    <w:bookmarkStart w:id="11" w:name="service-accounts"/>
    <w:p>
      <w:pPr>
        <w:pStyle w:val="Heading2"/>
      </w:pPr>
      <w:r>
        <w:t xml:space="preserve">Service Accounts</w:t>
      </w:r>
    </w:p>
    <w:p>
      <w:pPr>
        <w:pStyle w:val="Compact"/>
        <w:numPr>
          <w:ilvl w:val="0"/>
          <w:numId w:val="1002"/>
        </w:numPr>
      </w:pPr>
      <w:r>
        <w:t xml:space="preserve">Identity for machines/workloads (not humans)</w:t>
      </w:r>
    </w:p>
    <w:p>
      <w:pPr>
        <w:pStyle w:val="Compact"/>
        <w:numPr>
          <w:ilvl w:val="0"/>
          <w:numId w:val="1002"/>
        </w:numPr>
      </w:pPr>
      <w:r>
        <w:t xml:space="preserve">Email format:</w:t>
      </w:r>
      <w:r>
        <w:t xml:space="preserve"> </w:t>
      </w:r>
      <w:r>
        <w:rPr>
          <w:rStyle w:val="VerbatimChar"/>
        </w:rPr>
        <w:t xml:space="preserve">name@project-id.iam.gserviceaccount.com</w:t>
      </w:r>
    </w:p>
    <w:p>
      <w:pPr>
        <w:pStyle w:val="Compact"/>
        <w:numPr>
          <w:ilvl w:val="0"/>
          <w:numId w:val="1002"/>
        </w:numPr>
      </w:pPr>
      <w:r>
        <w:t xml:space="preserve">Grant IAM roles to service accounts just like users</w:t>
      </w:r>
    </w:p>
    <w:p>
      <w:pPr>
        <w:pStyle w:val="Compact"/>
        <w:numPr>
          <w:ilvl w:val="0"/>
          <w:numId w:val="1002"/>
        </w:numPr>
      </w:pPr>
      <w:r>
        <w:t xml:space="preserve">Restrict the</w:t>
      </w:r>
      <w:r>
        <w:t xml:space="preserve"> </w:t>
      </w:r>
      <w:r>
        <w:rPr>
          <w:b/>
          <w:bCs/>
        </w:rPr>
        <w:t xml:space="preserve">default service account</w:t>
      </w:r>
      <w:r>
        <w:t xml:space="preserve"> </w:t>
      </w:r>
      <w:r>
        <w:t xml:space="preserve">â€” it has broad permissions by default</w:t>
      </w:r>
    </w:p>
    <w:bookmarkEnd w:id="11"/>
    <w:bookmarkStart w:id="12" w:name="ways-to-interact-with-gcp"/>
    <w:p>
      <w:pPr>
        <w:pStyle w:val="Heading2"/>
      </w:pPr>
      <w:r>
        <w:t xml:space="preserve">Ways to Interact with GCP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55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What it’s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Console</w:t>
            </w:r>
          </w:p>
        </w:tc>
        <w:tc>
          <w:tcPr/>
          <w:p>
            <w:pPr>
              <w:pStyle w:val="Compact"/>
            </w:pPr>
            <w:r>
              <w:t xml:space="preserve">GUI â€” SSH in browser, billing, resource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gcloud</w:t>
            </w:r>
            <w:r>
              <w:t xml:space="preserve"> </w:t>
            </w: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Main command-line tool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bq</w:t>
            </w:r>
          </w:p>
        </w:tc>
        <w:tc>
          <w:tcPr/>
          <w:p>
            <w:pPr>
              <w:pStyle w:val="Compact"/>
            </w:pPr>
            <w:r>
              <w:t xml:space="preserve">BigQuery command-line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Shell</w:t>
            </w:r>
          </w:p>
        </w:tc>
        <w:tc>
          <w:tcPr/>
          <w:p>
            <w:pPr>
              <w:pStyle w:val="Compact"/>
            </w:pPr>
            <w:r>
              <w:t xml:space="preserve">Browser-based Debian VM Â· 5 GB persistent home Â· always authenticated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 Libraries</w:t>
            </w:r>
          </w:p>
        </w:tc>
        <w:tc>
          <w:tcPr/>
          <w:p>
            <w:pPr>
              <w:pStyle w:val="Compact"/>
            </w:pPr>
            <w:r>
              <w:t xml:space="preserve">Java, Python, PHP, C#, Go, Node.js, Ruby, C++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Mobile App</w:t>
            </w:r>
          </w:p>
        </w:tc>
        <w:tc>
          <w:tcPr/>
          <w:p>
            <w:pPr>
              <w:pStyle w:val="Compact"/>
            </w:pPr>
            <w:r>
              <w:t xml:space="preserve">Start/stop VMs Â· manage Cloud SQL Â· view logs Â· billing alerts</w:t>
            </w:r>
          </w:p>
        </w:tc>
      </w:tr>
    </w:tbl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2026-03-20T17:10:35Z</dcterms:created>
  <dcterms:modified xsi:type="dcterms:W3CDTF">2026-03-20T17:10:35Z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