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pc-networking"/>
    <w:p>
      <w:pPr>
        <w:pStyle w:val="Heading1"/>
      </w:pPr>
      <w:r>
        <w:t xml:space="preserve">5. VPC Networking</w:t>
      </w:r>
    </w:p>
    <w:bookmarkStart w:id="9" w:name="scope-rules"/>
    <w:p>
      <w:pPr>
        <w:pStyle w:val="Heading2"/>
      </w:pPr>
      <w:r>
        <w:t xml:space="preserve">Scope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â€” one VPC can span all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</w:t>
            </w:r>
            <w:r>
              <w:t xml:space="preserve"> </w:t>
            </w:r>
            <w:r>
              <w:t xml:space="preserve">â€” but can span zones within a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VMs in different zones</w:t>
            </w:r>
          </w:p>
        </w:tc>
        <w:tc>
          <w:tcPr/>
          <w:p>
            <w:pPr>
              <w:pStyle w:val="Compact"/>
            </w:pPr>
            <w:r>
              <w:t xml:space="preserve">Can share the same subnet âœ“</w:t>
            </w:r>
          </w:p>
        </w:tc>
      </w:tr>
    </w:tbl>
    <w:bookmarkEnd w:id="9"/>
    <w:bookmarkStart w:id="10" w:name="connecting-vpcs"/>
    <w:p>
      <w:pPr>
        <w:pStyle w:val="Heading2"/>
      </w:pPr>
      <w:r>
        <w:t xml:space="preserve">Connecting VPCs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VPC Peering</w:t>
            </w:r>
          </w:p>
        </w:tc>
        <w:tc>
          <w:tcPr/>
          <w:p>
            <w:pPr>
              <w:pStyle w:val="Compact"/>
            </w:pPr>
            <w:r>
              <w:t xml:space="preserve">Connect two VPCs to exchange traffic â€” no IAM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VPC</w:t>
            </w:r>
          </w:p>
        </w:tc>
        <w:tc>
          <w:tcPr/>
          <w:p>
            <w:pPr>
              <w:pStyle w:val="Compact"/>
            </w:pPr>
            <w:r>
              <w:t xml:space="preserve">Share a host project’s VPC with service projects â€” full IAM control</w:t>
            </w:r>
          </w:p>
        </w:tc>
      </w:tr>
    </w:tbl>
    <w:bookmarkEnd w:id="10"/>
    <w:bookmarkStart w:id="11" w:name="load-balancer-types"/>
    <w:p>
      <w:pPr>
        <w:pStyle w:val="Heading2"/>
      </w:pPr>
      <w:r>
        <w:t xml:space="preserve">Load Balancer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680"/>
        <w:gridCol w:w="16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Balancer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External Application LB</w:t>
            </w:r>
          </w:p>
        </w:tc>
        <w:tc>
          <w:tcPr/>
          <w:p>
            <w:pPr>
              <w:pStyle w:val="Compact"/>
            </w:pPr>
            <w:r>
              <w:t xml:space="preserve">L7 HTTP/S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Web apps, SSL termination, multi-region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External Application LB</w:t>
            </w:r>
          </w:p>
        </w:tc>
        <w:tc>
          <w:tcPr/>
          <w:p>
            <w:pPr>
              <w:pStyle w:val="Compact"/>
            </w:pPr>
            <w:r>
              <w:t xml:space="preserve">L7 HTTP/S</w:t>
            </w:r>
          </w:p>
        </w:tc>
        <w:tc>
          <w:tcPr/>
          <w:p>
            <w:pPr>
              <w:pStyle w:val="Compact"/>
            </w:pPr>
            <w:r>
              <w:t xml:space="preserve">Regional</w:t>
            </w:r>
          </w:p>
        </w:tc>
        <w:tc>
          <w:tcPr/>
          <w:p>
            <w:pPr>
              <w:pStyle w:val="Compact"/>
            </w:pPr>
            <w:r>
              <w:t xml:space="preserve">Regional web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Internal Application LB</w:t>
            </w:r>
          </w:p>
        </w:tc>
        <w:tc>
          <w:tcPr/>
          <w:p>
            <w:pPr>
              <w:pStyle w:val="Compact"/>
            </w:pPr>
            <w:r>
              <w:t xml:space="preserve">L7 HTTP/S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Internal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LB â€” Proxy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Regional</w:t>
            </w:r>
          </w:p>
        </w:tc>
        <w:tc>
          <w:tcPr/>
          <w:p>
            <w:pPr>
              <w:pStyle w:val="Compact"/>
            </w:pPr>
            <w:r>
              <w:t xml:space="preserve">TCP/SSL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LB â€” Passthrough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Regional</w:t>
            </w:r>
          </w:p>
        </w:tc>
        <w:tc>
          <w:tcPr/>
          <w:p>
            <w:pPr>
              <w:pStyle w:val="Compact"/>
            </w:pPr>
            <w:r>
              <w:t xml:space="preserve">UDP / raw TCP / preserve client IP</w:t>
            </w:r>
          </w:p>
        </w:tc>
      </w:tr>
    </w:tbl>
    <w:p>
      <w:pPr>
        <w:pStyle w:val="BlockText"/>
      </w:pPr>
      <w:r>
        <w:t xml:space="preserve">Global LB = single anycast IP + automatic multi-region failover +</w:t>
      </w:r>
      <w:r>
        <w:t xml:space="preserve"> </w:t>
      </w:r>
      <w:r>
        <w:rPr>
          <w:b/>
          <w:bCs/>
        </w:rPr>
        <w:t xml:space="preserve">no pre-warming needed</w:t>
      </w:r>
    </w:p>
    <w:bookmarkEnd w:id="11"/>
    <w:bookmarkStart w:id="12" w:name="connecting-to-googles-network"/>
    <w:p>
      <w:pPr>
        <w:pStyle w:val="Heading2"/>
      </w:pPr>
      <w:r>
        <w:t xml:space="preserve">Connecting to Google’s 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SLA?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Interconnect</w:t>
            </w:r>
          </w:p>
        </w:tc>
        <w:tc>
          <w:tcPr/>
          <w:p>
            <w:pPr>
              <w:pStyle w:val="Compact"/>
            </w:pPr>
            <w:r>
              <w:t xml:space="preserve">âœ… Yes</w:t>
            </w:r>
          </w:p>
        </w:tc>
        <w:tc>
          <w:tcPr/>
          <w:p>
            <w:pPr>
              <w:pStyle w:val="Compact"/>
            </w:pPr>
            <w:r>
              <w:t xml:space="preserve">Private physical circuit direct to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Interconnect</w:t>
            </w:r>
          </w:p>
        </w:tc>
        <w:tc>
          <w:tcPr/>
          <w:p>
            <w:pPr>
              <w:pStyle w:val="Compact"/>
            </w:pPr>
            <w:r>
              <w:t xml:space="preserve">âœ… Yes</w:t>
            </w:r>
          </w:p>
        </w:tc>
        <w:tc>
          <w:tcPr/>
          <w:p>
            <w:pPr>
              <w:pStyle w:val="Compact"/>
            </w:pPr>
            <w:r>
              <w:t xml:space="preserve">Via service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Peering</w:t>
            </w:r>
          </w:p>
        </w:tc>
        <w:tc>
          <w:tcPr/>
          <w:p>
            <w:pPr>
              <w:pStyle w:val="Compact"/>
            </w:pPr>
            <w:r>
              <w:t xml:space="preserve">âŒ No</w:t>
            </w:r>
          </w:p>
        </w:tc>
        <w:tc>
          <w:tcPr/>
          <w:p>
            <w:pPr>
              <w:pStyle w:val="Compact"/>
            </w:pPr>
            <w:r>
              <w:t xml:space="preserve">Unmanaged BGP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Carrier Peering</w:t>
            </w:r>
          </w:p>
        </w:tc>
        <w:tc>
          <w:tcPr/>
          <w:p>
            <w:pPr>
              <w:pStyle w:val="Compact"/>
            </w:pPr>
            <w:r>
              <w:t xml:space="preserve">âŒ No</w:t>
            </w:r>
          </w:p>
        </w:tc>
        <w:tc>
          <w:tcPr/>
          <w:p>
            <w:pPr>
              <w:pStyle w:val="Compact"/>
            </w:pPr>
            <w:r>
              <w:t xml:space="preserve">Via ISP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VPN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t xml:space="preserve">Encrypted over public internet</w:t>
            </w:r>
          </w:p>
        </w:tc>
      </w:tr>
    </w:tbl>
    <w:p>
      <w:pPr>
        <w:pStyle w:val="BlockText"/>
      </w:pPr>
      <w:r>
        <w:t xml:space="preserve">Only</w:t>
      </w:r>
      <w:r>
        <w:t xml:space="preserve"> </w:t>
      </w:r>
      <w:r>
        <w:rPr>
          <w:b/>
          <w:bCs/>
        </w:rPr>
        <w:t xml:space="preserve">Dedicated Interconnect</w:t>
      </w:r>
      <w:r>
        <w:t xml:space="preserve"> </w:t>
      </w:r>
      <w:r>
        <w:t xml:space="preserve">guarantees an SLA.</w:t>
      </w:r>
    </w:p>
    <w:bookmarkEnd w:id="12"/>
    <w:bookmarkStart w:id="13" w:name="other-networking-services"/>
    <w:p>
      <w:pPr>
        <w:pStyle w:val="Heading2"/>
      </w:pPr>
      <w:r>
        <w:t xml:space="preserve">Other Networking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DNS</w:t>
            </w:r>
          </w:p>
        </w:tc>
        <w:tc>
          <w:tcPr/>
          <w:p>
            <w:pPr>
              <w:pStyle w:val="Compact"/>
            </w:pPr>
            <w:r>
              <w:t xml:space="preserve">Authoritative DNS, 100% uptime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CDN</w:t>
            </w:r>
          </w:p>
        </w:tc>
        <w:tc>
          <w:tcPr/>
          <w:p>
            <w:pPr>
              <w:pStyle w:val="Compact"/>
            </w:pPr>
            <w:r>
              <w:t xml:space="preserve">Cache at Google POPs â€” uses global 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NAT</w:t>
            </w:r>
          </w:p>
        </w:tc>
        <w:tc>
          <w:tcPr/>
          <w:p>
            <w:pPr>
              <w:pStyle w:val="Compact"/>
            </w:pPr>
            <w:r>
              <w:t xml:space="preserve">Outbound internet for VMs with no public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 rules</w:t>
            </w:r>
          </w:p>
        </w:tc>
        <w:tc>
          <w:tcPr/>
          <w:p>
            <w:pPr>
              <w:pStyle w:val="Compact"/>
            </w:pPr>
            <w:r>
              <w:t xml:space="preserve">Stateful, distributed â€” applied via tags or IP ranges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