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re-practices"/>
    <w:p>
      <w:pPr>
        <w:pStyle w:val="Heading1"/>
      </w:pPr>
      <w:r>
        <w:t xml:space="preserve">15. SRE Practices</w:t>
      </w:r>
    </w:p>
    <w:bookmarkStart w:id="9" w:name="devops-vs-sre"/>
    <w:p>
      <w:pPr>
        <w:pStyle w:val="Heading2"/>
      </w:pPr>
      <w:r>
        <w:t xml:space="preserve">DevOps vs SRE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422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Philosophy / culture</w:t>
            </w:r>
          </w:p>
        </w:tc>
        <w:tc>
          <w:tcPr/>
          <w:p>
            <w:pPr>
              <w:pStyle w:val="Compact"/>
            </w:pPr>
            <w:r>
              <w:t xml:space="preserve">Concrete implementation of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Google (Benjamin Treynor Sloss, 2003)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output</w:t>
            </w:r>
          </w:p>
        </w:tc>
        <w:tc>
          <w:tcPr/>
          <w:p>
            <w:pPr>
              <w:pStyle w:val="Compact"/>
            </w:pPr>
            <w:r>
              <w:t xml:space="preserve">Cultural practices</w:t>
            </w:r>
          </w:p>
        </w:tc>
        <w:tc>
          <w:tcPr/>
          <w:p>
            <w:pPr>
              <w:pStyle w:val="Compact"/>
            </w:pPr>
            <w:r>
              <w:t xml:space="preserve">Error budgets, SLOs, toil reduction</w:t>
            </w:r>
          </w:p>
        </w:tc>
      </w:tr>
    </w:tbl>
    <w:bookmarkEnd w:id="9"/>
    <w:bookmarkStart w:id="10" w:name="five-devops-pillars-â-sre-practices"/>
    <w:p>
      <w:pPr>
        <w:pStyle w:val="Heading2"/>
      </w:pPr>
      <w:r>
        <w:t xml:space="preserve">Five DevOps Pillars â†’ SRE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SRE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organizational silos</w:t>
            </w:r>
          </w:p>
        </w:tc>
        <w:tc>
          <w:tcPr/>
          <w:p>
            <w:pPr>
              <w:pStyle w:val="Compact"/>
            </w:pPr>
            <w:r>
              <w:t xml:space="preserve">Shared SLOs + error budgets; shared production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failure as normal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Blameless postmortems</w:t>
            </w:r>
            <w:r>
              <w:t xml:space="preserve">; psychological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gradual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canarying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tooling &amp; automation</w:t>
            </w:r>
          </w:p>
        </w:tc>
        <w:tc>
          <w:tcPr/>
          <w:p>
            <w:pPr>
              <w:pStyle w:val="Compact"/>
            </w:pPr>
            <w:r>
              <w:t xml:space="preserve">Eliminate</w:t>
            </w:r>
            <w:r>
              <w:t xml:space="preserve"> </w:t>
            </w:r>
            <w:r>
              <w:rPr>
                <w:b/>
                <w:bCs/>
              </w:rPr>
              <w:t xml:space="preserve">toil</w:t>
            </w:r>
            <w:r>
              <w:t xml:space="preserve">; automate everything automatable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 everything</w:t>
            </w:r>
          </w:p>
        </w:tc>
        <w:tc>
          <w:tcPr/>
          <w:p>
            <w:pPr>
              <w:pStyle w:val="Compact"/>
            </w:pPr>
            <w:r>
              <w:t xml:space="preserve">SLIs, SLOs, error budgets, OKRs, toil tracking</w:t>
            </w:r>
          </w:p>
        </w:tc>
      </w:tr>
    </w:tbl>
    <w:bookmarkEnd w:id="10"/>
    <w:bookmarkStart w:id="11" w:name="blameless-postmortem"/>
    <w:p>
      <w:pPr>
        <w:pStyle w:val="Heading2"/>
      </w:pPr>
      <w:r>
        <w:t xml:space="preserve">Blameless Postmortem</w:t>
      </w:r>
    </w:p>
    <w:p>
      <w:pPr>
        <w:pStyle w:val="FirstParagraph"/>
      </w:pPr>
      <w:r>
        <w:t xml:space="preserve">A written record of an incident containing:</w:t>
      </w:r>
      <w:r>
        <w:t xml:space="preserve"> </w:t>
      </w:r>
      <w:r>
        <w:t xml:space="preserve">1. Incident details + timeline</w:t>
      </w:r>
      <w:r>
        <w:t xml:space="preserve"> </w:t>
      </w:r>
      <w:r>
        <w:t xml:space="preserve">2. Actions taken to mitigate/resolve</w:t>
      </w:r>
      <w:r>
        <w:t xml:space="preserve"> </w:t>
      </w:r>
      <w:r>
        <w:t xml:space="preserve">3. Impact assessment</w:t>
      </w:r>
      <w:r>
        <w:t xml:space="preserve"> </w:t>
      </w:r>
      <w:r>
        <w:t xml:space="preserve">4. Trigger + all root causes (use the</w:t>
      </w:r>
      <w:r>
        <w:t xml:space="preserve"> </w:t>
      </w:r>
      <w:r>
        <w:rPr>
          <w:b/>
          <w:bCs/>
        </w:rPr>
        <w:t xml:space="preserve">5 Whys</w:t>
      </w:r>
      <w:r>
        <w:t xml:space="preserve"> </w:t>
      </w:r>
      <w:r>
        <w:t xml:space="preserve">technique)</w:t>
      </w:r>
      <w:r>
        <w:t xml:space="preserve"> </w:t>
      </w:r>
      <w:r>
        <w:t xml:space="preserve">5. Follow-up actions to prevent recurrence</w:t>
      </w:r>
    </w:p>
    <w:p>
      <w:pPr>
        <w:pStyle w:val="BlockText"/>
      </w:pPr>
      <w:r>
        <w:rPr>
          <w:b/>
          <w:bCs/>
        </w:rPr>
        <w:t xml:space="preserve">Blameless</w:t>
      </w:r>
      <w:r>
        <w:t xml:space="preserve"> </w:t>
      </w:r>
      <w:r>
        <w:t xml:space="preserve">= focuses on systemic causes, not individual blame</w:t>
      </w:r>
    </w:p>
    <w:bookmarkEnd w:id="11"/>
    <w:bookmarkStart w:id="12" w:name="what-is-toil"/>
    <w:p>
      <w:pPr>
        <w:pStyle w:val="Heading2"/>
      </w:pPr>
      <w:r>
        <w:t xml:space="preserve">What is Toil?</w:t>
      </w:r>
    </w:p>
    <w:p>
      <w:pPr>
        <w:pStyle w:val="FirstParagraph"/>
      </w:pPr>
      <w:r>
        <w:t xml:space="preserve">Toil is work that is</w:t>
      </w:r>
      <w:r>
        <w:t xml:space="preserve"> </w:t>
      </w:r>
      <w:r>
        <w:rPr>
          <w:b/>
          <w:bCs/>
        </w:rPr>
        <w:t xml:space="preserve">ALL of these</w:t>
      </w:r>
      <w:r>
        <w:t xml:space="preserve">:</w:t>
      </w:r>
      <w:r>
        <w:t xml:space="preserve"> </w:t>
      </w:r>
      <w:r>
        <w:t xml:space="preserve">- Manual</w:t>
      </w:r>
      <w:r>
        <w:t xml:space="preserve"> </w:t>
      </w:r>
      <w:r>
        <w:t xml:space="preserve">- Repetitive</w:t>
      </w:r>
      <w:r>
        <w:t xml:space="preserve"> </w:t>
      </w:r>
      <w:r>
        <w:t xml:space="preserve">- Automatable</w:t>
      </w:r>
      <w:r>
        <w:t xml:space="preserve"> </w:t>
      </w:r>
      <w:r>
        <w:t xml:space="preserve">- Tactical (not strategic)</w:t>
      </w:r>
      <w:r>
        <w:t xml:space="preserve"> </w:t>
      </w:r>
      <w:r>
        <w:t xml:space="preserve">- Has no enduring value</w:t>
      </w:r>
      <w:r>
        <w:t xml:space="preserve"> </w:t>
      </w:r>
      <w:r>
        <w:t xml:space="preserve">- Scales linearly with service growth</w:t>
      </w:r>
    </w:p>
    <w:p>
      <w:pPr>
        <w:pStyle w:val="BlockText"/>
      </w:pPr>
      <w:r>
        <w:t xml:space="preserve">SRE rule: keep toil</w:t>
      </w:r>
      <w:r>
        <w:t xml:space="preserve"> </w:t>
      </w:r>
      <w:r>
        <w:rPr>
          <w:b/>
          <w:bCs/>
        </w:rPr>
        <w:t xml:space="preserve">below 50%</w:t>
      </w:r>
      <w:r>
        <w:t xml:space="preserve"> </w:t>
      </w:r>
      <w:r>
        <w:t xml:space="preserve">of an SRE’s time. The rest is engineering work.</w:t>
      </w:r>
    </w:p>
    <w:bookmarkEnd w:id="12"/>
    <w:bookmarkStart w:id="13" w:name="canarying"/>
    <w:p>
      <w:pPr>
        <w:pStyle w:val="Heading2"/>
      </w:pPr>
      <w:r>
        <w:t xml:space="preserve">Canarying</w:t>
      </w:r>
    </w:p>
    <w:p>
      <w:pPr>
        <w:pStyle w:val="FirstParagraph"/>
      </w:pPr>
      <w:r>
        <w:t xml:space="preserve">Deploy a change to a</w:t>
      </w:r>
      <w:r>
        <w:t xml:space="preserve"> </w:t>
      </w:r>
      <w:r>
        <w:rPr>
          <w:b/>
          <w:bCs/>
        </w:rPr>
        <w:t xml:space="preserve">small, representative subset</w:t>
      </w:r>
      <w:r>
        <w:t xml:space="preserve"> </w:t>
      </w:r>
      <w:r>
        <w:t xml:space="preserve">of users first:</w:t>
      </w:r>
      <w:r>
        <w:t xml:space="preserve"> </w:t>
      </w:r>
      <w:r>
        <w:t xml:space="preserve">1. Canary group must be large enough to be representative</w:t>
      </w:r>
      <w:r>
        <w:t xml:space="preserve"> </w:t>
      </w:r>
      <w:r>
        <w:t xml:space="preserve">2. Small enough that if it breaks, the whole service isn’t harmed</w:t>
      </w:r>
      <w:r>
        <w:t xml:space="preserve"> </w:t>
      </w:r>
      <w:r>
        <w:t xml:space="preserve">3. Simple enough to monitor and roll back quickly</w:t>
      </w:r>
    </w:p>
    <w:bookmarkEnd w:id="13"/>
    <w:bookmarkStart w:id="14" w:name="cicd"/>
    <w:p>
      <w:pPr>
        <w:pStyle w:val="Heading2"/>
      </w:pPr>
      <w:r>
        <w:t xml:space="preserve">CI/CD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670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</w:t>
            </w:r>
            <w:r>
              <w:t xml:space="preserve"> </w:t>
            </w:r>
            <w:r>
              <w:t xml:space="preserve">(Continuous Integration)</w:t>
            </w:r>
          </w:p>
        </w:tc>
        <w:tc>
          <w:tcPr/>
          <w:p>
            <w:pPr>
              <w:pStyle w:val="Compact"/>
            </w:pPr>
            <w:r>
              <w:t xml:space="preserve">Build, integrate, and test code in dev environment continuously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</w:t>
            </w:r>
            <w:r>
              <w:t xml:space="preserve"> </w:t>
            </w:r>
            <w:r>
              <w:t xml:space="preserve">(Continuous Delivery)</w:t>
            </w:r>
          </w:p>
        </w:tc>
        <w:tc>
          <w:tcPr/>
          <w:p>
            <w:pPr>
              <w:pStyle w:val="Compact"/>
            </w:pPr>
            <w:r>
              <w:t xml:space="preserve">Deploy to production frequently, at the cadence the business chooses</w:t>
            </w:r>
          </w:p>
        </w:tc>
      </w:tr>
    </w:tbl>
    <w:bookmarkEnd w:id="14"/>
    <w:bookmarkStart w:id="15" w:name="okrs"/>
    <w:p>
      <w:pPr>
        <w:pStyle w:val="Heading2"/>
      </w:pPr>
      <w:r>
        <w:t xml:space="preserve">OKRs</w:t>
      </w:r>
    </w:p>
    <w:p>
      <w:pPr>
        <w:pStyle w:val="Compact"/>
        <w:numPr>
          <w:ilvl w:val="0"/>
          <w:numId w:val="1001"/>
        </w:numPr>
      </w:pPr>
      <w:r>
        <w:t xml:space="preserve">Google’s goal-setting framework:</w:t>
      </w:r>
      <w:r>
        <w:t xml:space="preserve"> </w:t>
      </w:r>
      <w:r>
        <w:rPr>
          <w:b/>
          <w:bCs/>
        </w:rPr>
        <w:t xml:space="preserve">Objectives + Key Results</w:t>
      </w:r>
    </w:p>
    <w:p>
      <w:pPr>
        <w:pStyle w:val="Compact"/>
        <w:numPr>
          <w:ilvl w:val="0"/>
          <w:numId w:val="1001"/>
        </w:numPr>
      </w:pPr>
      <w:r>
        <w:t xml:space="preserve">Graded</w:t>
      </w:r>
      <w:r>
        <w:t xml:space="preserve"> </w:t>
      </w:r>
      <w:r>
        <w:rPr>
          <w:b/>
          <w:bCs/>
        </w:rPr>
        <w:t xml:space="preserve">0.0 to 1.0</w:t>
      </w:r>
      <w:r>
        <w:t xml:space="preserve"> </w:t>
      </w:r>
      <w:r>
        <w:t xml:space="preserve">â€” optimal score is</w:t>
      </w:r>
      <w:r>
        <w:t xml:space="preserve"> </w:t>
      </w:r>
      <w:r>
        <w:rPr>
          <w:b/>
          <w:bCs/>
        </w:rPr>
        <w:t xml:space="preserve">60â€“70%</w:t>
      </w:r>
      <w:r>
        <w:t xml:space="preserve"> </w:t>
      </w:r>
      <w:r>
        <w:t xml:space="preserve">(stretch goals, not performance reviews)</w:t>
      </w:r>
    </w:p>
    <w:p>
      <w:pPr>
        <w:pStyle w:val="Compact"/>
        <w:numPr>
          <w:ilvl w:val="0"/>
          <w:numId w:val="1001"/>
        </w:numPr>
      </w:pPr>
      <w:r>
        <w:t xml:space="preserve">Graded publicly; cross-functional teams share OKRs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