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0A040" w14:textId="60EA01CE" w:rsidR="00B65534" w:rsidRDefault="00000000" w:rsidP="00B65534">
      <w:pPr>
        <w:pStyle w:val="TitleUF"/>
        <w:spacing w:after="0" w:line="240" w:lineRule="auto"/>
      </w:pPr>
      <w:r>
        <w:t>Team Case Assignment</w:t>
      </w:r>
      <w:r w:rsidR="00B65534">
        <w:t>:</w:t>
      </w:r>
    </w:p>
    <w:p w14:paraId="228A463D" w14:textId="599848E0" w:rsidR="001D4366" w:rsidRDefault="00000000">
      <w:pPr>
        <w:pStyle w:val="TitleUF"/>
      </w:pPr>
      <w:r>
        <w:t>Client Engagement Brief</w:t>
      </w:r>
    </w:p>
    <w:p w14:paraId="2DB55778" w14:textId="77777777" w:rsidR="001D4366" w:rsidRDefault="00000000">
      <w:pPr>
        <w:pStyle w:val="SubtitleUF"/>
      </w:pPr>
      <w:r>
        <w:t>MAN6930 Foundations of Consulting</w:t>
      </w:r>
    </w:p>
    <w:p w14:paraId="20E9711C" w14:textId="77777777" w:rsidR="001D4366" w:rsidRDefault="00000000">
      <w:pPr>
        <w:pStyle w:val="BodyUF"/>
      </w:pPr>
      <w:r>
        <w:rPr>
          <w:b/>
          <w:bCs/>
        </w:rPr>
        <w:t>“Changing the Trajectory”: A Strategy Engagement for the Office of the CEO</w:t>
      </w:r>
    </w:p>
    <w:p w14:paraId="36A502D5" w14:textId="77777777" w:rsidR="001D4366" w:rsidRDefault="00000000">
      <w:pPr>
        <w:pStyle w:val="CalloutLabelUF"/>
        <w:pBdr>
          <w:top w:val="single" w:sz="2" w:space="4" w:color="F2F2F2"/>
          <w:left w:val="single" w:sz="24" w:space="8" w:color="0021A5"/>
          <w:bottom w:val="single" w:sz="2" w:space="4" w:color="F2F2F2"/>
          <w:right w:val="single" w:sz="2" w:space="8" w:color="F2F2F2"/>
        </w:pBdr>
        <w:shd w:val="clear" w:color="auto" w:fill="F2F2F2"/>
        <w:spacing w:before="160" w:after="0"/>
      </w:pPr>
      <w:r>
        <w:t>Key Dates</w:t>
      </w:r>
    </w:p>
    <w:p w14:paraId="736A800A" w14:textId="77777777" w:rsidR="001D4366" w:rsidRDefault="00000000">
      <w:pPr>
        <w:pStyle w:val="BodyUF"/>
        <w:pBdr>
          <w:top w:val="single" w:sz="2" w:space="4" w:color="F2F2F2"/>
          <w:left w:val="single" w:sz="24" w:space="8" w:color="0021A5"/>
          <w:bottom w:val="single" w:sz="2" w:space="4" w:color="F2F2F2"/>
          <w:right w:val="single" w:sz="2" w:space="8" w:color="F2F2F2"/>
        </w:pBdr>
        <w:shd w:val="clear" w:color="auto" w:fill="F2F2F2"/>
        <w:spacing w:after="0"/>
      </w:pPr>
      <w:r>
        <w:t>Distributed: Week 1 (Thursday, August 20).</w:t>
      </w:r>
    </w:p>
    <w:p w14:paraId="57BEF798" w14:textId="77777777" w:rsidR="001D4366" w:rsidRDefault="00000000">
      <w:pPr>
        <w:pStyle w:val="BodyUF"/>
        <w:pBdr>
          <w:top w:val="single" w:sz="2" w:space="4" w:color="F2F2F2"/>
          <w:left w:val="single" w:sz="24" w:space="8" w:color="0021A5"/>
          <w:bottom w:val="single" w:sz="2" w:space="4" w:color="F2F2F2"/>
          <w:right w:val="single" w:sz="2" w:space="8" w:color="F2F2F2"/>
        </w:pBdr>
        <w:shd w:val="clear" w:color="auto" w:fill="F2F2F2"/>
      </w:pPr>
      <w:r>
        <w:t>Final presentation due: Sunday, September 27, 11:59pm ET.</w:t>
      </w:r>
    </w:p>
    <w:p w14:paraId="6A17C9CB" w14:textId="77777777" w:rsidR="001D4366" w:rsidRDefault="00000000">
      <w:pPr>
        <w:pStyle w:val="Heading1UF"/>
      </w:pPr>
      <w:r>
        <w:t>Your role</w:t>
      </w:r>
    </w:p>
    <w:p w14:paraId="2DA55E5E" w14:textId="77777777" w:rsidR="001D4366" w:rsidRDefault="00000000">
      <w:pPr>
        <w:pStyle w:val="BodyUF"/>
      </w:pPr>
      <w:r>
        <w:t xml:space="preserve">Your team is a newly retained strategy consulting team. You have been engaged directly by the </w:t>
      </w:r>
      <w:r>
        <w:rPr>
          <w:b/>
          <w:bCs/>
        </w:rPr>
        <w:t>Office of the CEO</w:t>
      </w:r>
      <w:r>
        <w:t xml:space="preserve"> of </w:t>
      </w:r>
      <w:r>
        <w:rPr>
          <w:b/>
          <w:bCs/>
        </w:rPr>
        <w:t>Charter Communications, Inc.</w:t>
      </w:r>
      <w:r>
        <w:t xml:space="preserve"> (NASDAQ: CHTR), the company behind the </w:t>
      </w:r>
      <w:r>
        <w:rPr>
          <w:b/>
          <w:bCs/>
        </w:rPr>
        <w:t>Spectrum</w:t>
      </w:r>
      <w:r>
        <w:t xml:space="preserve"> brand. Over the next seven weeks you will run a complete consulting engagement: scope the problem, analyze the business, and deliver a client-style recommendation and pitch.</w:t>
      </w:r>
    </w:p>
    <w:p w14:paraId="3C220C06" w14:textId="77777777" w:rsidR="001D4366" w:rsidRDefault="00000000">
      <w:pPr>
        <w:pStyle w:val="BodyUF"/>
      </w:pPr>
      <w:r>
        <w:t xml:space="preserve">Treat this as a real engagement, because it is a real, publicly traded company. The facts, financials, products, and competitors in this brief are drawn from Charter's public information as of the </w:t>
      </w:r>
      <w:r>
        <w:rPr>
          <w:b/>
          <w:bCs/>
        </w:rPr>
        <w:t>end of the first quarter of 2026 (March 31, 2026)</w:t>
      </w:r>
      <w:r>
        <w:t>. Everything you recommend should be grounded in that reality.</w:t>
      </w:r>
    </w:p>
    <w:p w14:paraId="01340DC9" w14:textId="77777777" w:rsidR="001D4366" w:rsidRDefault="00000000">
      <w:pPr>
        <w:pStyle w:val="Heading1UF"/>
      </w:pPr>
      <w:r>
        <w:t>Charter Communications, in brief</w:t>
      </w:r>
    </w:p>
    <w:p w14:paraId="4501960F" w14:textId="77777777" w:rsidR="001D4366" w:rsidRDefault="00000000">
      <w:pPr>
        <w:pStyle w:val="BodyUF"/>
      </w:pPr>
      <w:r>
        <w:t xml:space="preserve">Charter is the </w:t>
      </w:r>
      <w:r>
        <w:rPr>
          <w:b/>
          <w:bCs/>
        </w:rPr>
        <w:t>second-largest cable operator in the United States</w:t>
      </w:r>
      <w:r>
        <w:t xml:space="preserve">, serving tens of millions of residential and business customers under the </w:t>
      </w:r>
      <w:r>
        <w:rPr>
          <w:b/>
          <w:bCs/>
        </w:rPr>
        <w:t>Spectrum</w:t>
      </w:r>
      <w:r>
        <w:t xml:space="preserve"> brand. Its core products are:</w:t>
      </w:r>
    </w:p>
    <w:p w14:paraId="68E6A693" w14:textId="77777777" w:rsidR="001D4366" w:rsidRDefault="00000000">
      <w:pPr>
        <w:pStyle w:val="BodyUF"/>
        <w:numPr>
          <w:ilvl w:val="0"/>
          <w:numId w:val="2"/>
        </w:numPr>
      </w:pPr>
      <w:r>
        <w:rPr>
          <w:b/>
          <w:bCs/>
        </w:rPr>
        <w:t>Broadband internet (Spectrum Internet)</w:t>
      </w:r>
      <w:r>
        <w:t xml:space="preserve"> — the profit engine of the business, and the largest driver of cash flow.</w:t>
      </w:r>
    </w:p>
    <w:p w14:paraId="739134A2" w14:textId="77777777" w:rsidR="001D4366" w:rsidRDefault="00000000">
      <w:pPr>
        <w:pStyle w:val="BodyUF"/>
        <w:numPr>
          <w:ilvl w:val="0"/>
          <w:numId w:val="2"/>
        </w:numPr>
      </w:pPr>
      <w:r>
        <w:rPr>
          <w:b/>
          <w:bCs/>
        </w:rPr>
        <w:t>Video (Spectrum TV)</w:t>
      </w:r>
      <w:r>
        <w:t xml:space="preserve"> — a large but structurally declining business as customers cut the cord.</w:t>
      </w:r>
    </w:p>
    <w:p w14:paraId="249D25E3" w14:textId="77777777" w:rsidR="001D4366" w:rsidRDefault="00000000">
      <w:pPr>
        <w:pStyle w:val="BodyUF"/>
        <w:numPr>
          <w:ilvl w:val="0"/>
          <w:numId w:val="2"/>
        </w:numPr>
      </w:pPr>
      <w:r>
        <w:rPr>
          <w:b/>
          <w:bCs/>
        </w:rPr>
        <w:lastRenderedPageBreak/>
        <w:t>Mobile (Spectrum Mobile)</w:t>
      </w:r>
      <w:r>
        <w:t xml:space="preserve"> — a newer, fast-growing service that resells wireless capacity to compete with the major carriers.</w:t>
      </w:r>
    </w:p>
    <w:p w14:paraId="3BC332AF" w14:textId="77777777" w:rsidR="001D4366" w:rsidRDefault="00000000">
      <w:pPr>
        <w:pStyle w:val="BodyUF"/>
        <w:numPr>
          <w:ilvl w:val="0"/>
          <w:numId w:val="2"/>
        </w:numPr>
      </w:pPr>
      <w:r>
        <w:rPr>
          <w:b/>
          <w:bCs/>
        </w:rPr>
        <w:t>Voice</w:t>
      </w:r>
      <w:r>
        <w:t xml:space="preserve"> and </w:t>
      </w:r>
      <w:r>
        <w:rPr>
          <w:b/>
          <w:bCs/>
        </w:rPr>
        <w:t>small/medium business and enterprise services</w:t>
      </w:r>
      <w:r>
        <w:t>.</w:t>
      </w:r>
    </w:p>
    <w:p w14:paraId="4A7C2669" w14:textId="77777777" w:rsidR="001D4366" w:rsidRDefault="00000000">
      <w:pPr>
        <w:pStyle w:val="BodyUF"/>
      </w:pPr>
      <w:r>
        <w:t xml:space="preserve">Charter also has a </w:t>
      </w:r>
      <w:r>
        <w:rPr>
          <w:b/>
          <w:bCs/>
        </w:rPr>
        <w:t>transformational acquisition of Cox Communications</w:t>
      </w:r>
      <w:r>
        <w:t xml:space="preserve"> pending, expected to close in mid-2026, which would meaningfully increase its scale, its footprint, and its debt.</w:t>
      </w:r>
    </w:p>
    <w:p w14:paraId="17DA64E3" w14:textId="77777777" w:rsidR="001D4366" w:rsidRDefault="00000000">
      <w:pPr>
        <w:pStyle w:val="Heading1UF"/>
      </w:pPr>
      <w:r>
        <w:t>The situation (as of end of Q1 2026)</w:t>
      </w:r>
    </w:p>
    <w:p w14:paraId="305D0AAB" w14:textId="77777777" w:rsidR="001D4366" w:rsidRDefault="00000000">
      <w:pPr>
        <w:pStyle w:val="BodyUF"/>
      </w:pPr>
      <w:r>
        <w:t>Charter is a large, cash-generative, operationally strong company. It is also a company whose owners have lost a great deal of money.</w:t>
      </w:r>
    </w:p>
    <w:p w14:paraId="7C6F106B" w14:textId="77777777" w:rsidR="001D4366" w:rsidRDefault="00000000">
      <w:pPr>
        <w:pStyle w:val="BodyUF"/>
        <w:numPr>
          <w:ilvl w:val="0"/>
          <w:numId w:val="2"/>
        </w:numPr>
      </w:pPr>
      <w:r>
        <w:t xml:space="preserve">The stock has lost </w:t>
      </w:r>
      <w:r>
        <w:rPr>
          <w:b/>
          <w:bCs/>
        </w:rPr>
        <w:t>roughly 80% of its value over the past five years</w:t>
      </w:r>
      <w:r>
        <w:t>.</w:t>
      </w:r>
    </w:p>
    <w:p w14:paraId="4BD5D1F4" w14:textId="77777777" w:rsidR="001D4366" w:rsidRDefault="00000000">
      <w:pPr>
        <w:pStyle w:val="BodyUF"/>
        <w:numPr>
          <w:ilvl w:val="0"/>
          <w:numId w:val="2"/>
        </w:numPr>
      </w:pPr>
      <w:r>
        <w:t xml:space="preserve">Most recently, after the Q1 2026 earnings release, the stock fell </w:t>
      </w:r>
      <w:r>
        <w:rPr>
          <w:b/>
          <w:bCs/>
        </w:rPr>
        <w:t>about 25% in a single day</w:t>
      </w:r>
      <w:r>
        <w:t xml:space="preserve"> — one of the worst single-day declines in the company's history.</w:t>
      </w:r>
    </w:p>
    <w:p w14:paraId="64E46BDC" w14:textId="77777777" w:rsidR="001D4366" w:rsidRDefault="00000000">
      <w:pPr>
        <w:pStyle w:val="BodyUF"/>
        <w:numPr>
          <w:ilvl w:val="0"/>
          <w:numId w:val="2"/>
        </w:numPr>
      </w:pPr>
      <w:r>
        <w:t xml:space="preserve">The trigger was </w:t>
      </w:r>
      <w:r>
        <w:rPr>
          <w:b/>
          <w:bCs/>
        </w:rPr>
        <w:t>broadband</w:t>
      </w:r>
      <w:r>
        <w:t xml:space="preserve">: the company </w:t>
      </w:r>
      <w:r>
        <w:rPr>
          <w:b/>
          <w:bCs/>
        </w:rPr>
        <w:t>lost about 120,000 internet customers in the quarter</w:t>
      </w:r>
      <w:r>
        <w:t>, roughly double the about 60,000 it lost in the same quarter a year earlier (Q1 2025). Broadband is the profit engine, so subscriber losses there frighten investors more than losses anywhere else.</w:t>
      </w:r>
    </w:p>
    <w:p w14:paraId="2A0AB82E" w14:textId="77777777" w:rsidR="001D4366" w:rsidRDefault="00000000">
      <w:pPr>
        <w:pStyle w:val="BodyUF"/>
        <w:numPr>
          <w:ilvl w:val="0"/>
          <w:numId w:val="2"/>
        </w:numPr>
      </w:pPr>
      <w:r>
        <w:rPr>
          <w:b/>
          <w:bCs/>
        </w:rPr>
        <w:t>Why broadband is shrinking:</w:t>
      </w:r>
      <w:r>
        <w:t xml:space="preserve"> two competitive forces. </w:t>
      </w:r>
      <w:r>
        <w:rPr>
          <w:b/>
          <w:bCs/>
        </w:rPr>
        <w:t>Fixed wireless access</w:t>
      </w:r>
      <w:r>
        <w:t xml:space="preserve"> (home internet delivered over 5G by carriers like T-Mobile and Verizon) is winning price-sensitive customers, and </w:t>
      </w:r>
      <w:r>
        <w:rPr>
          <w:b/>
          <w:bCs/>
        </w:rPr>
        <w:t>fiber overbuilders</w:t>
      </w:r>
      <w:r>
        <w:t xml:space="preserve"> are laying fiber directly into Charter's territory. A slow housing market means fewer people moving and signing up for new service.</w:t>
      </w:r>
    </w:p>
    <w:p w14:paraId="78488DB5" w14:textId="77777777" w:rsidR="001D4366" w:rsidRDefault="00000000">
      <w:pPr>
        <w:pStyle w:val="BodyUF"/>
        <w:numPr>
          <w:ilvl w:val="0"/>
          <w:numId w:val="2"/>
        </w:numPr>
      </w:pPr>
      <w:r>
        <w:rPr>
          <w:b/>
          <w:bCs/>
        </w:rPr>
        <w:t>The bright spot is mobile.</w:t>
      </w:r>
      <w:r>
        <w:t xml:space="preserve"> The client added </w:t>
      </w:r>
      <w:r>
        <w:rPr>
          <w:b/>
          <w:bCs/>
        </w:rPr>
        <w:t>368,000 mobile lines in the quarter</w:t>
      </w:r>
      <w:r>
        <w:t xml:space="preserve"> and has grown its mobile base by roughly </w:t>
      </w:r>
      <w:r>
        <w:rPr>
          <w:b/>
          <w:bCs/>
        </w:rPr>
        <w:t>17% over the past year</w:t>
      </w:r>
      <w:r>
        <w:t xml:space="preserve"> — but mobile is a lower-margin, resold service, and investors have not been willing to credit it against the broadband decline.</w:t>
      </w:r>
    </w:p>
    <w:p w14:paraId="12714028" w14:textId="77777777" w:rsidR="001D4366" w:rsidRDefault="00000000">
      <w:pPr>
        <w:pStyle w:val="BodyUF"/>
        <w:numPr>
          <w:ilvl w:val="0"/>
          <w:numId w:val="2"/>
        </w:numPr>
      </w:pPr>
      <w:r>
        <w:t xml:space="preserve">The company still produces </w:t>
      </w:r>
      <w:r>
        <w:rPr>
          <w:b/>
          <w:bCs/>
        </w:rPr>
        <w:t>substantial revenue (about $13.6 billion in the quarter) and strong free cash flow</w:t>
      </w:r>
      <w:r>
        <w:t xml:space="preserve">, and carries a </w:t>
      </w:r>
      <w:r>
        <w:rPr>
          <w:b/>
          <w:bCs/>
        </w:rPr>
        <w:t>large debt load</w:t>
      </w:r>
      <w:r>
        <w:t xml:space="preserve"> that the pending acquisition will increase.</w:t>
      </w:r>
    </w:p>
    <w:p w14:paraId="1DB70B7C" w14:textId="77777777" w:rsidR="001D4366" w:rsidRDefault="00000000">
      <w:pPr>
        <w:pStyle w:val="BodyUF"/>
      </w:pPr>
      <w:r>
        <w:t xml:space="preserve">The company is not in financial distress. Its problem is </w:t>
      </w:r>
      <w:r>
        <w:rPr>
          <w:b/>
          <w:bCs/>
        </w:rPr>
        <w:t>direction and belief</w:t>
      </w:r>
      <w:r>
        <w:t>: the market does not believe the current strategy will return the business to growth, and the share price reflects that loss of confidence.</w:t>
      </w:r>
    </w:p>
    <w:p w14:paraId="12405C6E" w14:textId="77777777" w:rsidR="001D4366" w:rsidRDefault="00000000">
      <w:pPr>
        <w:pStyle w:val="Heading1UF"/>
      </w:pPr>
      <w:r>
        <w:lastRenderedPageBreak/>
        <w:t>The CEO's charge to your team</w:t>
      </w:r>
    </w:p>
    <w:p w14:paraId="4A26AD45" w14:textId="60D555CB" w:rsidR="001D4366" w:rsidRDefault="00000000">
      <w:pPr>
        <w:pStyle w:val="BodyUF"/>
        <w:pBdr>
          <w:top w:val="single" w:sz="2" w:space="4" w:color="F2F2F2"/>
          <w:left w:val="single" w:sz="24" w:space="8" w:color="0021A5"/>
          <w:bottom w:val="single" w:sz="2" w:space="4" w:color="F2F2F2"/>
          <w:right w:val="single" w:sz="2" w:space="8" w:color="F2F2F2"/>
        </w:pBdr>
        <w:shd w:val="clear" w:color="auto" w:fill="F2F2F2"/>
        <w:spacing w:before="160"/>
      </w:pPr>
      <w:r>
        <w:t>“I need you to bring me out-of-the-box strategies and business moves that could genuinely change the trajectory of our share price. Tell me what we should do — and then convince me we can actually do it. What would it take, what would it cost, and how long would it take to matter?”</w:t>
      </w:r>
    </w:p>
    <w:p w14:paraId="48D20A94" w14:textId="77777777" w:rsidR="001D4366" w:rsidRDefault="00000000">
      <w:pPr>
        <w:pStyle w:val="BodyUF"/>
      </w:pPr>
      <w:r>
        <w:rPr>
          <w:b/>
          <w:bCs/>
        </w:rPr>
        <w:t>Your mandate is deliberately open.</w:t>
      </w:r>
      <w:r>
        <w:t xml:space="preserve"> There is no predetermined right answer, and “keep doing what we're doing, but better” is unlikely to satisfy the client. You are encouraged to consider bold, creative, and unconventional moves. Your recommendation must be </w:t>
      </w:r>
      <w:r>
        <w:rPr>
          <w:b/>
          <w:bCs/>
        </w:rPr>
        <w:t>your team's own</w:t>
      </w:r>
      <w:r>
        <w:t xml:space="preserve">, and it must be </w:t>
      </w:r>
      <w:r>
        <w:rPr>
          <w:b/>
          <w:bCs/>
        </w:rPr>
        <w:t>defensible and actionable</w:t>
      </w:r>
      <w:r>
        <w:t>.</w:t>
      </w:r>
    </w:p>
    <w:p w14:paraId="3CECB9CA" w14:textId="77777777" w:rsidR="001D4366" w:rsidRDefault="00000000">
      <w:pPr>
        <w:pStyle w:val="Heading1UF"/>
      </w:pPr>
      <w:r>
        <w:t>What we are asking you to deliver</w:t>
      </w:r>
    </w:p>
    <w:p w14:paraId="60A0550B" w14:textId="77777777" w:rsidR="001D4366" w:rsidRDefault="00000000">
      <w:pPr>
        <w:pStyle w:val="BodyUF"/>
      </w:pPr>
      <w:r>
        <w:t>Across the engagement your team will:</w:t>
      </w:r>
    </w:p>
    <w:p w14:paraId="01EB7EF6" w14:textId="77777777" w:rsidR="001D4366" w:rsidRDefault="00000000">
      <w:pPr>
        <w:pStyle w:val="BodyUF"/>
        <w:numPr>
          <w:ilvl w:val="0"/>
          <w:numId w:val="3"/>
        </w:numPr>
      </w:pPr>
      <w:r>
        <w:rPr>
          <w:b/>
          <w:bCs/>
        </w:rPr>
        <w:t>Frame the problem.</w:t>
      </w:r>
      <w:r>
        <w:t xml:space="preserve"> Separate the symptom (a falling stock price) from the underlying business problem. Define, precisely, what problem you are actually solving.</w:t>
      </w:r>
    </w:p>
    <w:p w14:paraId="42724F6D" w14:textId="77777777" w:rsidR="001D4366" w:rsidRDefault="00000000">
      <w:pPr>
        <w:pStyle w:val="BodyUF"/>
        <w:numPr>
          <w:ilvl w:val="0"/>
          <w:numId w:val="3"/>
        </w:numPr>
      </w:pPr>
      <w:r>
        <w:rPr>
          <w:b/>
          <w:bCs/>
        </w:rPr>
        <w:t>Analyze the business and its market.</w:t>
      </w:r>
      <w:r>
        <w:t xml:space="preserve"> Use the data and evidence available to you (including a </w:t>
      </w:r>
      <w:r>
        <w:rPr>
          <w:b/>
          <w:bCs/>
        </w:rPr>
        <w:t>data pack</w:t>
      </w:r>
      <w:r>
        <w:t xml:space="preserve"> we will provide in Week 5) to build a fact base and test your hypotheses.</w:t>
      </w:r>
    </w:p>
    <w:p w14:paraId="365DDAF2" w14:textId="77777777" w:rsidR="001D4366" w:rsidRDefault="00000000">
      <w:pPr>
        <w:pStyle w:val="BodyUF"/>
        <w:numPr>
          <w:ilvl w:val="0"/>
          <w:numId w:val="3"/>
        </w:numPr>
      </w:pPr>
      <w:r>
        <w:rPr>
          <w:b/>
          <w:bCs/>
        </w:rPr>
        <w:t>Recommend a course of action.</w:t>
      </w:r>
      <w:r>
        <w:t xml:space="preserve"> Make a clear, specific recommendation for how the client should change its trajectory, and defend why it is the right move under real-world uncertainty.</w:t>
      </w:r>
    </w:p>
    <w:p w14:paraId="49A5584B" w14:textId="77777777" w:rsidR="001D4366" w:rsidRDefault="00000000">
      <w:pPr>
        <w:pStyle w:val="BodyUF"/>
        <w:numPr>
          <w:ilvl w:val="0"/>
          <w:numId w:val="3"/>
        </w:numPr>
      </w:pPr>
      <w:r>
        <w:rPr>
          <w:b/>
          <w:bCs/>
        </w:rPr>
        <w:t>Show it can be done.</w:t>
      </w:r>
      <w:r>
        <w:t xml:space="preserve"> Address feasibility head-on: what resources, capabilities, time, and money the move would require, and what the risks are.</w:t>
      </w:r>
    </w:p>
    <w:p w14:paraId="6739220A" w14:textId="77777777" w:rsidR="001D4366" w:rsidRDefault="00000000">
      <w:pPr>
        <w:pStyle w:val="BodyUF"/>
        <w:numPr>
          <w:ilvl w:val="0"/>
          <w:numId w:val="3"/>
        </w:numPr>
      </w:pPr>
      <w:r>
        <w:rPr>
          <w:b/>
          <w:bCs/>
        </w:rPr>
        <w:t>Present to the client.</w:t>
      </w:r>
      <w:r>
        <w:t xml:space="preserve"> Deliver a final, client-style </w:t>
      </w:r>
      <w:r>
        <w:rPr>
          <w:b/>
          <w:bCs/>
        </w:rPr>
        <w:t>PowerPoint presentation</w:t>
      </w:r>
      <w:r>
        <w:t xml:space="preserve"> as if presenting to the CEO.</w:t>
      </w:r>
    </w:p>
    <w:p w14:paraId="15DBCFF3" w14:textId="77777777" w:rsidR="001D4366" w:rsidRDefault="00000000">
      <w:pPr>
        <w:pStyle w:val="Heading1UF"/>
      </w:pPr>
      <w:r>
        <w:t>Engagement timeline and check-ins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400"/>
        <w:gridCol w:w="5460"/>
      </w:tblGrid>
      <w:tr w:rsidR="001D4366" w14:paraId="384733B4" w14:textId="77777777">
        <w:tblPrEx>
          <w:tblCellMar>
            <w:top w:w="0" w:type="dxa"/>
            <w:bottom w:w="0" w:type="dxa"/>
          </w:tblCellMar>
        </w:tblPrEx>
        <w:trPr>
          <w:tblHeader/>
        </w:trPr>
        <w:tc>
          <w:tcPr>
            <w:tcW w:w="1500" w:type="dxa"/>
            <w:shd w:val="clear" w:color="auto" w:fill="0021A5"/>
            <w:tcMar>
              <w:top w:w="60" w:type="dxa"/>
              <w:left w:w="100" w:type="dxa"/>
              <w:bottom w:w="60" w:type="dxa"/>
              <w:right w:w="100" w:type="dxa"/>
            </w:tcMar>
          </w:tcPr>
          <w:p w14:paraId="2CC5497D" w14:textId="77777777" w:rsidR="001D4366" w:rsidRDefault="00000000">
            <w:pPr>
              <w:pStyle w:val="BodyUF"/>
              <w:spacing w:after="20" w:line="240" w:lineRule="auto"/>
            </w:pPr>
            <w:r>
              <w:rPr>
                <w:b/>
                <w:bCs/>
                <w:color w:val="FFFFFF"/>
                <w:sz w:val="20"/>
              </w:rPr>
              <w:t>When</w:t>
            </w:r>
          </w:p>
        </w:tc>
        <w:tc>
          <w:tcPr>
            <w:tcW w:w="2400" w:type="dxa"/>
            <w:shd w:val="clear" w:color="auto" w:fill="0021A5"/>
            <w:tcMar>
              <w:top w:w="60" w:type="dxa"/>
              <w:left w:w="100" w:type="dxa"/>
              <w:bottom w:w="60" w:type="dxa"/>
              <w:right w:w="100" w:type="dxa"/>
            </w:tcMar>
          </w:tcPr>
          <w:p w14:paraId="27A0FA55" w14:textId="77777777" w:rsidR="001D4366" w:rsidRDefault="00000000">
            <w:pPr>
              <w:pStyle w:val="BodyUF"/>
              <w:spacing w:after="20" w:line="240" w:lineRule="auto"/>
            </w:pPr>
            <w:r>
              <w:rPr>
                <w:b/>
                <w:bCs/>
                <w:color w:val="FFFFFF"/>
                <w:sz w:val="20"/>
              </w:rPr>
              <w:t>Milestone</w:t>
            </w:r>
          </w:p>
        </w:tc>
        <w:tc>
          <w:tcPr>
            <w:tcW w:w="5460" w:type="dxa"/>
            <w:shd w:val="clear" w:color="auto" w:fill="0021A5"/>
            <w:tcMar>
              <w:top w:w="60" w:type="dxa"/>
              <w:left w:w="100" w:type="dxa"/>
              <w:bottom w:w="60" w:type="dxa"/>
              <w:right w:w="100" w:type="dxa"/>
            </w:tcMar>
          </w:tcPr>
          <w:p w14:paraId="65B05203" w14:textId="77777777" w:rsidR="001D4366" w:rsidRDefault="00000000">
            <w:pPr>
              <w:pStyle w:val="BodyUF"/>
              <w:spacing w:after="20" w:line="240" w:lineRule="auto"/>
            </w:pPr>
            <w:r>
              <w:rPr>
                <w:b/>
                <w:bCs/>
                <w:color w:val="FFFFFF"/>
                <w:sz w:val="20"/>
              </w:rPr>
              <w:t>What your team presents</w:t>
            </w:r>
          </w:p>
        </w:tc>
      </w:tr>
      <w:tr w:rsidR="001D4366" w14:paraId="429AD6B2" w14:textId="77777777">
        <w:tblPrEx>
          <w:tblCellMar>
            <w:top w:w="0" w:type="dxa"/>
            <w:bottom w:w="0" w:type="dxa"/>
          </w:tblCellMar>
        </w:tblPrEx>
        <w:tc>
          <w:tcPr>
            <w:tcW w:w="1500" w:type="dxa"/>
            <w:tcMar>
              <w:top w:w="60" w:type="dxa"/>
              <w:left w:w="100" w:type="dxa"/>
              <w:bottom w:w="60" w:type="dxa"/>
              <w:right w:w="100" w:type="dxa"/>
            </w:tcMar>
          </w:tcPr>
          <w:p w14:paraId="1E974879" w14:textId="77777777" w:rsidR="001D4366" w:rsidRDefault="00000000">
            <w:pPr>
              <w:pStyle w:val="BodyUF"/>
              <w:spacing w:after="20" w:line="240" w:lineRule="auto"/>
            </w:pPr>
            <w:r>
              <w:rPr>
                <w:b/>
                <w:bCs/>
                <w:sz w:val="20"/>
              </w:rPr>
              <w:t>Week 1 (Thu 8/20)</w:t>
            </w:r>
          </w:p>
        </w:tc>
        <w:tc>
          <w:tcPr>
            <w:tcW w:w="2400" w:type="dxa"/>
            <w:tcMar>
              <w:top w:w="60" w:type="dxa"/>
              <w:left w:w="100" w:type="dxa"/>
              <w:bottom w:w="60" w:type="dxa"/>
              <w:right w:w="100" w:type="dxa"/>
            </w:tcMar>
          </w:tcPr>
          <w:p w14:paraId="2CC419C2" w14:textId="77777777" w:rsidR="001D4366" w:rsidRDefault="00000000">
            <w:pPr>
              <w:pStyle w:val="BodyUF"/>
              <w:spacing w:after="20" w:line="240" w:lineRule="auto"/>
            </w:pPr>
            <w:r>
              <w:rPr>
                <w:sz w:val="20"/>
              </w:rPr>
              <w:t>Engagement kickoff</w:t>
            </w:r>
          </w:p>
        </w:tc>
        <w:tc>
          <w:tcPr>
            <w:tcW w:w="5460" w:type="dxa"/>
            <w:tcMar>
              <w:top w:w="60" w:type="dxa"/>
              <w:left w:w="100" w:type="dxa"/>
              <w:bottom w:w="60" w:type="dxa"/>
              <w:right w:w="100" w:type="dxa"/>
            </w:tcMar>
          </w:tcPr>
          <w:p w14:paraId="7A1CEC1C" w14:textId="77777777" w:rsidR="001D4366" w:rsidRDefault="00000000">
            <w:pPr>
              <w:pStyle w:val="BodyUF"/>
              <w:spacing w:after="20" w:line="240" w:lineRule="auto"/>
            </w:pPr>
            <w:r>
              <w:rPr>
                <w:sz w:val="20"/>
              </w:rPr>
              <w:t>Teams formed; brief distributed; questions.</w:t>
            </w:r>
          </w:p>
        </w:tc>
      </w:tr>
      <w:tr w:rsidR="001D4366" w14:paraId="277C02AD" w14:textId="77777777">
        <w:tblPrEx>
          <w:tblCellMar>
            <w:top w:w="0" w:type="dxa"/>
            <w:bottom w:w="0" w:type="dxa"/>
          </w:tblCellMar>
        </w:tblPrEx>
        <w:tc>
          <w:tcPr>
            <w:tcW w:w="1500" w:type="dxa"/>
            <w:tcMar>
              <w:top w:w="60" w:type="dxa"/>
              <w:left w:w="100" w:type="dxa"/>
              <w:bottom w:w="60" w:type="dxa"/>
              <w:right w:w="100" w:type="dxa"/>
            </w:tcMar>
          </w:tcPr>
          <w:p w14:paraId="492B537D" w14:textId="77777777" w:rsidR="001D4366" w:rsidRDefault="00000000">
            <w:pPr>
              <w:pStyle w:val="BodyUF"/>
              <w:spacing w:after="20" w:line="240" w:lineRule="auto"/>
            </w:pPr>
            <w:r>
              <w:rPr>
                <w:b/>
                <w:bCs/>
                <w:sz w:val="20"/>
              </w:rPr>
              <w:lastRenderedPageBreak/>
              <w:t>Week 3</w:t>
            </w:r>
          </w:p>
        </w:tc>
        <w:tc>
          <w:tcPr>
            <w:tcW w:w="2400" w:type="dxa"/>
            <w:tcMar>
              <w:top w:w="60" w:type="dxa"/>
              <w:left w:w="100" w:type="dxa"/>
              <w:bottom w:w="60" w:type="dxa"/>
              <w:right w:w="100" w:type="dxa"/>
            </w:tcMar>
          </w:tcPr>
          <w:p w14:paraId="1E2EC0AC" w14:textId="77777777" w:rsidR="001D4366" w:rsidRDefault="00000000">
            <w:pPr>
              <w:pStyle w:val="BodyUF"/>
              <w:spacing w:after="20" w:line="240" w:lineRule="auto"/>
            </w:pPr>
            <w:r>
              <w:rPr>
                <w:b/>
                <w:bCs/>
                <w:sz w:val="20"/>
              </w:rPr>
              <w:t>Check-in #1 — Problem Framing</w:t>
            </w:r>
          </w:p>
        </w:tc>
        <w:tc>
          <w:tcPr>
            <w:tcW w:w="5460" w:type="dxa"/>
            <w:tcMar>
              <w:top w:w="60" w:type="dxa"/>
              <w:left w:w="100" w:type="dxa"/>
              <w:bottom w:w="60" w:type="dxa"/>
              <w:right w:w="100" w:type="dxa"/>
            </w:tcMar>
          </w:tcPr>
          <w:p w14:paraId="02A24D4C" w14:textId="77777777" w:rsidR="001D4366" w:rsidRDefault="00000000">
            <w:pPr>
              <w:pStyle w:val="BodyUF"/>
              <w:spacing w:after="20" w:line="240" w:lineRule="auto"/>
            </w:pPr>
            <w:r>
              <w:rPr>
                <w:sz w:val="20"/>
              </w:rPr>
              <w:t xml:space="preserve">Your problem definition and structured breakdown (issue tree / hypotheses). This is where you show us </w:t>
            </w:r>
            <w:r>
              <w:rPr>
                <w:i/>
                <w:iCs/>
                <w:sz w:val="20"/>
              </w:rPr>
              <w:t>what problem you're really solving</w:t>
            </w:r>
            <w:r>
              <w:rPr>
                <w:sz w:val="20"/>
              </w:rPr>
              <w:t>.</w:t>
            </w:r>
          </w:p>
        </w:tc>
      </w:tr>
      <w:tr w:rsidR="001D4366" w14:paraId="00D0B00C" w14:textId="77777777">
        <w:tblPrEx>
          <w:tblCellMar>
            <w:top w:w="0" w:type="dxa"/>
            <w:bottom w:w="0" w:type="dxa"/>
          </w:tblCellMar>
        </w:tblPrEx>
        <w:tc>
          <w:tcPr>
            <w:tcW w:w="1500" w:type="dxa"/>
            <w:tcMar>
              <w:top w:w="60" w:type="dxa"/>
              <w:left w:w="100" w:type="dxa"/>
              <w:bottom w:w="60" w:type="dxa"/>
              <w:right w:w="100" w:type="dxa"/>
            </w:tcMar>
          </w:tcPr>
          <w:p w14:paraId="5B7F64D0" w14:textId="77777777" w:rsidR="001D4366" w:rsidRDefault="00000000">
            <w:pPr>
              <w:pStyle w:val="BodyUF"/>
              <w:spacing w:after="20" w:line="240" w:lineRule="auto"/>
            </w:pPr>
            <w:r>
              <w:rPr>
                <w:b/>
                <w:bCs/>
                <w:sz w:val="20"/>
              </w:rPr>
              <w:t>Week 5</w:t>
            </w:r>
          </w:p>
        </w:tc>
        <w:tc>
          <w:tcPr>
            <w:tcW w:w="2400" w:type="dxa"/>
            <w:tcMar>
              <w:top w:w="60" w:type="dxa"/>
              <w:left w:w="100" w:type="dxa"/>
              <w:bottom w:w="60" w:type="dxa"/>
              <w:right w:w="100" w:type="dxa"/>
            </w:tcMar>
          </w:tcPr>
          <w:p w14:paraId="414B78B9" w14:textId="77777777" w:rsidR="001D4366" w:rsidRDefault="00000000">
            <w:pPr>
              <w:pStyle w:val="BodyUF"/>
              <w:spacing w:after="20" w:line="240" w:lineRule="auto"/>
            </w:pPr>
            <w:r>
              <w:rPr>
                <w:b/>
                <w:bCs/>
                <w:sz w:val="20"/>
              </w:rPr>
              <w:t>Check-in #2 — Analysis</w:t>
            </w:r>
          </w:p>
        </w:tc>
        <w:tc>
          <w:tcPr>
            <w:tcW w:w="5460" w:type="dxa"/>
            <w:tcMar>
              <w:top w:w="60" w:type="dxa"/>
              <w:left w:w="100" w:type="dxa"/>
              <w:bottom w:w="60" w:type="dxa"/>
              <w:right w:w="100" w:type="dxa"/>
            </w:tcMar>
          </w:tcPr>
          <w:p w14:paraId="07632009" w14:textId="77777777" w:rsidR="001D4366" w:rsidRDefault="00000000">
            <w:pPr>
              <w:pStyle w:val="BodyUF"/>
              <w:spacing w:after="20" w:line="240" w:lineRule="auto"/>
            </w:pPr>
            <w:r>
              <w:rPr>
                <w:sz w:val="20"/>
              </w:rPr>
              <w:t>Your analysis of the provided data pack and the client-ready visualizations that support your emerging direction.</w:t>
            </w:r>
          </w:p>
        </w:tc>
      </w:tr>
      <w:tr w:rsidR="001D4366" w14:paraId="44EF0015" w14:textId="77777777">
        <w:tblPrEx>
          <w:tblCellMar>
            <w:top w:w="0" w:type="dxa"/>
            <w:bottom w:w="0" w:type="dxa"/>
          </w:tblCellMar>
        </w:tblPrEx>
        <w:tc>
          <w:tcPr>
            <w:tcW w:w="1500" w:type="dxa"/>
            <w:tcMar>
              <w:top w:w="60" w:type="dxa"/>
              <w:left w:w="100" w:type="dxa"/>
              <w:bottom w:w="60" w:type="dxa"/>
              <w:right w:w="100" w:type="dxa"/>
            </w:tcMar>
          </w:tcPr>
          <w:p w14:paraId="60FE675E" w14:textId="77777777" w:rsidR="001D4366" w:rsidRDefault="00000000">
            <w:pPr>
              <w:pStyle w:val="BodyUF"/>
              <w:spacing w:after="20" w:line="240" w:lineRule="auto"/>
            </w:pPr>
            <w:r>
              <w:rPr>
                <w:b/>
                <w:bCs/>
                <w:sz w:val="20"/>
              </w:rPr>
              <w:t>Week 7</w:t>
            </w:r>
          </w:p>
        </w:tc>
        <w:tc>
          <w:tcPr>
            <w:tcW w:w="2400" w:type="dxa"/>
            <w:tcMar>
              <w:top w:w="60" w:type="dxa"/>
              <w:left w:w="100" w:type="dxa"/>
              <w:bottom w:w="60" w:type="dxa"/>
              <w:right w:w="100" w:type="dxa"/>
            </w:tcMar>
          </w:tcPr>
          <w:p w14:paraId="1AD06508" w14:textId="77777777" w:rsidR="001D4366" w:rsidRDefault="00000000">
            <w:pPr>
              <w:pStyle w:val="BodyUF"/>
              <w:spacing w:after="20" w:line="240" w:lineRule="auto"/>
            </w:pPr>
            <w:r>
              <w:rPr>
                <w:b/>
                <w:bCs/>
                <w:sz w:val="20"/>
              </w:rPr>
              <w:t>Final presentation</w:t>
            </w:r>
          </w:p>
        </w:tc>
        <w:tc>
          <w:tcPr>
            <w:tcW w:w="5460" w:type="dxa"/>
            <w:tcMar>
              <w:top w:w="60" w:type="dxa"/>
              <w:left w:w="100" w:type="dxa"/>
              <w:bottom w:w="60" w:type="dxa"/>
              <w:right w:w="100" w:type="dxa"/>
            </w:tcMar>
          </w:tcPr>
          <w:p w14:paraId="47C0A7B7" w14:textId="77777777" w:rsidR="001D4366" w:rsidRDefault="00000000">
            <w:pPr>
              <w:pStyle w:val="BodyUF"/>
              <w:spacing w:after="20" w:line="240" w:lineRule="auto"/>
            </w:pPr>
            <w:r>
              <w:rPr>
                <w:sz w:val="20"/>
              </w:rPr>
              <w:t>Your full client pitch and recommendation.</w:t>
            </w:r>
          </w:p>
        </w:tc>
      </w:tr>
      <w:tr w:rsidR="001D4366" w14:paraId="27850C56" w14:textId="77777777">
        <w:tblPrEx>
          <w:tblCellMar>
            <w:top w:w="0" w:type="dxa"/>
            <w:bottom w:w="0" w:type="dxa"/>
          </w:tblCellMar>
        </w:tblPrEx>
        <w:tc>
          <w:tcPr>
            <w:tcW w:w="1500" w:type="dxa"/>
            <w:tcMar>
              <w:top w:w="60" w:type="dxa"/>
              <w:left w:w="100" w:type="dxa"/>
              <w:bottom w:w="60" w:type="dxa"/>
              <w:right w:w="100" w:type="dxa"/>
            </w:tcMar>
          </w:tcPr>
          <w:p w14:paraId="1FE2EEFC" w14:textId="77777777" w:rsidR="001D4366" w:rsidRDefault="00000000">
            <w:pPr>
              <w:pStyle w:val="BodyUF"/>
              <w:spacing w:after="20" w:line="240" w:lineRule="auto"/>
            </w:pPr>
            <w:r>
              <w:rPr>
                <w:b/>
                <w:bCs/>
                <w:sz w:val="20"/>
              </w:rPr>
              <w:t>Sun 9/27, 11:59pm ET</w:t>
            </w:r>
          </w:p>
        </w:tc>
        <w:tc>
          <w:tcPr>
            <w:tcW w:w="2400" w:type="dxa"/>
            <w:tcMar>
              <w:top w:w="60" w:type="dxa"/>
              <w:left w:w="100" w:type="dxa"/>
              <w:bottom w:w="60" w:type="dxa"/>
              <w:right w:w="100" w:type="dxa"/>
            </w:tcMar>
          </w:tcPr>
          <w:p w14:paraId="5FF70CB7" w14:textId="77777777" w:rsidR="001D4366" w:rsidRDefault="00000000">
            <w:pPr>
              <w:pStyle w:val="BodyUF"/>
              <w:spacing w:after="20" w:line="240" w:lineRule="auto"/>
            </w:pPr>
            <w:r>
              <w:rPr>
                <w:b/>
                <w:bCs/>
                <w:sz w:val="20"/>
              </w:rPr>
              <w:t>Final deck due in Canvas</w:t>
            </w:r>
          </w:p>
        </w:tc>
        <w:tc>
          <w:tcPr>
            <w:tcW w:w="5460" w:type="dxa"/>
            <w:tcMar>
              <w:top w:w="60" w:type="dxa"/>
              <w:left w:w="100" w:type="dxa"/>
              <w:bottom w:w="60" w:type="dxa"/>
              <w:right w:w="100" w:type="dxa"/>
            </w:tcMar>
          </w:tcPr>
          <w:p w14:paraId="23AFBA26" w14:textId="77777777" w:rsidR="001D4366" w:rsidRDefault="00000000">
            <w:pPr>
              <w:pStyle w:val="BodyUF"/>
              <w:spacing w:after="20" w:line="240" w:lineRule="auto"/>
            </w:pPr>
            <w:r>
              <w:rPr>
                <w:sz w:val="20"/>
              </w:rPr>
              <w:t>Final PowerPoint submitted.</w:t>
            </w:r>
          </w:p>
        </w:tc>
      </w:tr>
    </w:tbl>
    <w:p w14:paraId="3637127D" w14:textId="77777777" w:rsidR="001D4366" w:rsidRDefault="001D4366">
      <w:pPr>
        <w:pStyle w:val="BodyUF"/>
        <w:spacing w:after="0"/>
      </w:pPr>
    </w:p>
    <w:p w14:paraId="79CD17AE" w14:textId="77777777" w:rsidR="001D4366" w:rsidRDefault="00000000">
      <w:pPr>
        <w:pStyle w:val="BodyUF"/>
      </w:pPr>
      <w:r>
        <w:t>The check-ins are working sessions, not just grades. Use them the way a real team would use a client steering-committee meeting: to test your thinking, surface disagreement early, and adjust before the final pitch.</w:t>
      </w:r>
    </w:p>
    <w:p w14:paraId="4C1258FC" w14:textId="77777777" w:rsidR="001D4366" w:rsidRDefault="00000000">
      <w:pPr>
        <w:pStyle w:val="Heading1UF"/>
      </w:pPr>
      <w:r>
        <w:t>How your team will be graded (40 points)</w:t>
      </w:r>
    </w:p>
    <w:p w14:paraId="76EC8F3D" w14:textId="77777777" w:rsidR="001D4366" w:rsidRDefault="00000000">
      <w:pPr>
        <w:pStyle w:val="BodyUF"/>
      </w:pPr>
      <w:r>
        <w:t xml:space="preserve">Your team's work is worth </w:t>
      </w:r>
      <w:r>
        <w:rPr>
          <w:b/>
          <w:bCs/>
        </w:rPr>
        <w:t>40 of the 100 points</w:t>
      </w:r>
      <w:r>
        <w:t xml:space="preserve"> in this course, distributed as follows:</w:t>
      </w:r>
    </w:p>
    <w:p w14:paraId="6C40133D" w14:textId="60C20597" w:rsidR="001D4366" w:rsidRDefault="00000000">
      <w:pPr>
        <w:pStyle w:val="BodyUF"/>
        <w:numPr>
          <w:ilvl w:val="0"/>
          <w:numId w:val="2"/>
        </w:numPr>
      </w:pPr>
      <w:r>
        <w:rPr>
          <w:b/>
          <w:bCs/>
        </w:rPr>
        <w:t>Accuracy of problem definition (10 pts</w:t>
      </w:r>
      <w:r w:rsidR="00B65534">
        <w:rPr>
          <w:b/>
          <w:bCs/>
        </w:rPr>
        <w:t>, 7.5 from Instructor + 2.5 Peer Review</w:t>
      </w:r>
      <w:r>
        <w:rPr>
          <w:b/>
          <w:bCs/>
        </w:rPr>
        <w:t>)</w:t>
      </w:r>
      <w:r>
        <w:t xml:space="preserve"> — Did you correctly identify and frame the real problem, not just the symptom?</w:t>
      </w:r>
    </w:p>
    <w:p w14:paraId="712F0391" w14:textId="6D115D86" w:rsidR="001D4366" w:rsidRDefault="00000000">
      <w:pPr>
        <w:pStyle w:val="BodyUF"/>
        <w:numPr>
          <w:ilvl w:val="0"/>
          <w:numId w:val="2"/>
        </w:numPr>
      </w:pPr>
      <w:r>
        <w:rPr>
          <w:b/>
          <w:bCs/>
        </w:rPr>
        <w:t>Adequacy of support for the recommendation (10 pts</w:t>
      </w:r>
      <w:r w:rsidR="00B65534">
        <w:rPr>
          <w:b/>
          <w:bCs/>
        </w:rPr>
        <w:t xml:space="preserve">, </w:t>
      </w:r>
      <w:r w:rsidR="00B65534">
        <w:rPr>
          <w:b/>
          <w:bCs/>
        </w:rPr>
        <w:t>7.5 from Instructor + 2.5 Peer Review</w:t>
      </w:r>
      <w:r>
        <w:rPr>
          <w:b/>
          <w:bCs/>
        </w:rPr>
        <w:t>)</w:t>
      </w:r>
      <w:r>
        <w:t xml:space="preserve"> — Is your recommendation backed by sound analysis and evidence?</w:t>
      </w:r>
    </w:p>
    <w:p w14:paraId="33A8CDFC" w14:textId="5BAD5F05" w:rsidR="001D4366" w:rsidRDefault="00000000">
      <w:pPr>
        <w:pStyle w:val="BodyUF"/>
        <w:numPr>
          <w:ilvl w:val="0"/>
          <w:numId w:val="2"/>
        </w:numPr>
      </w:pPr>
      <w:r>
        <w:rPr>
          <w:b/>
          <w:bCs/>
        </w:rPr>
        <w:t>Actionability of the recommendation (10 pts</w:t>
      </w:r>
      <w:r w:rsidR="00B65534">
        <w:rPr>
          <w:b/>
          <w:bCs/>
        </w:rPr>
        <w:t xml:space="preserve">, </w:t>
      </w:r>
      <w:r w:rsidR="00B65534">
        <w:rPr>
          <w:b/>
          <w:bCs/>
        </w:rPr>
        <w:t>7.5 from Instructor + 2.5 Peer Review</w:t>
      </w:r>
      <w:r>
        <w:rPr>
          <w:b/>
          <w:bCs/>
        </w:rPr>
        <w:t>)</w:t>
      </w:r>
      <w:r>
        <w:t xml:space="preserve"> — Can it actually be done? Have you addressed what it would take: resources, time, cost, and risk?</w:t>
      </w:r>
    </w:p>
    <w:p w14:paraId="6DF2FD35" w14:textId="03926556" w:rsidR="001D4366" w:rsidRDefault="00000000">
      <w:pPr>
        <w:pStyle w:val="BodyUF"/>
        <w:numPr>
          <w:ilvl w:val="0"/>
          <w:numId w:val="2"/>
        </w:numPr>
      </w:pPr>
      <w:r>
        <w:rPr>
          <w:b/>
          <w:bCs/>
        </w:rPr>
        <w:t>Individual contributions to team success (10 pts</w:t>
      </w:r>
      <w:r w:rsidR="00B65534">
        <w:rPr>
          <w:b/>
          <w:bCs/>
        </w:rPr>
        <w:t xml:space="preserve">, </w:t>
      </w:r>
      <w:r w:rsidR="00B65534">
        <w:rPr>
          <w:b/>
          <w:bCs/>
        </w:rPr>
        <w:t>5 from Instructor + 5 Peer Review</w:t>
      </w:r>
      <w:r>
        <w:rPr>
          <w:b/>
          <w:bCs/>
        </w:rPr>
        <w:t>)</w:t>
      </w:r>
      <w:r>
        <w:t xml:space="preserve"> — Did you contribute meaningfully and equitably to your team's work?</w:t>
      </w:r>
    </w:p>
    <w:p w14:paraId="1DE8D118" w14:textId="77777777" w:rsidR="001D4366" w:rsidRDefault="00000000">
      <w:pPr>
        <w:pStyle w:val="Heading1UF"/>
      </w:pPr>
      <w:r>
        <w:t>Team expectations</w:t>
      </w:r>
    </w:p>
    <w:p w14:paraId="07AA3C58" w14:textId="2955628D" w:rsidR="001D4366" w:rsidRDefault="00000000">
      <w:pPr>
        <w:pStyle w:val="BodyUF"/>
        <w:numPr>
          <w:ilvl w:val="0"/>
          <w:numId w:val="2"/>
        </w:numPr>
      </w:pPr>
      <w:r>
        <w:rPr>
          <w:b/>
          <w:bCs/>
        </w:rPr>
        <w:t>Teams are assigned by the instructor</w:t>
      </w:r>
      <w:r>
        <w:t xml:space="preserve"> to balance skills and backgrounds. </w:t>
      </w:r>
    </w:p>
    <w:p w14:paraId="28D9BF68" w14:textId="77777777" w:rsidR="001D4366" w:rsidRDefault="00000000">
      <w:pPr>
        <w:pStyle w:val="BodyUF"/>
        <w:numPr>
          <w:ilvl w:val="0"/>
          <w:numId w:val="2"/>
        </w:numPr>
      </w:pPr>
      <w:r>
        <w:t xml:space="preserve">All members are </w:t>
      </w:r>
      <w:r>
        <w:rPr>
          <w:b/>
          <w:bCs/>
        </w:rPr>
        <w:t>jointly accountable</w:t>
      </w:r>
      <w:r>
        <w:t xml:space="preserve"> and expected to contribute equally. Peer input informs the individual-contribution grade.</w:t>
      </w:r>
    </w:p>
    <w:p w14:paraId="4490BE8A" w14:textId="63FD951B" w:rsidR="001D4366" w:rsidRDefault="00000000">
      <w:pPr>
        <w:pStyle w:val="BodyUF"/>
        <w:numPr>
          <w:ilvl w:val="0"/>
          <w:numId w:val="2"/>
        </w:numPr>
      </w:pPr>
      <w:r>
        <w:rPr>
          <w:b/>
          <w:bCs/>
        </w:rPr>
        <w:lastRenderedPageBreak/>
        <w:t>AI tools are permitted and encouraged</w:t>
      </w:r>
      <w:r>
        <w:t xml:space="preserve">, but you must </w:t>
      </w:r>
      <w:r w:rsidR="00B65534">
        <w:rPr>
          <w:b/>
          <w:bCs/>
        </w:rPr>
        <w:t>be able to defend</w:t>
      </w:r>
      <w:r>
        <w:rPr>
          <w:b/>
          <w:bCs/>
        </w:rPr>
        <w:t xml:space="preserve"> how and why</w:t>
      </w:r>
      <w:r>
        <w:t xml:space="preserve"> you used them, consistent with the course policy. Treat AI as a member of your team whose work you are responsible for verifying.</w:t>
      </w:r>
    </w:p>
    <w:p w14:paraId="7FEA9217" w14:textId="77777777" w:rsidR="001D4366" w:rsidRDefault="00000000">
      <w:pPr>
        <w:pStyle w:val="BodyUF"/>
        <w:numPr>
          <w:ilvl w:val="0"/>
          <w:numId w:val="2"/>
        </w:numPr>
      </w:pPr>
      <w:r>
        <w:t>Bring the professionalism of a real client engagement to every check-in and to the final pitch.</w:t>
      </w:r>
    </w:p>
    <w:p w14:paraId="64F37404" w14:textId="77777777" w:rsidR="001D4366" w:rsidRDefault="00000000">
      <w:pPr>
        <w:pStyle w:val="Heading1UF"/>
      </w:pPr>
      <w:r>
        <w:t>A few ground rules on the recommendation</w:t>
      </w:r>
    </w:p>
    <w:p w14:paraId="6AB69A70" w14:textId="77777777" w:rsidR="001D4366" w:rsidRDefault="00000000">
      <w:pPr>
        <w:pStyle w:val="BodyUF"/>
        <w:numPr>
          <w:ilvl w:val="0"/>
          <w:numId w:val="2"/>
        </w:numPr>
      </w:pPr>
      <w:r>
        <w:rPr>
          <w:b/>
          <w:bCs/>
        </w:rPr>
        <w:t>Be specific.</w:t>
      </w:r>
      <w:r>
        <w:t xml:space="preserve"> “Invest in growth” is not a recommendation. “Do X, targeting Y, funded by Z, over N months” is.</w:t>
      </w:r>
    </w:p>
    <w:p w14:paraId="7A4FA47C" w14:textId="77777777" w:rsidR="001D4366" w:rsidRDefault="00000000">
      <w:pPr>
        <w:pStyle w:val="BodyUF"/>
        <w:numPr>
          <w:ilvl w:val="0"/>
          <w:numId w:val="2"/>
        </w:numPr>
      </w:pPr>
      <w:r>
        <w:rPr>
          <w:b/>
          <w:bCs/>
        </w:rPr>
        <w:t>Own the trade-offs.</w:t>
      </w:r>
      <w:r>
        <w:t xml:space="preserve"> Every real strategic move </w:t>
      </w:r>
      <w:proofErr w:type="gramStart"/>
      <w:r>
        <w:t>costs</w:t>
      </w:r>
      <w:proofErr w:type="gramEnd"/>
      <w:r>
        <w:t xml:space="preserve"> something or closes off something else. Name it.</w:t>
      </w:r>
    </w:p>
    <w:p w14:paraId="5C66152B" w14:textId="7438FB3F" w:rsidR="001D4366" w:rsidRDefault="00B65534">
      <w:pPr>
        <w:pStyle w:val="BodyUF"/>
        <w:numPr>
          <w:ilvl w:val="0"/>
          <w:numId w:val="2"/>
        </w:numPr>
      </w:pPr>
      <w:r>
        <w:rPr>
          <w:b/>
          <w:bCs/>
        </w:rPr>
        <w:t xml:space="preserve">Do </w:t>
      </w:r>
      <w:proofErr w:type="gramStart"/>
      <w:r>
        <w:rPr>
          <w:b/>
          <w:bCs/>
        </w:rPr>
        <w:t xml:space="preserve">not  </w:t>
      </w:r>
      <w:r w:rsidR="00000000">
        <w:rPr>
          <w:b/>
          <w:bCs/>
        </w:rPr>
        <w:t>Anchor</w:t>
      </w:r>
      <w:proofErr w:type="gramEnd"/>
      <w:r w:rsidR="00000000">
        <w:rPr>
          <w:b/>
          <w:bCs/>
        </w:rPr>
        <w:t xml:space="preserve"> to the facts as of end of Q1 2026.</w:t>
      </w:r>
      <w:r w:rsidR="00000000">
        <w:t xml:space="preserve"> </w:t>
      </w:r>
      <w:r w:rsidRPr="00B65534">
        <w:t>You may reference later public developments for additional context, but they must be documented, publicly available facts from reputable sources.</w:t>
      </w:r>
    </w:p>
    <w:p w14:paraId="5346F0A8" w14:textId="77777777" w:rsidR="001D4366" w:rsidRDefault="00000000">
      <w:pPr>
        <w:pStyle w:val="BodyUF"/>
      </w:pPr>
      <w:r>
        <w:rPr>
          <w:i/>
          <w:iCs/>
        </w:rPr>
        <w:t>Good luck. The client is waiting.</w:t>
      </w:r>
    </w:p>
    <w:p w14:paraId="638B354C" w14:textId="77777777" w:rsidR="001D4366" w:rsidRDefault="001D4366">
      <w:pPr>
        <w:pBdr>
          <w:bottom w:val="single" w:sz="6" w:space="1" w:color="000000"/>
        </w:pBdr>
        <w:spacing w:before="200" w:after="200"/>
      </w:pPr>
    </w:p>
    <w:p w14:paraId="6E887D66" w14:textId="5EC43B9F" w:rsidR="001D4366" w:rsidRDefault="00000000">
      <w:pPr>
        <w:pStyle w:val="FooterUF"/>
      </w:pPr>
      <w:r>
        <w:t xml:space="preserve">Figures drawn from the client's public Q1 2026 disclosures and contemporaneous reporting; </w:t>
      </w:r>
    </w:p>
    <w:sectPr w:rsidR="001D43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D3EBD8" w14:textId="77777777" w:rsidR="00945E46" w:rsidRDefault="00945E46">
      <w:pPr>
        <w:spacing w:after="0" w:line="240" w:lineRule="auto"/>
      </w:pPr>
      <w:r>
        <w:separator/>
      </w:r>
    </w:p>
  </w:endnote>
  <w:endnote w:type="continuationSeparator" w:id="0">
    <w:p w14:paraId="3D33F24D" w14:textId="77777777" w:rsidR="00945E46" w:rsidRDefault="0094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7AF1B" w14:textId="2D2128F7" w:rsidR="001D4366" w:rsidRDefault="00000000">
    <w:pPr>
      <w:jc w:val="center"/>
    </w:pPr>
    <w:r>
      <w:t xml:space="preserve">Page </w:t>
    </w:r>
    <w:r>
      <w:fldChar w:fldCharType="begin"/>
    </w:r>
    <w:r>
      <w:instrText>PAGE</w:instrText>
    </w:r>
    <w:r>
      <w:fldChar w:fldCharType="separate"/>
    </w:r>
    <w:r w:rsidR="00B65534">
      <w:rPr>
        <w:noProof/>
      </w:rPr>
      <w:t>1</w:t>
    </w:r>
    <w:r>
      <w:fldChar w:fldCharType="end"/>
    </w:r>
    <w:r>
      <w:t xml:space="preserve">  |  </w:t>
    </w:r>
    <w:r w:rsidR="00B65534">
      <w:t>CHTR Team Case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AE441" w14:textId="77777777" w:rsidR="00945E46" w:rsidRDefault="00945E46">
      <w:pPr>
        <w:spacing w:after="0" w:line="240" w:lineRule="auto"/>
      </w:pPr>
      <w:r>
        <w:separator/>
      </w:r>
    </w:p>
  </w:footnote>
  <w:footnote w:type="continuationSeparator" w:id="0">
    <w:p w14:paraId="15A88D50" w14:textId="77777777" w:rsidR="00945E46" w:rsidRDefault="00945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F72EB" w14:textId="1FB91C19" w:rsidR="001D4366" w:rsidRDefault="00000000">
    <w:pPr>
      <w:pBdr>
        <w:bottom w:val="single" w:sz="6" w:space="4" w:color="0021A5"/>
      </w:pBdr>
      <w:jc w:val="right"/>
    </w:pPr>
    <w:r>
      <w:rPr>
        <w:caps/>
        <w:color w:val="404040"/>
        <w:sz w:val="16"/>
        <w:szCs w:val="16"/>
      </w:rPr>
      <w:t>FOUNDATIONS OF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319F3"/>
    <w:multiLevelType w:val="hybridMultilevel"/>
    <w:tmpl w:val="47921AB8"/>
    <w:lvl w:ilvl="0" w:tplc="4E3A8B7E">
      <w:start w:val="1"/>
      <w:numFmt w:val="bullet"/>
      <w:lvlText w:val="●"/>
      <w:lvlJc w:val="left"/>
      <w:pPr>
        <w:ind w:left="720" w:hanging="360"/>
      </w:pPr>
    </w:lvl>
    <w:lvl w:ilvl="1" w:tplc="F46C8854">
      <w:start w:val="1"/>
      <w:numFmt w:val="bullet"/>
      <w:lvlText w:val="○"/>
      <w:lvlJc w:val="left"/>
      <w:pPr>
        <w:ind w:left="1440" w:hanging="360"/>
      </w:pPr>
    </w:lvl>
    <w:lvl w:ilvl="2" w:tplc="5FD25E72">
      <w:start w:val="1"/>
      <w:numFmt w:val="bullet"/>
      <w:lvlText w:val="■"/>
      <w:lvlJc w:val="left"/>
      <w:pPr>
        <w:ind w:left="2160" w:hanging="360"/>
      </w:pPr>
    </w:lvl>
    <w:lvl w:ilvl="3" w:tplc="D8B4225C">
      <w:start w:val="1"/>
      <w:numFmt w:val="bullet"/>
      <w:lvlText w:val="●"/>
      <w:lvlJc w:val="left"/>
      <w:pPr>
        <w:ind w:left="2880" w:hanging="360"/>
      </w:pPr>
    </w:lvl>
    <w:lvl w:ilvl="4" w:tplc="653E57AA">
      <w:start w:val="1"/>
      <w:numFmt w:val="bullet"/>
      <w:lvlText w:val="○"/>
      <w:lvlJc w:val="left"/>
      <w:pPr>
        <w:ind w:left="3600" w:hanging="360"/>
      </w:pPr>
    </w:lvl>
    <w:lvl w:ilvl="5" w:tplc="857A1FD2">
      <w:start w:val="1"/>
      <w:numFmt w:val="bullet"/>
      <w:lvlText w:val="■"/>
      <w:lvlJc w:val="left"/>
      <w:pPr>
        <w:ind w:left="4320" w:hanging="360"/>
      </w:pPr>
    </w:lvl>
    <w:lvl w:ilvl="6" w:tplc="10F29B58">
      <w:start w:val="1"/>
      <w:numFmt w:val="bullet"/>
      <w:lvlText w:val="●"/>
      <w:lvlJc w:val="left"/>
      <w:pPr>
        <w:ind w:left="5040" w:hanging="360"/>
      </w:pPr>
    </w:lvl>
    <w:lvl w:ilvl="7" w:tplc="00E23482">
      <w:start w:val="1"/>
      <w:numFmt w:val="bullet"/>
      <w:lvlText w:val="●"/>
      <w:lvlJc w:val="left"/>
      <w:pPr>
        <w:ind w:left="5760" w:hanging="360"/>
      </w:pPr>
    </w:lvl>
    <w:lvl w:ilvl="8" w:tplc="E7FC624A">
      <w:start w:val="1"/>
      <w:numFmt w:val="bullet"/>
      <w:lvlText w:val="●"/>
      <w:lvlJc w:val="left"/>
      <w:pPr>
        <w:ind w:left="6480" w:hanging="360"/>
      </w:pPr>
    </w:lvl>
  </w:abstractNum>
  <w:abstractNum w:abstractNumId="1" w15:restartNumberingAfterBreak="0">
    <w:nsid w:val="29AE3BCE"/>
    <w:multiLevelType w:val="hybridMultilevel"/>
    <w:tmpl w:val="0DDCF2F8"/>
    <w:lvl w:ilvl="0" w:tplc="B0ECD0F0">
      <w:start w:val="1"/>
      <w:numFmt w:val="decimal"/>
      <w:lvlText w:val="%1."/>
      <w:lvlJc w:val="left"/>
      <w:pPr>
        <w:ind w:left="431" w:hanging="431"/>
      </w:pPr>
      <w:rPr>
        <w:rFonts w:ascii="Calibri" w:eastAsia="Calibri" w:hAnsi="Calibri" w:cs="Calibri"/>
        <w:b/>
        <w:bCs/>
        <w:color w:val="0021A5"/>
      </w:rPr>
    </w:lvl>
    <w:lvl w:ilvl="1" w:tplc="14D2091A">
      <w:numFmt w:val="decimal"/>
      <w:lvlText w:val=""/>
      <w:lvlJc w:val="left"/>
    </w:lvl>
    <w:lvl w:ilvl="2" w:tplc="6E007FDA">
      <w:numFmt w:val="decimal"/>
      <w:lvlText w:val=""/>
      <w:lvlJc w:val="left"/>
    </w:lvl>
    <w:lvl w:ilvl="3" w:tplc="72C2D5B8">
      <w:numFmt w:val="decimal"/>
      <w:lvlText w:val=""/>
      <w:lvlJc w:val="left"/>
    </w:lvl>
    <w:lvl w:ilvl="4" w:tplc="A4A6FCEA">
      <w:numFmt w:val="decimal"/>
      <w:lvlText w:val=""/>
      <w:lvlJc w:val="left"/>
    </w:lvl>
    <w:lvl w:ilvl="5" w:tplc="51A238FA">
      <w:numFmt w:val="decimal"/>
      <w:lvlText w:val=""/>
      <w:lvlJc w:val="left"/>
    </w:lvl>
    <w:lvl w:ilvl="6" w:tplc="28ACB3D6">
      <w:numFmt w:val="decimal"/>
      <w:lvlText w:val=""/>
      <w:lvlJc w:val="left"/>
    </w:lvl>
    <w:lvl w:ilvl="7" w:tplc="B04AB7CE">
      <w:numFmt w:val="decimal"/>
      <w:lvlText w:val=""/>
      <w:lvlJc w:val="left"/>
    </w:lvl>
    <w:lvl w:ilvl="8" w:tplc="E708A31E">
      <w:numFmt w:val="decimal"/>
      <w:lvlText w:val=""/>
      <w:lvlJc w:val="left"/>
    </w:lvl>
  </w:abstractNum>
  <w:abstractNum w:abstractNumId="2" w15:restartNumberingAfterBreak="0">
    <w:nsid w:val="388A421D"/>
    <w:multiLevelType w:val="hybridMultilevel"/>
    <w:tmpl w:val="2EB4FFD2"/>
    <w:lvl w:ilvl="0" w:tplc="A238A966">
      <w:start w:val="1"/>
      <w:numFmt w:val="decimal"/>
      <w:lvlText w:val="%1."/>
      <w:lvlJc w:val="left"/>
      <w:pPr>
        <w:ind w:left="431" w:hanging="431"/>
      </w:pPr>
      <w:rPr>
        <w:rFonts w:ascii="Calibri" w:eastAsia="Calibri" w:hAnsi="Calibri" w:cs="Calibri"/>
        <w:b/>
        <w:bCs/>
        <w:color w:val="0021A5"/>
      </w:rPr>
    </w:lvl>
    <w:lvl w:ilvl="1" w:tplc="4F7CB02C">
      <w:numFmt w:val="decimal"/>
      <w:lvlText w:val=""/>
      <w:lvlJc w:val="left"/>
    </w:lvl>
    <w:lvl w:ilvl="2" w:tplc="3BD0E2CE">
      <w:numFmt w:val="decimal"/>
      <w:lvlText w:val=""/>
      <w:lvlJc w:val="left"/>
    </w:lvl>
    <w:lvl w:ilvl="3" w:tplc="995857BE">
      <w:numFmt w:val="decimal"/>
      <w:lvlText w:val=""/>
      <w:lvlJc w:val="left"/>
    </w:lvl>
    <w:lvl w:ilvl="4" w:tplc="8B189278">
      <w:numFmt w:val="decimal"/>
      <w:lvlText w:val=""/>
      <w:lvlJc w:val="left"/>
    </w:lvl>
    <w:lvl w:ilvl="5" w:tplc="7A547588">
      <w:numFmt w:val="decimal"/>
      <w:lvlText w:val=""/>
      <w:lvlJc w:val="left"/>
    </w:lvl>
    <w:lvl w:ilvl="6" w:tplc="76BA30B2">
      <w:numFmt w:val="decimal"/>
      <w:lvlText w:val=""/>
      <w:lvlJc w:val="left"/>
    </w:lvl>
    <w:lvl w:ilvl="7" w:tplc="6E80A682">
      <w:numFmt w:val="decimal"/>
      <w:lvlText w:val=""/>
      <w:lvlJc w:val="left"/>
    </w:lvl>
    <w:lvl w:ilvl="8" w:tplc="4BCE83A6">
      <w:numFmt w:val="decimal"/>
      <w:lvlText w:val=""/>
      <w:lvlJc w:val="left"/>
    </w:lvl>
  </w:abstractNum>
  <w:abstractNum w:abstractNumId="3" w15:restartNumberingAfterBreak="0">
    <w:nsid w:val="51BE3E8A"/>
    <w:multiLevelType w:val="hybridMultilevel"/>
    <w:tmpl w:val="EEDE6E9C"/>
    <w:lvl w:ilvl="0" w:tplc="BCC8BDC0">
      <w:start w:val="1"/>
      <w:numFmt w:val="decimal"/>
      <w:lvlText w:val="%1."/>
      <w:lvlJc w:val="left"/>
      <w:pPr>
        <w:ind w:left="431" w:hanging="431"/>
      </w:pPr>
      <w:rPr>
        <w:rFonts w:ascii="Calibri" w:eastAsia="Calibri" w:hAnsi="Calibri" w:cs="Calibri"/>
        <w:b/>
        <w:bCs/>
        <w:color w:val="0021A5"/>
      </w:rPr>
    </w:lvl>
    <w:lvl w:ilvl="1" w:tplc="FA5ADD5E">
      <w:numFmt w:val="decimal"/>
      <w:lvlText w:val=""/>
      <w:lvlJc w:val="left"/>
    </w:lvl>
    <w:lvl w:ilvl="2" w:tplc="FB186474">
      <w:numFmt w:val="decimal"/>
      <w:lvlText w:val=""/>
      <w:lvlJc w:val="left"/>
    </w:lvl>
    <w:lvl w:ilvl="3" w:tplc="3760CF3C">
      <w:numFmt w:val="decimal"/>
      <w:lvlText w:val=""/>
      <w:lvlJc w:val="left"/>
    </w:lvl>
    <w:lvl w:ilvl="4" w:tplc="BDCCD96C">
      <w:numFmt w:val="decimal"/>
      <w:lvlText w:val=""/>
      <w:lvlJc w:val="left"/>
    </w:lvl>
    <w:lvl w:ilvl="5" w:tplc="AF247F66">
      <w:numFmt w:val="decimal"/>
      <w:lvlText w:val=""/>
      <w:lvlJc w:val="left"/>
    </w:lvl>
    <w:lvl w:ilvl="6" w:tplc="D652C386">
      <w:numFmt w:val="decimal"/>
      <w:lvlText w:val=""/>
      <w:lvlJc w:val="left"/>
    </w:lvl>
    <w:lvl w:ilvl="7" w:tplc="95B01F0E">
      <w:numFmt w:val="decimal"/>
      <w:lvlText w:val=""/>
      <w:lvlJc w:val="left"/>
    </w:lvl>
    <w:lvl w:ilvl="8" w:tplc="B15CC9F2">
      <w:numFmt w:val="decimal"/>
      <w:lvlText w:val=""/>
      <w:lvlJc w:val="left"/>
    </w:lvl>
  </w:abstractNum>
  <w:abstractNum w:abstractNumId="4" w15:restartNumberingAfterBreak="0">
    <w:nsid w:val="574E0D2E"/>
    <w:multiLevelType w:val="hybridMultilevel"/>
    <w:tmpl w:val="B3206126"/>
    <w:lvl w:ilvl="0" w:tplc="46BE4FE2">
      <w:start w:val="1"/>
      <w:numFmt w:val="decimal"/>
      <w:lvlText w:val="%1."/>
      <w:lvlJc w:val="left"/>
      <w:pPr>
        <w:ind w:left="431" w:hanging="431"/>
      </w:pPr>
      <w:rPr>
        <w:rFonts w:ascii="Calibri" w:eastAsia="Calibri" w:hAnsi="Calibri" w:cs="Calibri"/>
        <w:b/>
        <w:bCs/>
        <w:color w:val="0021A5"/>
      </w:rPr>
    </w:lvl>
    <w:lvl w:ilvl="1" w:tplc="0EF40968">
      <w:numFmt w:val="decimal"/>
      <w:lvlText w:val=""/>
      <w:lvlJc w:val="left"/>
    </w:lvl>
    <w:lvl w:ilvl="2" w:tplc="3C641124">
      <w:numFmt w:val="decimal"/>
      <w:lvlText w:val=""/>
      <w:lvlJc w:val="left"/>
    </w:lvl>
    <w:lvl w:ilvl="3" w:tplc="E4DEA1E2">
      <w:numFmt w:val="decimal"/>
      <w:lvlText w:val=""/>
      <w:lvlJc w:val="left"/>
    </w:lvl>
    <w:lvl w:ilvl="4" w:tplc="D550FEC0">
      <w:numFmt w:val="decimal"/>
      <w:lvlText w:val=""/>
      <w:lvlJc w:val="left"/>
    </w:lvl>
    <w:lvl w:ilvl="5" w:tplc="C72C77CC">
      <w:numFmt w:val="decimal"/>
      <w:lvlText w:val=""/>
      <w:lvlJc w:val="left"/>
    </w:lvl>
    <w:lvl w:ilvl="6" w:tplc="46244B9C">
      <w:numFmt w:val="decimal"/>
      <w:lvlText w:val=""/>
      <w:lvlJc w:val="left"/>
    </w:lvl>
    <w:lvl w:ilvl="7" w:tplc="2D5A1F54">
      <w:numFmt w:val="decimal"/>
      <w:lvlText w:val=""/>
      <w:lvlJc w:val="left"/>
    </w:lvl>
    <w:lvl w:ilvl="8" w:tplc="1A6E67AC">
      <w:numFmt w:val="decimal"/>
      <w:lvlText w:val=""/>
      <w:lvlJc w:val="left"/>
    </w:lvl>
  </w:abstractNum>
  <w:abstractNum w:abstractNumId="5" w15:restartNumberingAfterBreak="0">
    <w:nsid w:val="5F0D3A4D"/>
    <w:multiLevelType w:val="hybridMultilevel"/>
    <w:tmpl w:val="AC802F5E"/>
    <w:lvl w:ilvl="0" w:tplc="713A5BA2">
      <w:start w:val="1"/>
      <w:numFmt w:val="decimal"/>
      <w:lvlText w:val="%1."/>
      <w:lvlJc w:val="left"/>
      <w:pPr>
        <w:ind w:left="431" w:hanging="431"/>
      </w:pPr>
      <w:rPr>
        <w:rFonts w:ascii="Calibri" w:eastAsia="Calibri" w:hAnsi="Calibri" w:cs="Calibri"/>
        <w:b/>
        <w:bCs/>
        <w:color w:val="0021A5"/>
      </w:rPr>
    </w:lvl>
    <w:lvl w:ilvl="1" w:tplc="B3DC6D58">
      <w:numFmt w:val="decimal"/>
      <w:lvlText w:val=""/>
      <w:lvlJc w:val="left"/>
    </w:lvl>
    <w:lvl w:ilvl="2" w:tplc="2280D10E">
      <w:numFmt w:val="decimal"/>
      <w:lvlText w:val=""/>
      <w:lvlJc w:val="left"/>
    </w:lvl>
    <w:lvl w:ilvl="3" w:tplc="8D6CE044">
      <w:numFmt w:val="decimal"/>
      <w:lvlText w:val=""/>
      <w:lvlJc w:val="left"/>
    </w:lvl>
    <w:lvl w:ilvl="4" w:tplc="25324704">
      <w:numFmt w:val="decimal"/>
      <w:lvlText w:val=""/>
      <w:lvlJc w:val="left"/>
    </w:lvl>
    <w:lvl w:ilvl="5" w:tplc="F11EBDF2">
      <w:numFmt w:val="decimal"/>
      <w:lvlText w:val=""/>
      <w:lvlJc w:val="left"/>
    </w:lvl>
    <w:lvl w:ilvl="6" w:tplc="A33EF5FA">
      <w:numFmt w:val="decimal"/>
      <w:lvlText w:val=""/>
      <w:lvlJc w:val="left"/>
    </w:lvl>
    <w:lvl w:ilvl="7" w:tplc="4370B248">
      <w:numFmt w:val="decimal"/>
      <w:lvlText w:val=""/>
      <w:lvlJc w:val="left"/>
    </w:lvl>
    <w:lvl w:ilvl="8" w:tplc="2B7455C6">
      <w:numFmt w:val="decimal"/>
      <w:lvlText w:val=""/>
      <w:lvlJc w:val="left"/>
    </w:lvl>
  </w:abstractNum>
  <w:abstractNum w:abstractNumId="6" w15:restartNumberingAfterBreak="0">
    <w:nsid w:val="6B5914BF"/>
    <w:multiLevelType w:val="hybridMultilevel"/>
    <w:tmpl w:val="1F741046"/>
    <w:lvl w:ilvl="0" w:tplc="9028C97C">
      <w:start w:val="1"/>
      <w:numFmt w:val="bullet"/>
      <w:lvlText w:val="▪"/>
      <w:lvlJc w:val="left"/>
      <w:pPr>
        <w:ind w:left="403" w:hanging="259"/>
      </w:pPr>
      <w:rPr>
        <w:rFonts w:ascii="Calibri" w:eastAsia="Calibri" w:hAnsi="Calibri" w:cs="Calibri"/>
        <w:color w:val="000000"/>
      </w:rPr>
    </w:lvl>
    <w:lvl w:ilvl="1" w:tplc="4B50C072">
      <w:start w:val="1"/>
      <w:numFmt w:val="bullet"/>
      <w:lvlText w:val="–"/>
      <w:lvlJc w:val="left"/>
      <w:pPr>
        <w:ind w:left="792" w:hanging="259"/>
      </w:pPr>
      <w:rPr>
        <w:rFonts w:ascii="Calibri" w:eastAsia="Calibri" w:hAnsi="Calibri" w:cs="Calibri"/>
        <w:color w:val="0021A5"/>
      </w:rPr>
    </w:lvl>
    <w:lvl w:ilvl="2" w:tplc="5AF836D2">
      <w:numFmt w:val="decimal"/>
      <w:lvlText w:val=""/>
      <w:lvlJc w:val="left"/>
    </w:lvl>
    <w:lvl w:ilvl="3" w:tplc="7F86B0A2">
      <w:numFmt w:val="decimal"/>
      <w:lvlText w:val=""/>
      <w:lvlJc w:val="left"/>
    </w:lvl>
    <w:lvl w:ilvl="4" w:tplc="DDB0475C">
      <w:numFmt w:val="decimal"/>
      <w:lvlText w:val=""/>
      <w:lvlJc w:val="left"/>
    </w:lvl>
    <w:lvl w:ilvl="5" w:tplc="0FDA649E">
      <w:numFmt w:val="decimal"/>
      <w:lvlText w:val=""/>
      <w:lvlJc w:val="left"/>
    </w:lvl>
    <w:lvl w:ilvl="6" w:tplc="98684D0A">
      <w:numFmt w:val="decimal"/>
      <w:lvlText w:val=""/>
      <w:lvlJc w:val="left"/>
    </w:lvl>
    <w:lvl w:ilvl="7" w:tplc="F93C2302">
      <w:numFmt w:val="decimal"/>
      <w:lvlText w:val=""/>
      <w:lvlJc w:val="left"/>
    </w:lvl>
    <w:lvl w:ilvl="8" w:tplc="75407BF0">
      <w:numFmt w:val="decimal"/>
      <w:lvlText w:val=""/>
      <w:lvlJc w:val="left"/>
    </w:lvl>
  </w:abstractNum>
  <w:num w:numId="1" w16cid:durableId="900215568">
    <w:abstractNumId w:val="0"/>
    <w:lvlOverride w:ilvl="0">
      <w:startOverride w:val="1"/>
    </w:lvlOverride>
  </w:num>
  <w:num w:numId="2" w16cid:durableId="311255566">
    <w:abstractNumId w:val="6"/>
    <w:lvlOverride w:ilvl="0">
      <w:startOverride w:val="1"/>
    </w:lvlOverride>
  </w:num>
  <w:num w:numId="3" w16cid:durableId="445194802">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66"/>
    <w:rsid w:val="001D4366"/>
    <w:rsid w:val="00865CF5"/>
    <w:rsid w:val="00945E46"/>
    <w:rsid w:val="00B6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23C5B"/>
  <w15:docId w15:val="{2ACF914B-FF14-6A4F-94F4-CC202344F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UF">
    <w:name w:val="Title UF"/>
    <w:qFormat/>
    <w:pPr>
      <w:pBdr>
        <w:bottom w:val="single" w:sz="18" w:space="8" w:color="000000"/>
      </w:pBdr>
      <w:spacing w:after="120"/>
      <w:outlineLvl w:val="0"/>
    </w:pPr>
    <w:rPr>
      <w:b/>
      <w:bCs/>
      <w:color w:val="0021A5"/>
      <w:sz w:val="52"/>
      <w:szCs w:val="52"/>
    </w:rPr>
  </w:style>
  <w:style w:type="paragraph" w:customStyle="1" w:styleId="SubtitleUF">
    <w:name w:val="Subtitle UF"/>
    <w:qFormat/>
    <w:pPr>
      <w:spacing w:before="120" w:after="320"/>
    </w:pPr>
    <w:rPr>
      <w:b/>
      <w:bCs/>
      <w:i/>
      <w:iCs/>
      <w:color w:val="000000"/>
      <w:sz w:val="30"/>
      <w:szCs w:val="30"/>
    </w:rPr>
  </w:style>
  <w:style w:type="paragraph" w:customStyle="1" w:styleId="Heading1UF">
    <w:name w:val="Heading 1 UF"/>
    <w:qFormat/>
    <w:pPr>
      <w:pBdr>
        <w:bottom w:val="single" w:sz="8" w:space="4" w:color="000000"/>
      </w:pBdr>
      <w:spacing w:before="340"/>
      <w:outlineLvl w:val="1"/>
    </w:pPr>
    <w:rPr>
      <w:b/>
      <w:bCs/>
      <w:color w:val="0021A5"/>
      <w:sz w:val="28"/>
      <w:szCs w:val="28"/>
    </w:rPr>
  </w:style>
  <w:style w:type="paragraph" w:customStyle="1" w:styleId="Heading2UF">
    <w:name w:val="Heading 2 UF"/>
    <w:qFormat/>
    <w:pPr>
      <w:spacing w:before="260" w:after="120"/>
      <w:outlineLvl w:val="2"/>
    </w:pPr>
    <w:rPr>
      <w:b/>
      <w:bCs/>
      <w:color w:val="CD3912"/>
      <w:sz w:val="24"/>
      <w:szCs w:val="24"/>
    </w:rPr>
  </w:style>
  <w:style w:type="paragraph" w:customStyle="1" w:styleId="BodyUF">
    <w:name w:val="Body UF"/>
    <w:qFormat/>
  </w:style>
  <w:style w:type="paragraph" w:customStyle="1" w:styleId="CalloutLabelUF">
    <w:name w:val="Callout Label UF"/>
    <w:qFormat/>
    <w:pPr>
      <w:spacing w:after="80"/>
    </w:pPr>
    <w:rPr>
      <w:b/>
      <w:bCs/>
      <w:caps/>
      <w:color w:val="0021A5"/>
    </w:rPr>
  </w:style>
  <w:style w:type="paragraph" w:customStyle="1" w:styleId="FooterUF">
    <w:name w:val="Footer UF"/>
    <w:rPr>
      <w:color w:val="404040"/>
      <w:sz w:val="18"/>
      <w:szCs w:val="18"/>
    </w:rPr>
  </w:style>
  <w:style w:type="paragraph" w:styleId="Header">
    <w:name w:val="header"/>
    <w:basedOn w:val="Normal"/>
    <w:link w:val="HeaderChar"/>
    <w:uiPriority w:val="99"/>
    <w:unhideWhenUsed/>
    <w:rsid w:val="00B65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534"/>
  </w:style>
  <w:style w:type="paragraph" w:styleId="Footer">
    <w:name w:val="footer"/>
    <w:basedOn w:val="Normal"/>
    <w:link w:val="FooterChar"/>
    <w:uiPriority w:val="99"/>
    <w:unhideWhenUsed/>
    <w:rsid w:val="00B65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1233</Words>
  <Characters>6387</Characters>
  <Application>Microsoft Office Word</Application>
  <DocSecurity>0</DocSecurity>
  <Lines>127</Lines>
  <Paragraphs>82</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Consulting — Course Document Template</dc:title>
  <dc:creator>Sean O'Donnell</dc:creator>
  <dc:description>Reusable Word template for Foundations of Consulting course documents. Black body text, Florida Blue and Florida Orange headings/accents.</dc:description>
  <cp:lastModifiedBy>Sean O'Donnell</cp:lastModifiedBy>
  <cp:revision>2</cp:revision>
  <dcterms:created xsi:type="dcterms:W3CDTF">2026-07-22T19:54:00Z</dcterms:created>
  <dcterms:modified xsi:type="dcterms:W3CDTF">2026-07-23T20:07:00Z</dcterms:modified>
</cp:coreProperties>
</file>