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961C0" w14:textId="77777777" w:rsidR="00A34B29" w:rsidRDefault="000E15DA">
      <w:pPr>
        <w:pStyle w:val="TitleUF"/>
      </w:pPr>
      <w:r>
        <w:t>Week 5, Session 1: Student Guide</w:t>
      </w:r>
    </w:p>
    <w:p w14:paraId="5F9961C1" w14:textId="77777777" w:rsidR="00A34B29" w:rsidRDefault="000E15DA">
      <w:pPr>
        <w:pStyle w:val="SubtitleUF"/>
      </w:pPr>
      <w:r>
        <w:t>The Last Mile: Why Analysis Fails Without Persuasion, and Chart Fundamentals</w:t>
      </w:r>
    </w:p>
    <w:p w14:paraId="5F9961C2" w14:textId="19975B69" w:rsidR="00A34B29" w:rsidRDefault="000E15DA">
      <w:pPr>
        <w:pStyle w:val="BodyUF"/>
      </w:pPr>
      <w:r>
        <w:t xml:space="preserve">Week 3 gave you framing and hypotheses. Week 4 gave you AI leverage plus the verification discipline. </w:t>
      </w:r>
      <w:r>
        <w:t xml:space="preserve">Tuesday was fundamentals: why communication is where analysis lives or dies, how to pick the right chart, and how to make it </w:t>
      </w:r>
      <w:proofErr w:type="gramStart"/>
      <w:r>
        <w:t>client-ready</w:t>
      </w:r>
      <w:proofErr w:type="gramEnd"/>
      <w:r>
        <w:t xml:space="preserve">. </w:t>
      </w:r>
    </w:p>
    <w:p w14:paraId="5F9961C3" w14:textId="77777777" w:rsidR="00A34B29" w:rsidRDefault="000E15DA">
      <w:pPr>
        <w:pStyle w:val="BodyUF"/>
      </w:pPr>
      <w:r>
        <w:t xml:space="preserve">The one-line thesis of the week: </w:t>
      </w:r>
      <w:r>
        <w:rPr>
          <w:b/>
          <w:bCs/>
        </w:rPr>
        <w:t>a chart in consulting is not a picture of data, it is an argument.</w:t>
      </w:r>
      <w:r>
        <w:t xml:space="preserve"> Everything in the session served that.</w:t>
      </w:r>
    </w:p>
    <w:p w14:paraId="5F9961C4" w14:textId="77777777" w:rsidR="00A34B29" w:rsidRDefault="000E15DA">
      <w:pPr>
        <w:pStyle w:val="Heading1UF"/>
      </w:pPr>
      <w:r>
        <w:t>What We Covered</w:t>
      </w:r>
    </w:p>
    <w:p w14:paraId="5F9961C5" w14:textId="77777777" w:rsidR="00A34B29" w:rsidRDefault="000E15DA">
      <w:pPr>
        <w:pStyle w:val="BodyUF"/>
        <w:numPr>
          <w:ilvl w:val="0"/>
          <w:numId w:val="2"/>
        </w:numPr>
      </w:pPr>
      <w:r>
        <w:t>A warm-up on how the same data can support very different visual impressions</w:t>
      </w:r>
    </w:p>
    <w:p w14:paraId="5F9961C6" w14:textId="77777777" w:rsidR="00A34B29" w:rsidRDefault="000E15DA">
      <w:pPr>
        <w:pStyle w:val="BodyUF"/>
        <w:numPr>
          <w:ilvl w:val="0"/>
          <w:numId w:val="2"/>
        </w:numPr>
      </w:pPr>
      <w:r>
        <w:t>The “last mile” problem, and what “client-ready” means</w:t>
      </w:r>
    </w:p>
    <w:p w14:paraId="5F9961C7" w14:textId="77777777" w:rsidR="00A34B29" w:rsidRDefault="000E15DA">
      <w:pPr>
        <w:pStyle w:val="BodyUF"/>
        <w:numPr>
          <w:ilvl w:val="0"/>
          <w:numId w:val="2"/>
        </w:numPr>
      </w:pPr>
      <w:r>
        <w:t>Chart-type selection, takeaway titles, and decluttering</w:t>
      </w:r>
    </w:p>
    <w:p w14:paraId="5F9961C8" w14:textId="77777777" w:rsidR="00A34B29" w:rsidRDefault="000E15DA">
      <w:pPr>
        <w:pStyle w:val="BodyUF"/>
        <w:numPr>
          <w:ilvl w:val="0"/>
          <w:numId w:val="2"/>
        </w:numPr>
      </w:pPr>
      <w:r>
        <w:t>Exercise A: a chart makeover</w:t>
      </w:r>
    </w:p>
    <w:p w14:paraId="5F9961C9" w14:textId="77777777" w:rsidR="00A34B29" w:rsidRDefault="000E15DA">
      <w:pPr>
        <w:pStyle w:val="BodyUF"/>
        <w:numPr>
          <w:ilvl w:val="0"/>
          <w:numId w:val="2"/>
        </w:numPr>
      </w:pPr>
      <w:r>
        <w:t>Exercise B: picking the chart and writing the headline</w:t>
      </w:r>
    </w:p>
    <w:p w14:paraId="5F9961CA" w14:textId="77777777" w:rsidR="00A34B29" w:rsidRDefault="000E15DA">
      <w:pPr>
        <w:pStyle w:val="BodyUF"/>
        <w:numPr>
          <w:ilvl w:val="0"/>
          <w:numId w:val="2"/>
        </w:numPr>
      </w:pPr>
      <w:r>
        <w:t>A preview of Thursday, including Check-in #2</w:t>
      </w:r>
    </w:p>
    <w:p w14:paraId="5F9961CB" w14:textId="77777777" w:rsidR="00A34B29" w:rsidRDefault="000E15DA">
      <w:pPr>
        <w:pStyle w:val="Heading1UF"/>
      </w:pPr>
      <w:r>
        <w:t>Warm-Up: Two Charts, Same Data, Different Conclusions</w:t>
      </w:r>
    </w:p>
    <w:p w14:paraId="5F9961CC" w14:textId="77777777" w:rsidR="00A34B29" w:rsidRDefault="000E15DA">
      <w:pPr>
        <w:pStyle w:val="BodyUF"/>
      </w:pPr>
      <w:r>
        <w:t>You saw two charts built from the same simple series (for example, a company’s quarterly revenue, roughly flat with mild decline), but designed differently. The question you were asked: which one would you put in front of a client, and what does your answer depend on?</w:t>
      </w:r>
    </w:p>
    <w:p w14:paraId="5F9961CD" w14:textId="4434612F" w:rsidR="00A34B29" w:rsidRDefault="000E15DA">
      <w:pPr>
        <w:pStyle w:val="BodyUF"/>
      </w:pPr>
      <w:r>
        <w:t xml:space="preserve">The real answer </w:t>
      </w:r>
      <w:r w:rsidR="00AB13EA">
        <w:t xml:space="preserve">was </w:t>
      </w:r>
      <w:r w:rsidR="00AB13EA" w:rsidRPr="00AB13EA">
        <w:rPr>
          <w:i/>
          <w:iCs/>
        </w:rPr>
        <w:t>neither</w:t>
      </w:r>
      <w:r>
        <w:t xml:space="preserve">. A truncated axis isn’t automatically dishonest (line charts don’t require a zero baseline the way bar charts do), but the visual impression must match the true magnitude of the </w:t>
      </w:r>
      <w:r>
        <w:lastRenderedPageBreak/>
        <w:t xml:space="preserve">effect. </w:t>
      </w:r>
      <w:r>
        <w:rPr>
          <w:b/>
          <w:bCs/>
        </w:rPr>
        <w:t>Every design choice in a chart is a claim.</w:t>
      </w:r>
      <w:r>
        <w:t xml:space="preserve"> Consultants make those claims deliberately and defensibly; amateurs make them by accident.</w:t>
      </w:r>
    </w:p>
    <w:p w14:paraId="5F9961CE" w14:textId="77777777" w:rsidR="00A34B29" w:rsidRDefault="000E15DA">
      <w:pPr>
        <w:pStyle w:val="Heading1UF"/>
      </w:pPr>
      <w:r>
        <w:t>The Last Mile, and What “Client-Ready” Means</w:t>
      </w:r>
    </w:p>
    <w:p w14:paraId="5F9961CF" w14:textId="77777777" w:rsidR="00A34B29" w:rsidRDefault="000E15DA">
      <w:pPr>
        <w:pStyle w:val="BodyUF"/>
      </w:pPr>
      <w:r>
        <w:t xml:space="preserve">Core source: </w:t>
      </w:r>
      <w:proofErr w:type="spellStart"/>
      <w:r>
        <w:t>Berinato</w:t>
      </w:r>
      <w:proofErr w:type="spellEnd"/>
      <w:r>
        <w:t xml:space="preserve"> (2019), “Data science and the art of persuasion,” </w:t>
      </w:r>
      <w:r>
        <w:rPr>
          <w:i/>
          <w:iCs/>
        </w:rPr>
        <w:t>HBR</w:t>
      </w:r>
      <w:r>
        <w:t>, January-February 2019.</w:t>
      </w:r>
    </w:p>
    <w:p w14:paraId="5F9961D0" w14:textId="77777777" w:rsidR="00A34B29" w:rsidRDefault="000E15DA">
      <w:pPr>
        <w:pStyle w:val="BodyUF"/>
      </w:pPr>
      <w:proofErr w:type="spellStart"/>
      <w:r>
        <w:rPr>
          <w:b/>
          <w:bCs/>
        </w:rPr>
        <w:t>Berinato’s</w:t>
      </w:r>
      <w:proofErr w:type="spellEnd"/>
      <w:r>
        <w:rPr>
          <w:b/>
          <w:bCs/>
        </w:rPr>
        <w:t xml:space="preserve"> core argument:</w:t>
      </w:r>
      <w:r>
        <w:t xml:space="preserve"> organizations have poured money into the first mile of data science, collecting and wrangling data and building analysis, and the work still fails to change decisions because it dies in the </w:t>
      </w:r>
      <w:r>
        <w:rPr>
          <w:b/>
          <w:bCs/>
        </w:rPr>
        <w:t>last mile: communication.</w:t>
      </w:r>
      <w:r>
        <w:t xml:space="preserve"> Analysis that decision-makers don’t understand, or don’t find persuasive, produces no decision, and analytically it may as well not exist. This isn’t a garnish problem. Communicating analysis is a distinct professional skill, involving design and storytelling talents that the people who did the analysis often don’t have.</w:t>
      </w:r>
    </w:p>
    <w:p w14:paraId="5F9961D2" w14:textId="77777777" w:rsidR="00A34B29" w:rsidRDefault="000E15DA">
      <w:pPr>
        <w:pStyle w:val="BodyUF"/>
      </w:pPr>
      <w:r>
        <w:rPr>
          <w:b/>
          <w:bCs/>
        </w:rPr>
        <w:t>What “client-ready” meant in this course:</w:t>
      </w:r>
    </w:p>
    <w:p w14:paraId="5F9961D3" w14:textId="77777777" w:rsidR="00A34B29" w:rsidRDefault="000E15DA">
      <w:pPr>
        <w:pStyle w:val="BodyUF"/>
        <w:numPr>
          <w:ilvl w:val="0"/>
          <w:numId w:val="2"/>
        </w:numPr>
      </w:pPr>
      <w:r>
        <w:rPr>
          <w:b/>
          <w:bCs/>
        </w:rPr>
        <w:t>One message per exhibit.</w:t>
      </w:r>
      <w:r>
        <w:t xml:space="preserve"> If a chart needs a paragraph to explain, it’s two charts or none.</w:t>
      </w:r>
    </w:p>
    <w:p w14:paraId="5F9961D4" w14:textId="77777777" w:rsidR="00A34B29" w:rsidRDefault="000E15DA">
      <w:pPr>
        <w:pStyle w:val="BodyUF"/>
        <w:numPr>
          <w:ilvl w:val="0"/>
          <w:numId w:val="2"/>
        </w:numPr>
      </w:pPr>
      <w:r>
        <w:rPr>
          <w:b/>
          <w:bCs/>
        </w:rPr>
        <w:t>A takeaway title.</w:t>
      </w:r>
      <w:r>
        <w:t xml:space="preserve"> The title states the conclusion (“Broadband losses accelerated in Q1”), not the topic (“Broadband subscribers, 2024-2026”). The audience should get the point from the title alone. This is the style used by McKinsey’s </w:t>
      </w:r>
      <w:r>
        <w:rPr>
          <w:i/>
          <w:iCs/>
        </w:rPr>
        <w:t>Week in Charts</w:t>
      </w:r>
      <w:r>
        <w:t>: you were encouraged to read just the headlines of a few current examples and notice how the chart becomes almost optional.</w:t>
      </w:r>
    </w:p>
    <w:p w14:paraId="5F9961D5" w14:textId="77777777" w:rsidR="00A34B29" w:rsidRDefault="000E15DA">
      <w:pPr>
        <w:pStyle w:val="BodyUF"/>
        <w:numPr>
          <w:ilvl w:val="0"/>
          <w:numId w:val="2"/>
        </w:numPr>
      </w:pPr>
      <w:r>
        <w:rPr>
          <w:b/>
          <w:bCs/>
        </w:rPr>
        <w:t>Accurate and defensible.</w:t>
      </w:r>
      <w:r>
        <w:t xml:space="preserve"> The visual impression matches the magnitude of the effect, the source is cited, and every number can survive the question “where did that come from?” (the Week 4 verification discipline, applied to exhibits).</w:t>
      </w:r>
    </w:p>
    <w:p w14:paraId="5F9961D6" w14:textId="77777777" w:rsidR="00A34B29" w:rsidRDefault="000E15DA">
      <w:pPr>
        <w:pStyle w:val="BodyUF"/>
        <w:numPr>
          <w:ilvl w:val="0"/>
          <w:numId w:val="2"/>
        </w:numPr>
      </w:pPr>
      <w:r>
        <w:rPr>
          <w:b/>
          <w:bCs/>
        </w:rPr>
        <w:t>Clean.</w:t>
      </w:r>
      <w:r>
        <w:t xml:space="preserve"> No decoration that doesn’t carry information.</w:t>
      </w:r>
    </w:p>
    <w:p w14:paraId="5F9961D7" w14:textId="77777777" w:rsidR="00A34B29" w:rsidRDefault="000E15DA">
      <w:pPr>
        <w:pStyle w:val="Heading1UF"/>
      </w:pPr>
      <w:r>
        <w:t>Chart-Type Selection, Takeaway Titles, Decluttering</w:t>
      </w:r>
    </w:p>
    <w:p w14:paraId="5F9961D8" w14:textId="77777777" w:rsidR="00A34B29" w:rsidRDefault="000E15DA">
      <w:pPr>
        <w:pStyle w:val="BodyUF"/>
      </w:pPr>
      <w:r>
        <w:rPr>
          <w:b/>
          <w:bCs/>
        </w:rPr>
        <w:t>The principle: the message picks the chart, not the data.</w:t>
      </w:r>
      <w:r>
        <w:t xml:space="preserve"> The same data can support several messages, and each message has a natural visual form. The session stressed not asking “what chart can show all my columns,” but instead “what is the one sentence I am trying to prove, and what comparison does the reader need to see to believe it?”</w:t>
      </w:r>
    </w:p>
    <w:p w14:paraId="5F9961D9" w14:textId="77777777" w:rsidR="00A34B29" w:rsidRDefault="000E15DA">
      <w:pPr>
        <w:pStyle w:val="BodyUF"/>
      </w:pPr>
      <w:r>
        <w:rPr>
          <w:b/>
          <w:bCs/>
        </w:rPr>
        <w:t>The chart-type cheat sheet we used:</w:t>
      </w:r>
    </w:p>
    <w:p w14:paraId="5F9961DA" w14:textId="77777777" w:rsidR="00A34B29" w:rsidRDefault="000E15DA">
      <w:pPr>
        <w:pStyle w:val="BodyUF"/>
        <w:numPr>
          <w:ilvl w:val="0"/>
          <w:numId w:val="2"/>
        </w:numPr>
      </w:pPr>
      <w:r>
        <w:rPr>
          <w:b/>
          <w:bCs/>
        </w:rPr>
        <w:lastRenderedPageBreak/>
        <w:t>Change over time:</w:t>
      </w:r>
      <w:r>
        <w:t xml:space="preserve"> line chart. Bars work for a few periods; lines win for trends.</w:t>
      </w:r>
    </w:p>
    <w:p w14:paraId="5F9961DB" w14:textId="77777777" w:rsidR="00A34B29" w:rsidRDefault="000E15DA">
      <w:pPr>
        <w:pStyle w:val="BodyUF"/>
        <w:numPr>
          <w:ilvl w:val="0"/>
          <w:numId w:val="2"/>
        </w:numPr>
      </w:pPr>
      <w:r>
        <w:rPr>
          <w:b/>
          <w:bCs/>
        </w:rPr>
        <w:t>Comparison across categories:</w:t>
      </w:r>
      <w:r>
        <w:t xml:space="preserve"> horizontal bar chart, sorted by value, not alphabetically. Sorting is analysis.</w:t>
      </w:r>
    </w:p>
    <w:p w14:paraId="5F9961DC" w14:textId="77777777" w:rsidR="00A34B29" w:rsidRDefault="000E15DA">
      <w:pPr>
        <w:pStyle w:val="BodyUF"/>
        <w:numPr>
          <w:ilvl w:val="0"/>
          <w:numId w:val="2"/>
        </w:numPr>
      </w:pPr>
      <w:r>
        <w:rPr>
          <w:b/>
          <w:bCs/>
        </w:rPr>
        <w:t>Part-to-whole:</w:t>
      </w:r>
      <w:r>
        <w:t xml:space="preserve"> stacked bar (or 100% stacked). Avoid pie charts for anything beyond two or three slices, and avoid 3D outright; humans misread angles and depth.</w:t>
      </w:r>
    </w:p>
    <w:p w14:paraId="5F9961DD" w14:textId="77777777" w:rsidR="00A34B29" w:rsidRDefault="000E15DA">
      <w:pPr>
        <w:pStyle w:val="BodyUF"/>
        <w:numPr>
          <w:ilvl w:val="0"/>
          <w:numId w:val="2"/>
        </w:numPr>
      </w:pPr>
      <w:r>
        <w:rPr>
          <w:b/>
          <w:bCs/>
        </w:rPr>
        <w:t>Relationship between two variables:</w:t>
      </w:r>
      <w:r>
        <w:t xml:space="preserve"> scatterplot.</w:t>
      </w:r>
    </w:p>
    <w:p w14:paraId="5F9961DE" w14:textId="77777777" w:rsidR="00A34B29" w:rsidRDefault="000E15DA">
      <w:pPr>
        <w:pStyle w:val="BodyUF"/>
        <w:numPr>
          <w:ilvl w:val="0"/>
          <w:numId w:val="2"/>
        </w:numPr>
      </w:pPr>
      <w:r>
        <w:rPr>
          <w:b/>
          <w:bCs/>
        </w:rPr>
        <w:t>A single powerful number:</w:t>
      </w:r>
      <w:r>
        <w:t xml:space="preserve"> just the number, large, with one line of context. Sometimes the best chart is no chart.</w:t>
      </w:r>
    </w:p>
    <w:p w14:paraId="5F9961DF" w14:textId="77777777" w:rsidR="00A34B29" w:rsidRDefault="000E15DA">
      <w:pPr>
        <w:pStyle w:val="BodyUF"/>
        <w:numPr>
          <w:ilvl w:val="0"/>
          <w:numId w:val="2"/>
        </w:numPr>
      </w:pPr>
      <w:r>
        <w:rPr>
          <w:b/>
          <w:bCs/>
        </w:rPr>
        <w:t>Two things changing at once (mix shift):</w:t>
      </w:r>
      <w:r>
        <w:t xml:space="preserve"> indexed lines or a </w:t>
      </w:r>
      <w:proofErr w:type="spellStart"/>
      <w:r>
        <w:t>slopegraph</w:t>
      </w:r>
      <w:proofErr w:type="spellEnd"/>
      <w:r>
        <w:t>; be very cautious with dual axes, which let the designer manufacture any story.</w:t>
      </w:r>
    </w:p>
    <w:p w14:paraId="5F9961E0" w14:textId="77777777" w:rsidR="00A34B29" w:rsidRDefault="000E15DA">
      <w:pPr>
        <w:pStyle w:val="BodyUF"/>
      </w:pPr>
      <w:r>
        <w:rPr>
          <w:b/>
          <w:bCs/>
        </w:rPr>
        <w:t>The takeaway title, as a discipline.</w:t>
      </w:r>
      <w:r>
        <w:t xml:space="preserve"> Formula: </w:t>
      </w:r>
      <w:r>
        <w:rPr>
          <w:b/>
          <w:bCs/>
        </w:rPr>
        <w:t>finding + direction + magnitude, in one sentence a CEO could repeat.</w:t>
      </w:r>
      <w:r>
        <w:t xml:space="preserve"> Weak: “Mobile lines, 2024-2026.” Strong: “Mobile has added 1.8M lines in a year, but at a fraction of broadband’s margin.” A deck of takeaway titles, read in sequence, should </w:t>
      </w:r>
      <w:r>
        <w:rPr>
          <w:i/>
          <w:iCs/>
        </w:rPr>
        <w:t>be</w:t>
      </w:r>
      <w:r>
        <w:t xml:space="preserve"> the storyline, the same pyramid-</w:t>
      </w:r>
      <w:proofErr w:type="gramStart"/>
      <w:r>
        <w:t>principle</w:t>
      </w:r>
      <w:proofErr w:type="gramEnd"/>
      <w:r>
        <w:t xml:space="preserve"> echo from Week 3. That is exactly how you were asked to build the Week 7 deck.</w:t>
      </w:r>
    </w:p>
    <w:p w14:paraId="5F9961E1" w14:textId="77777777" w:rsidR="00A34B29" w:rsidRDefault="000E15DA">
      <w:pPr>
        <w:pStyle w:val="BodyUF"/>
      </w:pPr>
      <w:r>
        <w:rPr>
          <w:b/>
          <w:bCs/>
        </w:rPr>
        <w:t>Declutter and focus:</w:t>
      </w:r>
    </w:p>
    <w:p w14:paraId="5F9961E2" w14:textId="77777777" w:rsidR="00A34B29" w:rsidRDefault="000E15DA">
      <w:pPr>
        <w:pStyle w:val="BodyUF"/>
        <w:numPr>
          <w:ilvl w:val="0"/>
          <w:numId w:val="2"/>
        </w:numPr>
      </w:pPr>
      <w:r>
        <w:rPr>
          <w:b/>
          <w:bCs/>
        </w:rPr>
        <w:t>Remove what carries no information:</w:t>
      </w:r>
      <w:r>
        <w:t xml:space="preserve"> borders, gridlines (or mute them to light gray), redundant legends, data markers on every point, decimal places nobody needs, all 3D.</w:t>
      </w:r>
    </w:p>
    <w:p w14:paraId="5F9961E3" w14:textId="77777777" w:rsidR="00A34B29" w:rsidRDefault="000E15DA">
      <w:pPr>
        <w:pStyle w:val="BodyUF"/>
        <w:numPr>
          <w:ilvl w:val="0"/>
          <w:numId w:val="2"/>
        </w:numPr>
      </w:pPr>
      <w:r>
        <w:rPr>
          <w:b/>
          <w:bCs/>
        </w:rPr>
        <w:t>Use color as a pointer, not decoration:</w:t>
      </w:r>
      <w:r>
        <w:t xml:space="preserve"> one accent color on the series or bar that carries the message, everything else gray. Color spent everywhere is color spent nowhere. This was the single highest-leverage makeover move.</w:t>
      </w:r>
    </w:p>
    <w:p w14:paraId="5F9961E4" w14:textId="77777777" w:rsidR="00A34B29" w:rsidRDefault="000E15DA">
      <w:pPr>
        <w:pStyle w:val="BodyUF"/>
        <w:numPr>
          <w:ilvl w:val="0"/>
          <w:numId w:val="2"/>
        </w:numPr>
      </w:pPr>
      <w:r>
        <w:rPr>
          <w:b/>
          <w:bCs/>
        </w:rPr>
        <w:t>Label directly</w:t>
      </w:r>
      <w:r>
        <w:t xml:space="preserve"> where possible (put the series name at the end of its line) instead of forcing a legend lookup.</w:t>
      </w:r>
    </w:p>
    <w:p w14:paraId="5F9961E5" w14:textId="77777777" w:rsidR="00A34B29" w:rsidRDefault="000E15DA">
      <w:pPr>
        <w:pStyle w:val="BodyUF"/>
        <w:numPr>
          <w:ilvl w:val="0"/>
          <w:numId w:val="2"/>
        </w:numPr>
      </w:pPr>
      <w:r>
        <w:rPr>
          <w:b/>
          <w:bCs/>
        </w:rPr>
        <w:t>Push detail to appendix.</w:t>
      </w:r>
      <w:r>
        <w:t xml:space="preserve"> The client-facing exhibit persuades; the backup proves. Both exist; they’re different artifacts.</w:t>
      </w:r>
    </w:p>
    <w:p w14:paraId="5F9961E6" w14:textId="77777777" w:rsidR="00A34B29" w:rsidRDefault="000E15DA">
      <w:pPr>
        <w:pStyle w:val="BodyUF"/>
      </w:pPr>
      <w:r>
        <w:t xml:space="preserve">We also noted that AI tools (including Excel’s built-ins) will happily generate charts, and everything from Week 4 applies. AI-generated charts default to clutter, mislabel axes, and occasionally plot the wrong </w:t>
      </w:r>
      <w:r>
        <w:lastRenderedPageBreak/>
        <w:t>series entirely. The checklist above doubled as the verification checklist for machine-made charts. You own the exhibit regardless of what produced it.</w:t>
      </w:r>
    </w:p>
    <w:p w14:paraId="5F9961E7" w14:textId="77777777" w:rsidR="00A34B29" w:rsidRDefault="000E15DA">
      <w:pPr>
        <w:pStyle w:val="Heading1UF"/>
      </w:pPr>
      <w:r>
        <w:t>Exercise A: The Chart Makeover</w:t>
      </w:r>
    </w:p>
    <w:p w14:paraId="5F9961E8" w14:textId="77777777" w:rsidR="00A34B29" w:rsidRDefault="000E15DA">
      <w:pPr>
        <w:pStyle w:val="BodyUF"/>
      </w:pPr>
      <w:r>
        <w:t>In groups of two or three, you received a cluttered “before” chart (real-looking business data, but with a topic title, 3D bars or a busy multi-series line, default gridlines, a legend, and no visible point). Each group produced a makeover:</w:t>
      </w:r>
    </w:p>
    <w:p w14:paraId="5F9961E9" w14:textId="77777777" w:rsidR="00A34B29" w:rsidRDefault="000E15DA">
      <w:pPr>
        <w:pStyle w:val="BodyUF"/>
        <w:tabs>
          <w:tab w:val="left" w:pos="431"/>
        </w:tabs>
        <w:ind w:left="431" w:hanging="431"/>
      </w:pPr>
      <w:r>
        <w:rPr>
          <w:b/>
          <w:bCs/>
          <w:color w:val="0021A5"/>
        </w:rPr>
        <w:t>1.</w:t>
      </w:r>
      <w:r>
        <w:tab/>
        <w:t xml:space="preserve">Decided the </w:t>
      </w:r>
      <w:r>
        <w:rPr>
          <w:b/>
          <w:bCs/>
        </w:rPr>
        <w:t>one message</w:t>
      </w:r>
      <w:r>
        <w:t xml:space="preserve"> the chart should prove (you may have had to choose among several the data could support; choosing is the job).</w:t>
      </w:r>
    </w:p>
    <w:p w14:paraId="5F9961EA" w14:textId="77777777" w:rsidR="00A34B29" w:rsidRDefault="000E15DA">
      <w:pPr>
        <w:pStyle w:val="BodyUF"/>
        <w:tabs>
          <w:tab w:val="left" w:pos="431"/>
        </w:tabs>
        <w:ind w:left="431" w:hanging="431"/>
      </w:pPr>
      <w:r>
        <w:rPr>
          <w:b/>
          <w:bCs/>
          <w:color w:val="0021A5"/>
        </w:rPr>
        <w:t>2.</w:t>
      </w:r>
      <w:r>
        <w:tab/>
        <w:t xml:space="preserve">Picked the </w:t>
      </w:r>
      <w:r>
        <w:rPr>
          <w:b/>
          <w:bCs/>
        </w:rPr>
        <w:t>chart type</w:t>
      </w:r>
      <w:r>
        <w:t xml:space="preserve"> that message wanted, using the cheat sheet.</w:t>
      </w:r>
    </w:p>
    <w:p w14:paraId="5F9961EB" w14:textId="77777777" w:rsidR="00A34B29" w:rsidRDefault="000E15DA">
      <w:pPr>
        <w:pStyle w:val="BodyUF"/>
        <w:tabs>
          <w:tab w:val="left" w:pos="431"/>
        </w:tabs>
        <w:ind w:left="431" w:hanging="431"/>
      </w:pPr>
      <w:r>
        <w:rPr>
          <w:b/>
          <w:bCs/>
          <w:color w:val="0021A5"/>
        </w:rPr>
        <w:t>3.</w:t>
      </w:r>
      <w:r>
        <w:tab/>
        <w:t xml:space="preserve">Sketched the redesign: what you </w:t>
      </w:r>
      <w:r>
        <w:rPr>
          <w:b/>
          <w:bCs/>
        </w:rPr>
        <w:t>removed</w:t>
      </w:r>
      <w:r>
        <w:t xml:space="preserve">, where the </w:t>
      </w:r>
      <w:r>
        <w:rPr>
          <w:b/>
          <w:bCs/>
        </w:rPr>
        <w:t>one accent color</w:t>
      </w:r>
      <w:r>
        <w:t xml:space="preserve"> went, and where labels sat.</w:t>
      </w:r>
    </w:p>
    <w:p w14:paraId="5F9961EC" w14:textId="77777777" w:rsidR="00A34B29" w:rsidRDefault="000E15DA">
      <w:pPr>
        <w:pStyle w:val="BodyUF"/>
        <w:tabs>
          <w:tab w:val="left" w:pos="431"/>
        </w:tabs>
        <w:ind w:left="431" w:hanging="431"/>
      </w:pPr>
      <w:r>
        <w:rPr>
          <w:b/>
          <w:bCs/>
          <w:color w:val="0021A5"/>
        </w:rPr>
        <w:t>4.</w:t>
      </w:r>
      <w:r>
        <w:tab/>
        <w:t xml:space="preserve">Wrote the </w:t>
      </w:r>
      <w:r>
        <w:rPr>
          <w:b/>
          <w:bCs/>
        </w:rPr>
        <w:t>takeaway title.</w:t>
      </w:r>
    </w:p>
    <w:p w14:paraId="5F9961ED" w14:textId="77777777" w:rsidR="00A34B29" w:rsidRDefault="000E15DA">
      <w:pPr>
        <w:pStyle w:val="BodyUF"/>
      </w:pPr>
      <w:r>
        <w:t>The two failure modes we flagged: redesigning without first choosing a message (the makeover has no target), and keeping everything and just prettifying (decluttering means deleting).</w:t>
      </w:r>
    </w:p>
    <w:p w14:paraId="5F9961EE" w14:textId="77777777" w:rsidR="00A34B29" w:rsidRDefault="000E15DA">
      <w:pPr>
        <w:pStyle w:val="Heading1UF"/>
      </w:pPr>
      <w:r>
        <w:t>Exercise B: Pick the Chart, Write the Headline</w:t>
      </w:r>
    </w:p>
    <w:p w14:paraId="5F9961EF" w14:textId="77777777" w:rsidR="00A34B29" w:rsidRDefault="000E15DA">
      <w:pPr>
        <w:pStyle w:val="BodyUF"/>
      </w:pPr>
      <w:r>
        <w:t>You worked through three short scenarios, each a one-paragraph situation plus a small data table:</w:t>
      </w:r>
    </w:p>
    <w:p w14:paraId="5F9961F0" w14:textId="77777777" w:rsidR="00A34B29" w:rsidRDefault="000E15DA">
      <w:pPr>
        <w:pStyle w:val="BodyUF"/>
        <w:tabs>
          <w:tab w:val="left" w:pos="431"/>
        </w:tabs>
        <w:ind w:left="431" w:hanging="431"/>
      </w:pPr>
      <w:r>
        <w:rPr>
          <w:b/>
          <w:bCs/>
          <w:color w:val="0021A5"/>
        </w:rPr>
        <w:t>1.</w:t>
      </w:r>
      <w:r>
        <w:tab/>
      </w:r>
      <w:r>
        <w:t>A trend with an inflection: monthly churn rate for a subscription business, flat then rising after a price change.</w:t>
      </w:r>
    </w:p>
    <w:p w14:paraId="5F9961F1" w14:textId="77777777" w:rsidR="00A34B29" w:rsidRDefault="000E15DA">
      <w:pPr>
        <w:pStyle w:val="BodyUF"/>
        <w:tabs>
          <w:tab w:val="left" w:pos="431"/>
        </w:tabs>
        <w:ind w:left="431" w:hanging="431"/>
      </w:pPr>
      <w:r>
        <w:rPr>
          <w:b/>
          <w:bCs/>
          <w:color w:val="0021A5"/>
        </w:rPr>
        <w:t>2.</w:t>
      </w:r>
      <w:r>
        <w:tab/>
        <w:t>A ranked comparison: revenue per store for eight stores, where two dramatically lagged.</w:t>
      </w:r>
    </w:p>
    <w:p w14:paraId="5F9961F2" w14:textId="77777777" w:rsidR="00A34B29" w:rsidRDefault="000E15DA">
      <w:pPr>
        <w:pStyle w:val="BodyUF"/>
        <w:tabs>
          <w:tab w:val="left" w:pos="431"/>
        </w:tabs>
        <w:ind w:left="431" w:hanging="431"/>
      </w:pPr>
      <w:r>
        <w:rPr>
          <w:b/>
          <w:bCs/>
          <w:color w:val="0021A5"/>
        </w:rPr>
        <w:t>3.</w:t>
      </w:r>
      <w:r>
        <w:tab/>
        <w:t>A mix shift: revenue by channel over three years, total flat while one channel quietly replaced another.</w:t>
      </w:r>
    </w:p>
    <w:p w14:paraId="5F9961F3" w14:textId="77777777" w:rsidR="00A34B29" w:rsidRDefault="000E15DA">
      <w:pPr>
        <w:pStyle w:val="BodyUF"/>
      </w:pPr>
      <w:r>
        <w:t xml:space="preserve">For each scenario, you wrote down the chart type, the one design choice that carried the argument (annotation, sort, accent color), and the takeaway title. This was reps on the decision, three times fast. Scenario 3 was the one to watch: it was easy to chart the flat total and have no story, when the story was inside the mix. That’s precisely the shape of the Charter data (total revenue roughly flat, broadband </w:t>
      </w:r>
      <w:r>
        <w:lastRenderedPageBreak/>
        <w:t>eroding, mobile growing underneath), and the teams that learned to see mix-shift stories were set up for the strongest Check-in #2 on Thursday.</w:t>
      </w:r>
    </w:p>
    <w:p w14:paraId="5F9961F4" w14:textId="77777777" w:rsidR="00A34B29" w:rsidRDefault="000E15DA">
      <w:pPr>
        <w:pStyle w:val="Heading1UF"/>
      </w:pPr>
      <w:r>
        <w:t>Common Misconceptions</w:t>
      </w:r>
    </w:p>
    <w:p w14:paraId="5F9961F5" w14:textId="77777777" w:rsidR="00A34B29" w:rsidRDefault="000E15DA">
      <w:pPr>
        <w:pStyle w:val="BodyUF"/>
        <w:numPr>
          <w:ilvl w:val="0"/>
          <w:numId w:val="2"/>
        </w:numPr>
      </w:pPr>
      <w:r>
        <w:t xml:space="preserve">“The data speaks for itself.” It never does. Unframed data transfers the interpretive work to the client, who will either not do it or do it differently than you intend. The last mile is the consultant’s job, not the </w:t>
      </w:r>
      <w:proofErr w:type="gramStart"/>
      <w:r>
        <w:t>reader’s</w:t>
      </w:r>
      <w:proofErr w:type="gramEnd"/>
      <w:r>
        <w:t>.</w:t>
      </w:r>
    </w:p>
    <w:p w14:paraId="5F9961F6" w14:textId="77777777" w:rsidR="00A34B29" w:rsidRDefault="000E15DA">
      <w:pPr>
        <w:pStyle w:val="BodyUF"/>
        <w:numPr>
          <w:ilvl w:val="0"/>
          <w:numId w:val="2"/>
        </w:numPr>
      </w:pPr>
      <w:r>
        <w:t>“A fancier chart is a better chart.” The reverse is usually true. Complexity signals effort to the maker and costs comprehension for the reader. The best exhibit is the simplest one that proves the message.</w:t>
      </w:r>
    </w:p>
    <w:p w14:paraId="5F9961F7" w14:textId="77777777" w:rsidR="00A34B29" w:rsidRDefault="000E15DA">
      <w:pPr>
        <w:pStyle w:val="BodyUF"/>
        <w:numPr>
          <w:ilvl w:val="0"/>
          <w:numId w:val="2"/>
        </w:numPr>
      </w:pPr>
      <w:r>
        <w:t xml:space="preserve">“Titles should be </w:t>
      </w:r>
      <w:proofErr w:type="gramStart"/>
      <w:r>
        <w:t>neutral</w:t>
      </w:r>
      <w:proofErr w:type="gramEnd"/>
      <w:r>
        <w:t xml:space="preserve"> so we don’t look biased.” A takeaway title isn’t bias; it’s the point. The chart underneath is the evidence. If you can’t state the takeaway, the chart isn’t ready.</w:t>
      </w:r>
    </w:p>
    <w:p w14:paraId="5F9961F8" w14:textId="77777777" w:rsidR="00A34B29" w:rsidRDefault="000E15DA">
      <w:pPr>
        <w:pStyle w:val="BodyUF"/>
        <w:numPr>
          <w:ilvl w:val="0"/>
          <w:numId w:val="2"/>
        </w:numPr>
      </w:pPr>
      <w:r>
        <w:t>“Truncating an axis is always lying.” Bar charts encode value in length, so bars need a zero baseline. Lines encode value in position, so a non-zero baseline can be legitimate to show real variation, provided the visual impression matches the true magnitude. The test is defensibility, not a mechanical rule.</w:t>
      </w:r>
    </w:p>
    <w:p w14:paraId="5F9961F9" w14:textId="77777777" w:rsidR="00A34B29" w:rsidRDefault="000E15DA">
      <w:pPr>
        <w:pStyle w:val="BodyUF"/>
        <w:numPr>
          <w:ilvl w:val="0"/>
          <w:numId w:val="2"/>
        </w:numPr>
      </w:pPr>
      <w:r>
        <w:t>“AI made the chart, so the formatting is fine.” AI chart defaults are clutter with a legend. Week 4 rules apply: machine-made exhibits get the same checklist and the same ownership.</w:t>
      </w:r>
    </w:p>
    <w:p w14:paraId="5F9961FA" w14:textId="77777777" w:rsidR="00A34B29" w:rsidRDefault="000E15DA">
      <w:pPr>
        <w:pStyle w:val="Heading1UF"/>
      </w:pPr>
      <w:r>
        <w:t>Week 5 Assignment Heads-Up</w:t>
      </w:r>
    </w:p>
    <w:p w14:paraId="5F9961FB" w14:textId="77777777" w:rsidR="00A34B29" w:rsidRDefault="000E15DA">
      <w:pPr>
        <w:pStyle w:val="CalloutLabelUF"/>
        <w:pBdr>
          <w:top w:val="single" w:sz="2" w:space="4" w:color="F2F2F2"/>
          <w:left w:val="single" w:sz="24" w:space="8" w:color="0021A5"/>
          <w:bottom w:val="single" w:sz="2" w:space="4" w:color="F2F2F2"/>
          <w:right w:val="single" w:sz="2" w:space="8" w:color="F2F2F2"/>
        </w:pBdr>
        <w:shd w:val="clear" w:color="auto" w:fill="F2F2F2"/>
        <w:spacing w:before="160" w:after="0"/>
      </w:pPr>
      <w:r>
        <w:t>Due Monday, September 21 at 11:59pm ET in Canvas · 10 of 100 points · Individual</w:t>
      </w:r>
    </w:p>
    <w:p w14:paraId="5F9961FC" w14:textId="77777777" w:rsidR="00A34B29" w:rsidRDefault="000E15DA">
      <w:pPr>
        <w:pStyle w:val="BodyUF"/>
        <w:pBdr>
          <w:top w:val="single" w:sz="2" w:space="4" w:color="F2F2F2"/>
          <w:left w:val="single" w:sz="24" w:space="8" w:color="0021A5"/>
          <w:bottom w:val="single" w:sz="2" w:space="4" w:color="F2F2F2"/>
          <w:right w:val="single" w:sz="2" w:space="8" w:color="F2F2F2"/>
        </w:pBdr>
        <w:shd w:val="clear" w:color="auto" w:fill="F2F2F2"/>
      </w:pPr>
      <w:r>
        <w:t xml:space="preserve">The Week 5 individual assignment asked for one to two client-ready visualizations plus a short “so what” interpretation, built from a </w:t>
      </w:r>
      <w:r>
        <w:rPr>
          <w:b/>
          <w:bCs/>
        </w:rPr>
        <w:t>provided practice case with its own data, separate from Charter</w:t>
      </w:r>
      <w:r>
        <w:t xml:space="preserve"> (the Copper Kettle Coffee case). Everything graded in it was taught in this session. The full walkthrough came on Thursday.</w:t>
      </w:r>
    </w:p>
    <w:p w14:paraId="5F9961FD" w14:textId="77777777" w:rsidR="00A34B29" w:rsidRDefault="00A34B29">
      <w:pPr>
        <w:pBdr>
          <w:bottom w:val="single" w:sz="6" w:space="1" w:color="000000"/>
        </w:pBdr>
        <w:spacing w:before="200" w:after="200"/>
      </w:pPr>
    </w:p>
    <w:p w14:paraId="5F9961FE" w14:textId="77777777" w:rsidR="00A34B29" w:rsidRDefault="000E15DA">
      <w:pPr>
        <w:pStyle w:val="Heading1UF"/>
      </w:pPr>
      <w:r>
        <w:t>Looking Ahead</w:t>
      </w:r>
    </w:p>
    <w:p w14:paraId="5F9961FF" w14:textId="207FE0C4" w:rsidR="00A34B29" w:rsidRDefault="000E15DA">
      <w:pPr>
        <w:pStyle w:val="BodyUF"/>
      </w:pPr>
      <w:r>
        <w:lastRenderedPageBreak/>
        <w:t xml:space="preserve">Students were asked to bring a laptop Thursday with the </w:t>
      </w:r>
      <w:r>
        <w:rPr>
          <w:b/>
          <w:bCs/>
        </w:rPr>
        <w:t>Charter data pack</w:t>
      </w:r>
      <w:r>
        <w:t xml:space="preserve"> downloaded and opened at least once. Thursday covered analysis moves on the pack, chart integrity and ethics, the Week 5 individual assignment walkthrough, and the reserved 30-minute block for </w:t>
      </w:r>
      <w:r>
        <w:rPr>
          <w:b/>
          <w:bCs/>
        </w:rPr>
        <w:t>team-case Check-in #2 (analysis).</w:t>
      </w:r>
      <w:r>
        <w:t xml:space="preserve"> </w:t>
      </w:r>
    </w:p>
    <w:sectPr w:rsidR="00A34B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021521" w14:textId="77777777" w:rsidR="000E15DA" w:rsidRDefault="000E15DA">
      <w:pPr>
        <w:spacing w:after="0" w:line="240" w:lineRule="auto"/>
      </w:pPr>
      <w:r>
        <w:separator/>
      </w:r>
    </w:p>
  </w:endnote>
  <w:endnote w:type="continuationSeparator" w:id="0">
    <w:p w14:paraId="0B90A425" w14:textId="77777777" w:rsidR="000E15DA" w:rsidRDefault="000E1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96201" w14:textId="0FFFFD9A" w:rsidR="00A34B29" w:rsidRDefault="000E15DA">
    <w:pPr>
      <w:jc w:val="center"/>
    </w:pPr>
    <w:r>
      <w:t xml:space="preserve">Page </w:t>
    </w:r>
    <w:r>
      <w:fldChar w:fldCharType="begin"/>
    </w:r>
    <w:r>
      <w:instrText>PAGE</w:instrText>
    </w:r>
    <w:r>
      <w:fldChar w:fldCharType="separate"/>
    </w:r>
    <w:r w:rsidR="0066059D">
      <w:rPr>
        <w:noProof/>
      </w:rPr>
      <w:t>1</w:t>
    </w:r>
    <w:r>
      <w:fldChar w:fldCharType="end"/>
    </w:r>
    <w:r>
      <w:t xml:space="preserve">  |  Week 5, Session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39F1C1" w14:textId="77777777" w:rsidR="000E15DA" w:rsidRDefault="000E15DA">
      <w:pPr>
        <w:spacing w:after="0" w:line="240" w:lineRule="auto"/>
      </w:pPr>
      <w:r>
        <w:separator/>
      </w:r>
    </w:p>
  </w:footnote>
  <w:footnote w:type="continuationSeparator" w:id="0">
    <w:p w14:paraId="30FA290B" w14:textId="77777777" w:rsidR="000E15DA" w:rsidRDefault="000E1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96200" w14:textId="77777777" w:rsidR="00A34B29" w:rsidRDefault="000E15DA">
    <w:pPr>
      <w:pBdr>
        <w:bottom w:val="single" w:sz="6" w:space="4" w:color="0021A5"/>
      </w:pBdr>
      <w:jc w:val="right"/>
    </w:pPr>
    <w:r>
      <w:rPr>
        <w:caps/>
        <w:color w:val="404040"/>
        <w:sz w:val="16"/>
        <w:szCs w:val="16"/>
      </w:rPr>
      <w:t>FOUNDATIONS OF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53A9B"/>
    <w:multiLevelType w:val="hybridMultilevel"/>
    <w:tmpl w:val="36D4E340"/>
    <w:lvl w:ilvl="0" w:tplc="8DBCD45A">
      <w:start w:val="1"/>
      <w:numFmt w:val="decimal"/>
      <w:lvlText w:val="%1."/>
      <w:lvlJc w:val="left"/>
      <w:pPr>
        <w:ind w:left="431" w:hanging="431"/>
      </w:pPr>
      <w:rPr>
        <w:rFonts w:ascii="Calibri" w:eastAsia="Calibri" w:hAnsi="Calibri" w:cs="Calibri"/>
        <w:b/>
        <w:bCs/>
        <w:color w:val="0021A5"/>
      </w:rPr>
    </w:lvl>
    <w:lvl w:ilvl="1" w:tplc="24B24DD0">
      <w:numFmt w:val="decimal"/>
      <w:lvlText w:val=""/>
      <w:lvlJc w:val="left"/>
    </w:lvl>
    <w:lvl w:ilvl="2" w:tplc="B6FE9D9A">
      <w:numFmt w:val="decimal"/>
      <w:lvlText w:val=""/>
      <w:lvlJc w:val="left"/>
    </w:lvl>
    <w:lvl w:ilvl="3" w:tplc="BD82BE3A">
      <w:numFmt w:val="decimal"/>
      <w:lvlText w:val=""/>
      <w:lvlJc w:val="left"/>
    </w:lvl>
    <w:lvl w:ilvl="4" w:tplc="2E90ADA6">
      <w:numFmt w:val="decimal"/>
      <w:lvlText w:val=""/>
      <w:lvlJc w:val="left"/>
    </w:lvl>
    <w:lvl w:ilvl="5" w:tplc="59FEF798">
      <w:numFmt w:val="decimal"/>
      <w:lvlText w:val=""/>
      <w:lvlJc w:val="left"/>
    </w:lvl>
    <w:lvl w:ilvl="6" w:tplc="4AC8574A">
      <w:numFmt w:val="decimal"/>
      <w:lvlText w:val=""/>
      <w:lvlJc w:val="left"/>
    </w:lvl>
    <w:lvl w:ilvl="7" w:tplc="1B281122">
      <w:numFmt w:val="decimal"/>
      <w:lvlText w:val=""/>
      <w:lvlJc w:val="left"/>
    </w:lvl>
    <w:lvl w:ilvl="8" w:tplc="AE74039C">
      <w:numFmt w:val="decimal"/>
      <w:lvlText w:val=""/>
      <w:lvlJc w:val="left"/>
    </w:lvl>
  </w:abstractNum>
  <w:abstractNum w:abstractNumId="1" w15:restartNumberingAfterBreak="0">
    <w:nsid w:val="1A4751DF"/>
    <w:multiLevelType w:val="hybridMultilevel"/>
    <w:tmpl w:val="30B62690"/>
    <w:lvl w:ilvl="0" w:tplc="C040E266">
      <w:start w:val="1"/>
      <w:numFmt w:val="bullet"/>
      <w:lvlText w:val="●"/>
      <w:lvlJc w:val="left"/>
      <w:pPr>
        <w:ind w:left="720" w:hanging="360"/>
      </w:pPr>
    </w:lvl>
    <w:lvl w:ilvl="1" w:tplc="ED80E96A">
      <w:start w:val="1"/>
      <w:numFmt w:val="bullet"/>
      <w:lvlText w:val="○"/>
      <w:lvlJc w:val="left"/>
      <w:pPr>
        <w:ind w:left="1440" w:hanging="360"/>
      </w:pPr>
    </w:lvl>
    <w:lvl w:ilvl="2" w:tplc="24961602">
      <w:start w:val="1"/>
      <w:numFmt w:val="bullet"/>
      <w:lvlText w:val="■"/>
      <w:lvlJc w:val="left"/>
      <w:pPr>
        <w:ind w:left="2160" w:hanging="360"/>
      </w:pPr>
    </w:lvl>
    <w:lvl w:ilvl="3" w:tplc="A262FA10">
      <w:start w:val="1"/>
      <w:numFmt w:val="bullet"/>
      <w:lvlText w:val="●"/>
      <w:lvlJc w:val="left"/>
      <w:pPr>
        <w:ind w:left="2880" w:hanging="360"/>
      </w:pPr>
    </w:lvl>
    <w:lvl w:ilvl="4" w:tplc="CFBABA02">
      <w:start w:val="1"/>
      <w:numFmt w:val="bullet"/>
      <w:lvlText w:val="○"/>
      <w:lvlJc w:val="left"/>
      <w:pPr>
        <w:ind w:left="3600" w:hanging="360"/>
      </w:pPr>
    </w:lvl>
    <w:lvl w:ilvl="5" w:tplc="8620004A">
      <w:start w:val="1"/>
      <w:numFmt w:val="bullet"/>
      <w:lvlText w:val="■"/>
      <w:lvlJc w:val="left"/>
      <w:pPr>
        <w:ind w:left="4320" w:hanging="360"/>
      </w:pPr>
    </w:lvl>
    <w:lvl w:ilvl="6" w:tplc="502AD0D8">
      <w:start w:val="1"/>
      <w:numFmt w:val="bullet"/>
      <w:lvlText w:val="●"/>
      <w:lvlJc w:val="left"/>
      <w:pPr>
        <w:ind w:left="5040" w:hanging="360"/>
      </w:pPr>
    </w:lvl>
    <w:lvl w:ilvl="7" w:tplc="7764B004">
      <w:start w:val="1"/>
      <w:numFmt w:val="bullet"/>
      <w:lvlText w:val="●"/>
      <w:lvlJc w:val="left"/>
      <w:pPr>
        <w:ind w:left="5760" w:hanging="360"/>
      </w:pPr>
    </w:lvl>
    <w:lvl w:ilvl="8" w:tplc="097AECFC">
      <w:start w:val="1"/>
      <w:numFmt w:val="bullet"/>
      <w:lvlText w:val="●"/>
      <w:lvlJc w:val="left"/>
      <w:pPr>
        <w:ind w:left="6480" w:hanging="360"/>
      </w:pPr>
    </w:lvl>
  </w:abstractNum>
  <w:abstractNum w:abstractNumId="2" w15:restartNumberingAfterBreak="0">
    <w:nsid w:val="360D42D4"/>
    <w:multiLevelType w:val="hybridMultilevel"/>
    <w:tmpl w:val="188AEB3A"/>
    <w:lvl w:ilvl="0" w:tplc="B6DED546">
      <w:start w:val="1"/>
      <w:numFmt w:val="decimal"/>
      <w:lvlText w:val="%1."/>
      <w:lvlJc w:val="left"/>
      <w:pPr>
        <w:ind w:left="431" w:hanging="431"/>
      </w:pPr>
      <w:rPr>
        <w:rFonts w:ascii="Calibri" w:eastAsia="Calibri" w:hAnsi="Calibri" w:cs="Calibri"/>
        <w:b/>
        <w:bCs/>
        <w:color w:val="0021A5"/>
      </w:rPr>
    </w:lvl>
    <w:lvl w:ilvl="1" w:tplc="92A2F948">
      <w:numFmt w:val="decimal"/>
      <w:lvlText w:val=""/>
      <w:lvlJc w:val="left"/>
    </w:lvl>
    <w:lvl w:ilvl="2" w:tplc="DEC6101A">
      <w:numFmt w:val="decimal"/>
      <w:lvlText w:val=""/>
      <w:lvlJc w:val="left"/>
    </w:lvl>
    <w:lvl w:ilvl="3" w:tplc="1C32FBC0">
      <w:numFmt w:val="decimal"/>
      <w:lvlText w:val=""/>
      <w:lvlJc w:val="left"/>
    </w:lvl>
    <w:lvl w:ilvl="4" w:tplc="8892D1D6">
      <w:numFmt w:val="decimal"/>
      <w:lvlText w:val=""/>
      <w:lvlJc w:val="left"/>
    </w:lvl>
    <w:lvl w:ilvl="5" w:tplc="A5145A5A">
      <w:numFmt w:val="decimal"/>
      <w:lvlText w:val=""/>
      <w:lvlJc w:val="left"/>
    </w:lvl>
    <w:lvl w:ilvl="6" w:tplc="982C3A94">
      <w:numFmt w:val="decimal"/>
      <w:lvlText w:val=""/>
      <w:lvlJc w:val="left"/>
    </w:lvl>
    <w:lvl w:ilvl="7" w:tplc="BBD09018">
      <w:numFmt w:val="decimal"/>
      <w:lvlText w:val=""/>
      <w:lvlJc w:val="left"/>
    </w:lvl>
    <w:lvl w:ilvl="8" w:tplc="566E16E0">
      <w:numFmt w:val="decimal"/>
      <w:lvlText w:val=""/>
      <w:lvlJc w:val="left"/>
    </w:lvl>
  </w:abstractNum>
  <w:abstractNum w:abstractNumId="3" w15:restartNumberingAfterBreak="0">
    <w:nsid w:val="39315711"/>
    <w:multiLevelType w:val="hybridMultilevel"/>
    <w:tmpl w:val="D820D00A"/>
    <w:lvl w:ilvl="0" w:tplc="B014A5D4">
      <w:start w:val="1"/>
      <w:numFmt w:val="bullet"/>
      <w:lvlText w:val="▪"/>
      <w:lvlJc w:val="left"/>
      <w:pPr>
        <w:ind w:left="403" w:hanging="259"/>
      </w:pPr>
      <w:rPr>
        <w:rFonts w:ascii="Calibri" w:eastAsia="Calibri" w:hAnsi="Calibri" w:cs="Calibri"/>
        <w:color w:val="000000"/>
      </w:rPr>
    </w:lvl>
    <w:lvl w:ilvl="1" w:tplc="4A1430EC">
      <w:start w:val="1"/>
      <w:numFmt w:val="bullet"/>
      <w:lvlText w:val="–"/>
      <w:lvlJc w:val="left"/>
      <w:pPr>
        <w:ind w:left="792" w:hanging="259"/>
      </w:pPr>
      <w:rPr>
        <w:rFonts w:ascii="Calibri" w:eastAsia="Calibri" w:hAnsi="Calibri" w:cs="Calibri"/>
        <w:color w:val="0021A5"/>
      </w:rPr>
    </w:lvl>
    <w:lvl w:ilvl="2" w:tplc="4FF4DD12">
      <w:numFmt w:val="decimal"/>
      <w:lvlText w:val=""/>
      <w:lvlJc w:val="left"/>
    </w:lvl>
    <w:lvl w:ilvl="3" w:tplc="91FE414E">
      <w:numFmt w:val="decimal"/>
      <w:lvlText w:val=""/>
      <w:lvlJc w:val="left"/>
    </w:lvl>
    <w:lvl w:ilvl="4" w:tplc="DC681C3C">
      <w:numFmt w:val="decimal"/>
      <w:lvlText w:val=""/>
      <w:lvlJc w:val="left"/>
    </w:lvl>
    <w:lvl w:ilvl="5" w:tplc="A0C64E46">
      <w:numFmt w:val="decimal"/>
      <w:lvlText w:val=""/>
      <w:lvlJc w:val="left"/>
    </w:lvl>
    <w:lvl w:ilvl="6" w:tplc="54E8E268">
      <w:numFmt w:val="decimal"/>
      <w:lvlText w:val=""/>
      <w:lvlJc w:val="left"/>
    </w:lvl>
    <w:lvl w:ilvl="7" w:tplc="55E00C3E">
      <w:numFmt w:val="decimal"/>
      <w:lvlText w:val=""/>
      <w:lvlJc w:val="left"/>
    </w:lvl>
    <w:lvl w:ilvl="8" w:tplc="012424C4">
      <w:numFmt w:val="decimal"/>
      <w:lvlText w:val=""/>
      <w:lvlJc w:val="left"/>
    </w:lvl>
  </w:abstractNum>
  <w:abstractNum w:abstractNumId="4" w15:restartNumberingAfterBreak="0">
    <w:nsid w:val="4BAA0BD8"/>
    <w:multiLevelType w:val="hybridMultilevel"/>
    <w:tmpl w:val="FDEA804E"/>
    <w:lvl w:ilvl="0" w:tplc="95E287F2">
      <w:start w:val="1"/>
      <w:numFmt w:val="decimal"/>
      <w:lvlText w:val="%1."/>
      <w:lvlJc w:val="left"/>
      <w:pPr>
        <w:ind w:left="431" w:hanging="431"/>
      </w:pPr>
      <w:rPr>
        <w:rFonts w:ascii="Calibri" w:eastAsia="Calibri" w:hAnsi="Calibri" w:cs="Calibri"/>
        <w:b/>
        <w:bCs/>
        <w:color w:val="0021A5"/>
      </w:rPr>
    </w:lvl>
    <w:lvl w:ilvl="1" w:tplc="C1009600">
      <w:numFmt w:val="decimal"/>
      <w:lvlText w:val=""/>
      <w:lvlJc w:val="left"/>
    </w:lvl>
    <w:lvl w:ilvl="2" w:tplc="E72E5D56">
      <w:numFmt w:val="decimal"/>
      <w:lvlText w:val=""/>
      <w:lvlJc w:val="left"/>
    </w:lvl>
    <w:lvl w:ilvl="3" w:tplc="0F58F7C0">
      <w:numFmt w:val="decimal"/>
      <w:lvlText w:val=""/>
      <w:lvlJc w:val="left"/>
    </w:lvl>
    <w:lvl w:ilvl="4" w:tplc="254A0C3A">
      <w:numFmt w:val="decimal"/>
      <w:lvlText w:val=""/>
      <w:lvlJc w:val="left"/>
    </w:lvl>
    <w:lvl w:ilvl="5" w:tplc="513A9D52">
      <w:numFmt w:val="decimal"/>
      <w:lvlText w:val=""/>
      <w:lvlJc w:val="left"/>
    </w:lvl>
    <w:lvl w:ilvl="6" w:tplc="D7A6ABEA">
      <w:numFmt w:val="decimal"/>
      <w:lvlText w:val=""/>
      <w:lvlJc w:val="left"/>
    </w:lvl>
    <w:lvl w:ilvl="7" w:tplc="B0C2B36A">
      <w:numFmt w:val="decimal"/>
      <w:lvlText w:val=""/>
      <w:lvlJc w:val="left"/>
    </w:lvl>
    <w:lvl w:ilvl="8" w:tplc="8FF08AA8">
      <w:numFmt w:val="decimal"/>
      <w:lvlText w:val=""/>
      <w:lvlJc w:val="left"/>
    </w:lvl>
  </w:abstractNum>
  <w:abstractNum w:abstractNumId="5" w15:restartNumberingAfterBreak="0">
    <w:nsid w:val="5FBB54A8"/>
    <w:multiLevelType w:val="hybridMultilevel"/>
    <w:tmpl w:val="E0B8987C"/>
    <w:lvl w:ilvl="0" w:tplc="65BE8550">
      <w:start w:val="1"/>
      <w:numFmt w:val="decimal"/>
      <w:lvlText w:val="%1."/>
      <w:lvlJc w:val="left"/>
      <w:pPr>
        <w:ind w:left="431" w:hanging="431"/>
      </w:pPr>
      <w:rPr>
        <w:rFonts w:ascii="Calibri" w:eastAsia="Calibri" w:hAnsi="Calibri" w:cs="Calibri"/>
        <w:b/>
        <w:bCs/>
        <w:color w:val="0021A5"/>
      </w:rPr>
    </w:lvl>
    <w:lvl w:ilvl="1" w:tplc="CE38C39E">
      <w:numFmt w:val="decimal"/>
      <w:lvlText w:val=""/>
      <w:lvlJc w:val="left"/>
    </w:lvl>
    <w:lvl w:ilvl="2" w:tplc="09B00230">
      <w:numFmt w:val="decimal"/>
      <w:lvlText w:val=""/>
      <w:lvlJc w:val="left"/>
    </w:lvl>
    <w:lvl w:ilvl="3" w:tplc="5E6CBDA2">
      <w:numFmt w:val="decimal"/>
      <w:lvlText w:val=""/>
      <w:lvlJc w:val="left"/>
    </w:lvl>
    <w:lvl w:ilvl="4" w:tplc="89ACEE34">
      <w:numFmt w:val="decimal"/>
      <w:lvlText w:val=""/>
      <w:lvlJc w:val="left"/>
    </w:lvl>
    <w:lvl w:ilvl="5" w:tplc="EF3EA9CE">
      <w:numFmt w:val="decimal"/>
      <w:lvlText w:val=""/>
      <w:lvlJc w:val="left"/>
    </w:lvl>
    <w:lvl w:ilvl="6" w:tplc="F8DCAA06">
      <w:numFmt w:val="decimal"/>
      <w:lvlText w:val=""/>
      <w:lvlJc w:val="left"/>
    </w:lvl>
    <w:lvl w:ilvl="7" w:tplc="45565E78">
      <w:numFmt w:val="decimal"/>
      <w:lvlText w:val=""/>
      <w:lvlJc w:val="left"/>
    </w:lvl>
    <w:lvl w:ilvl="8" w:tplc="AB02DD1E">
      <w:numFmt w:val="decimal"/>
      <w:lvlText w:val=""/>
      <w:lvlJc w:val="left"/>
    </w:lvl>
  </w:abstractNum>
  <w:abstractNum w:abstractNumId="6" w15:restartNumberingAfterBreak="0">
    <w:nsid w:val="64A84785"/>
    <w:multiLevelType w:val="hybridMultilevel"/>
    <w:tmpl w:val="EE06E786"/>
    <w:lvl w:ilvl="0" w:tplc="899CBCFA">
      <w:start w:val="1"/>
      <w:numFmt w:val="decimal"/>
      <w:lvlText w:val="%1."/>
      <w:lvlJc w:val="left"/>
      <w:pPr>
        <w:ind w:left="431" w:hanging="431"/>
      </w:pPr>
      <w:rPr>
        <w:rFonts w:ascii="Calibri" w:eastAsia="Calibri" w:hAnsi="Calibri" w:cs="Calibri"/>
        <w:b/>
        <w:bCs/>
        <w:color w:val="0021A5"/>
      </w:rPr>
    </w:lvl>
    <w:lvl w:ilvl="1" w:tplc="6BBEC386">
      <w:numFmt w:val="decimal"/>
      <w:lvlText w:val=""/>
      <w:lvlJc w:val="left"/>
    </w:lvl>
    <w:lvl w:ilvl="2" w:tplc="9B406568">
      <w:numFmt w:val="decimal"/>
      <w:lvlText w:val=""/>
      <w:lvlJc w:val="left"/>
    </w:lvl>
    <w:lvl w:ilvl="3" w:tplc="CEE81BFC">
      <w:numFmt w:val="decimal"/>
      <w:lvlText w:val=""/>
      <w:lvlJc w:val="left"/>
    </w:lvl>
    <w:lvl w:ilvl="4" w:tplc="E09A12F0">
      <w:numFmt w:val="decimal"/>
      <w:lvlText w:val=""/>
      <w:lvlJc w:val="left"/>
    </w:lvl>
    <w:lvl w:ilvl="5" w:tplc="EF066D92">
      <w:numFmt w:val="decimal"/>
      <w:lvlText w:val=""/>
      <w:lvlJc w:val="left"/>
    </w:lvl>
    <w:lvl w:ilvl="6" w:tplc="D820F64E">
      <w:numFmt w:val="decimal"/>
      <w:lvlText w:val=""/>
      <w:lvlJc w:val="left"/>
    </w:lvl>
    <w:lvl w:ilvl="7" w:tplc="D772B01E">
      <w:numFmt w:val="decimal"/>
      <w:lvlText w:val=""/>
      <w:lvlJc w:val="left"/>
    </w:lvl>
    <w:lvl w:ilvl="8" w:tplc="10ACF9C6">
      <w:numFmt w:val="decimal"/>
      <w:lvlText w:val=""/>
      <w:lvlJc w:val="left"/>
    </w:lvl>
  </w:abstractNum>
  <w:num w:numId="1" w16cid:durableId="238826815">
    <w:abstractNumId w:val="1"/>
    <w:lvlOverride w:ilvl="0">
      <w:startOverride w:val="1"/>
    </w:lvlOverride>
  </w:num>
  <w:num w:numId="2" w16cid:durableId="1158692858">
    <w:abstractNumId w:val="3"/>
    <w:lvlOverride w:ilvl="0">
      <w:startOverride w:val="1"/>
    </w:lvlOverride>
  </w:num>
  <w:num w:numId="3" w16cid:durableId="1044594593">
    <w:abstractNumId w:val="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29"/>
    <w:rsid w:val="000E15DA"/>
    <w:rsid w:val="00230540"/>
    <w:rsid w:val="0066059D"/>
    <w:rsid w:val="00A34B29"/>
    <w:rsid w:val="00A56B17"/>
    <w:rsid w:val="00AB13EA"/>
    <w:rsid w:val="00B00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961C0"/>
  <w15:docId w15:val="{1D61D6C6-9EAE-9E47-B3E3-1624D130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UF">
    <w:name w:val="Title UF"/>
    <w:qFormat/>
    <w:pPr>
      <w:pBdr>
        <w:bottom w:val="single" w:sz="18" w:space="8" w:color="000000"/>
      </w:pBdr>
      <w:spacing w:after="120"/>
      <w:outlineLvl w:val="0"/>
    </w:pPr>
    <w:rPr>
      <w:b/>
      <w:bCs/>
      <w:color w:val="0021A5"/>
      <w:sz w:val="52"/>
      <w:szCs w:val="52"/>
    </w:rPr>
  </w:style>
  <w:style w:type="paragraph" w:customStyle="1" w:styleId="SubtitleUF">
    <w:name w:val="Subtitle UF"/>
    <w:qFormat/>
    <w:pPr>
      <w:spacing w:before="120" w:after="320"/>
    </w:pPr>
    <w:rPr>
      <w:b/>
      <w:bCs/>
      <w:i/>
      <w:iCs/>
      <w:sz w:val="30"/>
      <w:szCs w:val="30"/>
    </w:rPr>
  </w:style>
  <w:style w:type="paragraph" w:customStyle="1" w:styleId="Heading1UF">
    <w:name w:val="Heading 1 UF"/>
    <w:qFormat/>
    <w:pPr>
      <w:pBdr>
        <w:bottom w:val="single" w:sz="8" w:space="4" w:color="000000"/>
      </w:pBdr>
      <w:spacing w:before="340"/>
      <w:outlineLvl w:val="1"/>
    </w:pPr>
    <w:rPr>
      <w:b/>
      <w:bCs/>
      <w:color w:val="0021A5"/>
      <w:sz w:val="28"/>
      <w:szCs w:val="28"/>
    </w:rPr>
  </w:style>
  <w:style w:type="paragraph" w:customStyle="1" w:styleId="Heading2UF">
    <w:name w:val="Heading 2 UF"/>
    <w:qFormat/>
    <w:pPr>
      <w:spacing w:before="260" w:after="120"/>
      <w:outlineLvl w:val="2"/>
    </w:pPr>
    <w:rPr>
      <w:b/>
      <w:bCs/>
      <w:color w:val="CD3912"/>
      <w:sz w:val="24"/>
      <w:szCs w:val="24"/>
    </w:rPr>
  </w:style>
  <w:style w:type="paragraph" w:customStyle="1" w:styleId="BodyUF">
    <w:name w:val="Body UF"/>
    <w:qFormat/>
  </w:style>
  <w:style w:type="paragraph" w:customStyle="1" w:styleId="CalloutLabelUF">
    <w:name w:val="Callout Label UF"/>
    <w:qFormat/>
    <w:pPr>
      <w:spacing w:after="80"/>
    </w:pPr>
    <w:rPr>
      <w:b/>
      <w:bCs/>
      <w:caps/>
      <w:color w:val="0021A5"/>
    </w:rPr>
  </w:style>
  <w:style w:type="paragraph" w:customStyle="1" w:styleId="FooterUF">
    <w:name w:val="Footer UF"/>
    <w:rPr>
      <w:color w:val="4040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1375</Words>
  <Characters>7839</Characters>
  <Application>Microsoft Office Word</Application>
  <DocSecurity>0</DocSecurity>
  <Lines>65</Lines>
  <Paragraphs>18</Paragraphs>
  <ScaleCrop>false</ScaleCrop>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Session 1 Student Guide: The Last Mile and Chart Fundamentals</dc:title>
  <dc:creator>Sean O'Donnell</dc:creator>
  <dc:description>Student guide for Foundations of Consulting.</dc:description>
  <cp:lastModifiedBy>Sean O'Donnell</cp:lastModifiedBy>
  <cp:revision>5</cp:revision>
  <dcterms:created xsi:type="dcterms:W3CDTF">2026-08-03T14:31:00Z</dcterms:created>
  <dcterms:modified xsi:type="dcterms:W3CDTF">2026-09-15T23:02:00Z</dcterms:modified>
</cp:coreProperties>
</file>