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3F73" w14:textId="77777777" w:rsidR="001A7BCB" w:rsidRPr="001A7BCB" w:rsidRDefault="001A7BCB" w:rsidP="001A7BCB">
      <w:r w:rsidRPr="001A7BCB">
        <w:t xml:space="preserve">Insurance brokerage firms reframed </w:t>
      </w:r>
      <w:r w:rsidRPr="001A7BCB">
        <w:rPr>
          <w:b/>
          <w:bCs/>
        </w:rPr>
        <w:t>Employee Health &amp; Benefits (EH&amp;B)</w:t>
      </w:r>
      <w:r w:rsidRPr="001A7BCB">
        <w:t xml:space="preserve"> from a necessary expense into a strategic investment in workforce productivity.</w:t>
      </w:r>
    </w:p>
    <w:p w14:paraId="6430056D" w14:textId="77777777" w:rsidR="001A7BCB" w:rsidRPr="001A7BCB" w:rsidRDefault="001A7BCB" w:rsidP="001A7BCB">
      <w:r w:rsidRPr="001A7BCB">
        <w:t xml:space="preserve">Instead of focusing only on premiums and coverage, they emphasized how well-designed benefits could </w:t>
      </w:r>
      <w:r w:rsidRPr="001A7BCB">
        <w:rPr>
          <w:b/>
          <w:bCs/>
        </w:rPr>
        <w:t>reduce absenteeism and presenteeism</w:t>
      </w:r>
      <w:r w:rsidRPr="001A7BCB">
        <w:t>—being at work but not fully productive—while improving employee engagement and retention. They positioned preventive care, mental-health support, and wellness programs as tools for achieving those outcomes.</w:t>
      </w:r>
    </w:p>
    <w:p w14:paraId="214D20F5" w14:textId="77777777" w:rsidR="001A7BCB" w:rsidRPr="001A7BCB" w:rsidRDefault="001A7BCB" w:rsidP="001A7BCB">
      <w:r w:rsidRPr="001A7BCB">
        <w:t xml:space="preserve">By using workforce and claims data to connect health needs with business performance, brokers shifted the conversation from </w:t>
      </w:r>
      <w:r w:rsidRPr="001A7BCB">
        <w:rPr>
          <w:b/>
          <w:bCs/>
        </w:rPr>
        <w:t>“How much do benefits cost?” to “How can benefits help employees—and the company—perform better?”</w:t>
      </w:r>
    </w:p>
    <w:p w14:paraId="3EE5C561" w14:textId="77777777" w:rsidR="000020AF" w:rsidRDefault="000020AF" w:rsidP="001A7BCB"/>
    <w:p w14:paraId="369D10E8" w14:textId="58D0FB0E" w:rsidR="001A7BCB" w:rsidRPr="001A7BCB" w:rsidRDefault="001A7BCB" w:rsidP="001A7BCB">
      <w:r>
        <w:t>T</w:t>
      </w:r>
      <w:r w:rsidRPr="001A7BCB">
        <w:t xml:space="preserve">he shift broadly began in the </w:t>
      </w:r>
      <w:r w:rsidRPr="001A7BCB">
        <w:rPr>
          <w:b/>
          <w:bCs/>
        </w:rPr>
        <w:t>late 1990s and early 2000s</w:t>
      </w:r>
      <w:r w:rsidRPr="001A7BCB">
        <w:t xml:space="preserve"> and became more prominent in the </w:t>
      </w:r>
      <w:r w:rsidRPr="001A7BCB">
        <w:rPr>
          <w:b/>
          <w:bCs/>
        </w:rPr>
        <w:t>2010s</w:t>
      </w:r>
      <w:r w:rsidRPr="001A7BCB">
        <w:t>.</w:t>
      </w:r>
    </w:p>
    <w:p w14:paraId="429E5FBC" w14:textId="77777777" w:rsidR="001A7BCB" w:rsidRPr="001A7BCB" w:rsidRDefault="001A7BCB" w:rsidP="001A7BCB">
      <w:pPr>
        <w:numPr>
          <w:ilvl w:val="0"/>
          <w:numId w:val="1"/>
        </w:numPr>
      </w:pPr>
      <w:r w:rsidRPr="001A7BCB">
        <w:rPr>
          <w:b/>
          <w:bCs/>
        </w:rPr>
        <w:t>Late 1990s–early 2000s:</w:t>
      </w:r>
      <w:r w:rsidRPr="001A7BCB">
        <w:t xml:space="preserve"> Benefits advisers increasingly connected employee health to absenteeism, disability costs, and lost productivity—not just insurance spending.</w:t>
      </w:r>
    </w:p>
    <w:p w14:paraId="50CB85C3" w14:textId="77777777" w:rsidR="001A7BCB" w:rsidRPr="001A7BCB" w:rsidRDefault="001A7BCB" w:rsidP="001A7BCB">
      <w:pPr>
        <w:numPr>
          <w:ilvl w:val="0"/>
          <w:numId w:val="1"/>
        </w:numPr>
      </w:pPr>
      <w:r w:rsidRPr="001A7BCB">
        <w:rPr>
          <w:b/>
          <w:bCs/>
        </w:rPr>
        <w:t>Mid-to-late 2000s:</w:t>
      </w:r>
      <w:r w:rsidRPr="001A7BCB">
        <w:t xml:space="preserve"> Wellness programs, disease management, and health-data analytics strengthened the case for treating benefits as an investment in workforce performance.</w:t>
      </w:r>
    </w:p>
    <w:p w14:paraId="2AD77B35" w14:textId="77777777" w:rsidR="001A7BCB" w:rsidRPr="001A7BCB" w:rsidRDefault="001A7BCB" w:rsidP="001A7BCB">
      <w:pPr>
        <w:numPr>
          <w:ilvl w:val="0"/>
          <w:numId w:val="1"/>
        </w:numPr>
      </w:pPr>
      <w:r w:rsidRPr="001A7BCB">
        <w:rPr>
          <w:b/>
          <w:bCs/>
        </w:rPr>
        <w:t>2010s:</w:t>
      </w:r>
      <w:r w:rsidRPr="001A7BCB">
        <w:t xml:space="preserve"> Major brokerages increasingly positioned EH&amp;B around broader business outcomes, including engagement, retention, and organizational performance.</w:t>
      </w:r>
    </w:p>
    <w:p w14:paraId="520FC4E3" w14:textId="565E84A9" w:rsidR="001A7BCB" w:rsidRDefault="001A7BCB" w:rsidP="001A7BCB">
      <w:pPr>
        <w:numPr>
          <w:ilvl w:val="0"/>
          <w:numId w:val="1"/>
        </w:numPr>
      </w:pPr>
      <w:r w:rsidRPr="001A7BCB">
        <w:rPr>
          <w:b/>
          <w:bCs/>
        </w:rPr>
        <w:t>2020 onward:</w:t>
      </w:r>
      <w:r w:rsidRPr="001A7BCB">
        <w:t xml:space="preserve"> COVID-19 accelerated the focus on mental health, workforce resilience, and benefits as a strategic business tool.</w:t>
      </w:r>
    </w:p>
    <w:p w14:paraId="369C48D9" w14:textId="77777777" w:rsidR="00704F0F" w:rsidRDefault="00704F0F" w:rsidP="00704F0F"/>
    <w:p w14:paraId="2A66BD50" w14:textId="77777777" w:rsidR="00704F0F" w:rsidRPr="00704F0F" w:rsidRDefault="00704F0F" w:rsidP="00704F0F">
      <w:r w:rsidRPr="00704F0F">
        <w:t xml:space="preserve">The key context is that this was a </w:t>
      </w:r>
      <w:r w:rsidRPr="00704F0F">
        <w:rPr>
          <w:b/>
          <w:bCs/>
        </w:rPr>
        <w:t>strategic reframing of an established service—from a cost to manage into an investment in business performance</w:t>
      </w:r>
      <w:r w:rsidRPr="00704F0F">
        <w:t>. Another AI agent should understand both the mechanism and its limits before applying it elsewhere.</w:t>
      </w:r>
    </w:p>
    <w:p w14:paraId="42796561" w14:textId="77777777" w:rsidR="00704F0F" w:rsidRPr="00704F0F" w:rsidRDefault="00704F0F" w:rsidP="00704F0F">
      <w:pPr>
        <w:rPr>
          <w:b/>
          <w:bCs/>
        </w:rPr>
      </w:pPr>
      <w:r w:rsidRPr="00704F0F">
        <w:rPr>
          <w:b/>
          <w:bCs/>
        </w:rPr>
        <w:t>What to carry over</w:t>
      </w:r>
    </w:p>
    <w:p w14:paraId="4633005F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t>Original framing:</w:t>
      </w:r>
      <w:r w:rsidRPr="00704F0F">
        <w:t xml:space="preserve"> EH&amp;B was often evaluated around premiums, coverage, compliance, and administration.</w:t>
      </w:r>
    </w:p>
    <w:p w14:paraId="2DA216F4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t>New framing:</w:t>
      </w:r>
      <w:r w:rsidRPr="00704F0F">
        <w:t xml:space="preserve"> Benefits could support productivity, attendance, engagement, and retention—not merely provide insurance.</w:t>
      </w:r>
    </w:p>
    <w:p w14:paraId="3E574B55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lastRenderedPageBreak/>
        <w:t>Causal bridge:</w:t>
      </w:r>
      <w:r w:rsidRPr="00704F0F">
        <w:t xml:space="preserve"> Better-designed benefits → better access to care and employee support → fewer health-related work disruptions → potential business gains.</w:t>
      </w:r>
    </w:p>
    <w:p w14:paraId="35F1DAAA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t>Changes behind the message:</w:t>
      </w:r>
      <w:r w:rsidRPr="00704F0F">
        <w:t xml:space="preserve"> This was not just new language. Brokers expanded consulting, analytics, program design, and measurement capabilities to support the broader value proposition.</w:t>
      </w:r>
    </w:p>
    <w:p w14:paraId="1A5E7CFC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t>Buyer shift:</w:t>
      </w:r>
      <w:r w:rsidRPr="00704F0F">
        <w:t xml:space="preserve"> The conversation expanded beyond benefits procurement to HR leadership, finance, and executives concerned with workforce performance.</w:t>
      </w:r>
    </w:p>
    <w:p w14:paraId="35ED7F21" w14:textId="77777777" w:rsidR="00704F0F" w:rsidRPr="00704F0F" w:rsidRDefault="00704F0F" w:rsidP="00704F0F">
      <w:pPr>
        <w:numPr>
          <w:ilvl w:val="0"/>
          <w:numId w:val="2"/>
        </w:numPr>
      </w:pPr>
      <w:r w:rsidRPr="00704F0F">
        <w:rPr>
          <w:b/>
          <w:bCs/>
        </w:rPr>
        <w:t>Historical qualification:</w:t>
      </w:r>
      <w:r w:rsidRPr="00704F0F">
        <w:t xml:space="preserve"> The dates discussed earlier are approximate industry-level context, not a verified chronology for a particular firm or market.</w:t>
      </w:r>
    </w:p>
    <w:p w14:paraId="7332D593" w14:textId="77777777" w:rsidR="00704F0F" w:rsidRPr="00704F0F" w:rsidRDefault="00704F0F" w:rsidP="00704F0F">
      <w:pPr>
        <w:rPr>
          <w:b/>
          <w:bCs/>
        </w:rPr>
      </w:pPr>
      <w:r w:rsidRPr="00704F0F">
        <w:rPr>
          <w:b/>
          <w:bCs/>
        </w:rPr>
        <w:t>How to apply the process elsewhere</w:t>
      </w:r>
    </w:p>
    <w:p w14:paraId="00385846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Identify the prevailing cost-based framing.</w:t>
      </w:r>
      <w:r w:rsidRPr="00704F0F">
        <w:t xml:space="preserve"> What is the service currently purchased to minimize, maintain, or comply with?</w:t>
      </w:r>
    </w:p>
    <w:p w14:paraId="0C9F3040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Find a credible link to a strategic outcome.</w:t>
      </w:r>
      <w:r w:rsidRPr="00704F0F">
        <w:t xml:space="preserve"> Could it improve reliability, revenue, speed, retention, or risk resilience?</w:t>
      </w:r>
    </w:p>
    <w:p w14:paraId="520AD148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Map the causal chain.</w:t>
      </w:r>
      <w:r w:rsidRPr="00704F0F">
        <w:t xml:space="preserve"> Explain how specific service changes could produce that outcome; avoid jumping directly from spending to ROI.</w:t>
      </w:r>
    </w:p>
    <w:p w14:paraId="040B8AB2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Identify the necessary capabilities.</w:t>
      </w:r>
      <w:r w:rsidRPr="00704F0F">
        <w:t xml:space="preserve"> What operational improvements, expertise, or data would make the claim credible?</w:t>
      </w:r>
    </w:p>
    <w:p w14:paraId="49D48729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Choose measures and decision-makers.</w:t>
      </w:r>
      <w:r w:rsidRPr="00704F0F">
        <w:t xml:space="preserve"> Match outcomes to the people accountable for them.</w:t>
      </w:r>
    </w:p>
    <w:p w14:paraId="79520815" w14:textId="77777777" w:rsidR="00704F0F" w:rsidRPr="00704F0F" w:rsidRDefault="00704F0F" w:rsidP="00704F0F">
      <w:pPr>
        <w:numPr>
          <w:ilvl w:val="0"/>
          <w:numId w:val="3"/>
        </w:numPr>
      </w:pPr>
      <w:r w:rsidRPr="00704F0F">
        <w:rPr>
          <w:b/>
          <w:bCs/>
        </w:rPr>
        <w:t>Test the claim.</w:t>
      </w:r>
      <w:r w:rsidRPr="00704F0F">
        <w:t xml:space="preserve"> Distinguish demonstrated results from plausible benefits, accounting for costs, time lags, and alternative explanations.</w:t>
      </w:r>
    </w:p>
    <w:p w14:paraId="5B0D05D0" w14:textId="77777777" w:rsidR="00704F0F" w:rsidRPr="00704F0F" w:rsidRDefault="00704F0F" w:rsidP="00704F0F">
      <w:r w:rsidRPr="00704F0F">
        <w:t xml:space="preserve">For example, </w:t>
      </w:r>
      <w:r w:rsidRPr="00704F0F">
        <w:rPr>
          <w:b/>
          <w:bCs/>
        </w:rPr>
        <w:t>IT support</w:t>
      </w:r>
      <w:r w:rsidRPr="00704F0F">
        <w:t xml:space="preserve"> could be reframed from “the cost of resolving tickets” to “an investment in employee uptime”—but only if improved support demonstrably reduces disruption.</w:t>
      </w:r>
    </w:p>
    <w:p w14:paraId="30559E74" w14:textId="671E3685" w:rsidR="00704F0F" w:rsidRDefault="00704F0F" w:rsidP="00704F0F">
      <w:r w:rsidRPr="00704F0F">
        <w:rPr>
          <w:b/>
          <w:bCs/>
        </w:rPr>
        <w:t>Core guardrail:</w:t>
      </w:r>
      <w:r w:rsidRPr="00704F0F">
        <w:t xml:space="preserve"> Reframing is not proof of value. In EH&amp;B, employee well-being also has value independent of productivity, and health-data use requires privacy safeguards. An analogous application should preserve the field’s own ethical and practical constraints.</w:t>
      </w:r>
    </w:p>
    <w:p w14:paraId="4B9EB29D" w14:textId="1737E764" w:rsidR="0057004B" w:rsidRPr="001A7BCB" w:rsidRDefault="0057004B" w:rsidP="00704F0F">
      <w:r w:rsidRPr="0057004B">
        <w:rPr>
          <w:highlight w:val="yellow"/>
        </w:rPr>
        <w:t xml:space="preserve">High speed internet is essential for employees to be as productive as possible so making their life a little bit easier and empowering them to </w:t>
      </w:r>
      <w:r w:rsidRPr="0057004B">
        <w:rPr>
          <w:highlight w:val="yellow"/>
        </w:rPr>
        <w:t>succeed</w:t>
      </w:r>
      <w:r w:rsidRPr="0057004B">
        <w:rPr>
          <w:highlight w:val="yellow"/>
        </w:rPr>
        <w:t xml:space="preserve"> is an angle we can take to win market share</w:t>
      </w:r>
    </w:p>
    <w:sectPr w:rsidR="0057004B" w:rsidRPr="001A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29E2"/>
    <w:multiLevelType w:val="multilevel"/>
    <w:tmpl w:val="F6E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9597A"/>
    <w:multiLevelType w:val="multilevel"/>
    <w:tmpl w:val="EFE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B4CCE"/>
    <w:multiLevelType w:val="multilevel"/>
    <w:tmpl w:val="A370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499405">
    <w:abstractNumId w:val="1"/>
  </w:num>
  <w:num w:numId="2" w16cid:durableId="1113406776">
    <w:abstractNumId w:val="0"/>
  </w:num>
  <w:num w:numId="3" w16cid:durableId="778990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08"/>
    <w:rsid w:val="000020AF"/>
    <w:rsid w:val="000F1E69"/>
    <w:rsid w:val="0013179D"/>
    <w:rsid w:val="001A7BCB"/>
    <w:rsid w:val="0057004B"/>
    <w:rsid w:val="00704F0F"/>
    <w:rsid w:val="00841CD4"/>
    <w:rsid w:val="00A142E3"/>
    <w:rsid w:val="00D1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4868"/>
  <w15:chartTrackingRefBased/>
  <w15:docId w15:val="{03BEB179-7A63-4A25-B9E5-4BBF0DB1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BC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Conger, Kyle E.</dc:creator>
  <cp:keywords/>
  <dc:description/>
  <cp:lastModifiedBy>Conger, Kyle E.</cp:lastModifiedBy>
  <cp:revision>4</cp:revision>
  <dcterms:created xsi:type="dcterms:W3CDTF">2026-09-22T00:04:00Z</dcterms:created>
  <dcterms:modified xsi:type="dcterms:W3CDTF">2026-09-22T00:09:00Z</dcterms:modified>
</cp:coreProperties>
</file>