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March 30,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Salesforce has made significant strides with the release of VoiceAgentRAG, a dual-agent memory router that dramatically reduces voice retrieval latency by 316 times. This innovation is expected to enhance user experience in voice-activated applications and services, facilitating faster and more efficient interactions </w:t>
      </w:r>
      <w:r>
        <w:rPr>
          <w:vertAlign w:val="superscript"/>
        </w:rPr>
        <w:t>1</w:t>
      </w:r>
      <w:r>
        <w:t xml:space="preserve">. Additionally, Agent-Infra has launched AIO Sandbox, an all-in-one runtime for AI agents that integrates a browser, shell, shared filesystem, and multi-channel processing capabilities. This product aims to streamline the development of AI applications by providing a comprehensive environment for testing and deployment </w:t>
      </w:r>
      <w:r>
        <w:rPr>
          <w:vertAlign w:val="superscript"/>
        </w:rPr>
        <w:t>2</w:t>
      </w:r>
      <w:r>
        <w:t xml:space="preserve">. Lastly, Chroma has introduced Context-1, a 20 billion parameter agentic search model designed for multi-hop retrieval and context management, which could significantly improve how AI systems understand and generate contextually relevant information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the integration of AI is reshaping operational efficiencies across various industries. Okta's CEO has emphasized the importance of AI agent identity, suggesting that businesses must adapt to leverage AI's potential fully. This shift is expected to drive more secure and efficient identity management solutions in the future </w:t>
      </w:r>
      <w:r>
        <w:rPr>
          <w:vertAlign w:val="superscript"/>
        </w:rPr>
        <w:t>4</w:t>
      </w:r>
      <w:r>
        <w:t xml:space="preserve">. Furthermore, Uber's acquisition of Berlin startup Blacklane aims to enhance its 'Elite' offering, highlighting how companies are increasingly investing in AI-driven technologies to improve service quality and customer satisfaction </w:t>
      </w:r>
      <w:r>
        <w:rPr>
          <w:vertAlign w:val="superscript"/>
        </w:rPr>
        <w:t>5</w:t>
      </w:r>
      <w:r>
        <w:t>. As organizations continue to adopt AI, we anticipate a significant transformation in customer engagement strategies and operational workflows, leading to improved profitability and market competitiveness.</w:t>
      </w:r>
    </w:p>
    <w:p>
      <w:pPr>
        <w:spacing w:after="120" w:line="288" w:lineRule="auto"/>
      </w:pPr>
      <w:r>
        <w:rPr>
          <w:b/>
        </w:rPr>
        <w:t>Implementation Opportunities:</w:t>
      </w:r>
    </w:p>
    <w:p>
      <w:pPr>
        <w:spacing w:after="360" w:line="288" w:lineRule="auto"/>
      </w:pPr>
      <w:r>
        <w:t xml:space="preserve">Next, let's explore implementation opportunities. The rise of advanced cybersecurity AI agents has opened new avenues for businesses to enhance their security protocols. By utilizing tools, guardrails, and multi-agent workflows, organizations can build robust cybersecurity frameworks that are both proactive and reactive to threats </w:t>
      </w:r>
      <w:r>
        <w:rPr>
          <w:vertAlign w:val="superscript"/>
        </w:rPr>
        <w:t>6</w:t>
      </w:r>
      <w:r>
        <w:t xml:space="preserve">. Moreover, Mantis Biotech's initiative to create 'digital twins' of humans aims to address data availability issues in medicine, providing a unique opportunity for healthcare organizations to leverage AI for personalized treatment plans and improved patient outcomes </w:t>
      </w:r>
      <w:r>
        <w:rPr>
          <w:vertAlign w:val="superscript"/>
        </w:rPr>
        <w:t>7</w:t>
      </w:r>
      <w:r>
        <w:t>. These developments indicate that industries willing to invest in AI implementation will likely see significant returns in efficiency and effectiveness.</w:t>
      </w:r>
    </w:p>
    <w:p>
      <w:pPr>
        <w:spacing w:after="120" w:line="288" w:lineRule="auto"/>
      </w:pPr>
      <w:r>
        <w:rPr>
          <w:b/>
        </w:rPr>
        <w:t>Market Dynamics:</w:t>
      </w:r>
    </w:p>
    <w:p>
      <w:pPr>
        <w:spacing w:after="360" w:line="288" w:lineRule="auto"/>
      </w:pPr>
      <w:r>
        <w:t xml:space="preserve">Now, onto market dynamics. The AI chip sector is experiencing a significant influx of investment, with startups like Rebellions raising $400 million at a $2.3 billion valuation in a pre-IPO round. This financial backing underscores the growing demand for specialized AI hardware that can support complex computations and enhance AI capabilities </w:t>
      </w:r>
      <w:r>
        <w:rPr>
          <w:vertAlign w:val="superscript"/>
        </w:rPr>
        <w:t>8</w:t>
      </w:r>
      <w:r>
        <w:t xml:space="preserve">. Additionally, ScaleOps has secured $130 million to improve computing efficiency amid rising AI demand, indicating a trend where companies are prioritizing infrastructure that can support AI applications at scale </w:t>
      </w:r>
      <w:r>
        <w:rPr>
          <w:vertAlign w:val="superscript"/>
        </w:rPr>
        <w:t>9</w:t>
      </w:r>
      <w:r>
        <w:t>. As the market evolves, we expect to see increased competition among AI chip manufacturers, which will likely drive innovation and reduce costs for end-users.</w:t>
      </w:r>
    </w:p>
    <w:p>
      <w:pPr>
        <w:spacing w:after="120" w:line="288" w:lineRule="auto"/>
      </w:pPr>
      <w:r>
        <w:rPr>
          <w:b/>
        </w:rPr>
        <w:t>Talent Market Shifts:</w:t>
      </w:r>
    </w:p>
    <w:p>
      <w:pPr>
        <w:spacing w:after="360" w:line="288" w:lineRule="auto"/>
      </w:pPr>
      <w:r>
        <w:t>Finally, let's discuss talent market shifts. As AI technologies continue to advance, there is a growing need for skilled professionals who can develop, implement, and manage these systems. The demand for experts in AI and machine learning is outpacing supply, leading to competitive hiring practices across industries. Companies are increasingly seeking candidates with specialized skills in AI frameworks and programming languages, emphasizing the importance of continuous learning and professional development in this rapidly changing landscape. Organizations that invest in training and upskilling their workforce will be better positioned to harness the full potential of AI technologies.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Salesforce AI Research Releases VoiceAgentRAG: A Dual-Agent Memory Router that Cuts Voice RAG Retrieval Latency by 316x — https://www.marktechpost.com/2026/03/30/salesforce-ai-research-releases-voiceagentrag-a-dual-agent-memory-router-that-cuts-voice-rag-retrieval-latency-by-316x/</w:t>
      </w:r>
    </w:p>
    <w:p>
      <w:pPr>
        <w:spacing w:after="360" w:line="288" w:lineRule="auto"/>
      </w:pPr>
      <w:r>
        <w:t>[2] Agent-Infra Releases AIO Sandbox: An All-in-One Runtime for AI Agents with Browser, Shell, Shared Filesystem, and MCP — https://www.marktechpost.com/2026/03/29/agent-infra-releases-aio-sandbox-an-all-in-one-runtime-for-ai-agents-with-browser-shell-shared-filesystem-and-mcp/</w:t>
      </w:r>
    </w:p>
    <w:p>
      <w:pPr>
        <w:spacing w:after="360" w:line="288" w:lineRule="auto"/>
      </w:pPr>
      <w:r>
        <w:t>[3] Chroma Releases Context-1: A 20B Agentic Search Model for Multi-Hop Retrieval, Context Management, and Scalable Synthetic Task Generation — https://www.marktechpost.com/2026/03/29/chroma-releases-context-1-a-20b-agentic-search-model-for-multi-hop-retrieval-context-management-and-scalable-synthetic-task-generation/</w:t>
      </w:r>
    </w:p>
    <w:p>
      <w:pPr>
        <w:spacing w:after="360" w:line="288" w:lineRule="auto"/>
      </w:pPr>
      <w:r>
        <w:t>[4] Okta&amp;#8217;s CEO is betting big on AI agent identity — https://www.theverge.com/podcast/902264/oktas-ceo-is-betting-big-on-ai-agent-identity</w:t>
      </w:r>
    </w:p>
    <w:p>
      <w:pPr>
        <w:spacing w:after="360" w:line="288" w:lineRule="auto"/>
      </w:pPr>
      <w:r>
        <w:t>[5] Uber is buying Berlin startup Blacklane to bolster its ‘Elite’ offering — https://techcrunch.com/2026/03/30/uber-is-buying-berlin-startup-blacklane-to-bolster-its-elite-offering/</w:t>
      </w:r>
    </w:p>
    <w:p>
      <w:pPr>
        <w:spacing w:after="360" w:line="288" w:lineRule="auto"/>
      </w:pPr>
      <w:r>
        <w:t>[6] How to Build Advanced Cybersecurity AI Agents with CAI Using Tools, Guardrails, Handoffs, and Multi-Agent Workflows — https://www.marktechpost.com/2026/03/29/how-to-build-advanced-cybersecurity-ai-agents-with-cai-using-tools-guardrails-handoffs-and-multi-agent-workflows/</w:t>
      </w:r>
    </w:p>
    <w:p>
      <w:pPr>
        <w:spacing w:after="360" w:line="288" w:lineRule="auto"/>
      </w:pPr>
      <w:r>
        <w:t>[7] Mantis Biotech is making ‘digital twins’ of humans to help solve medicine’s data availability problem — https://techcrunch.com/2026/03/30/mantis-biotech-is-making-digital-twins-of-humans-to-help-solve-medicines-data-availability-problem/</w:t>
      </w:r>
    </w:p>
    <w:p>
      <w:pPr>
        <w:spacing w:after="360" w:line="288" w:lineRule="auto"/>
      </w:pPr>
      <w:r>
        <w:t>[8] AI chip startup Rebellions raises $400 million at $2.3B valuation in pre-IPO round — https://techcrunch.com/2026/03/30/ai-chip-startup-rebellions-raises-400-million-at-2-3b-valuation-in-pre-ipo-round/</w:t>
      </w:r>
    </w:p>
    <w:p>
      <w:pPr>
        <w:spacing w:after="360" w:line="288" w:lineRule="auto"/>
      </w:pPr>
      <w:r>
        <w:t>[9] ScaleOps raises $130M to improve computing efficiency amid AI demand — https://techcrunch.com/2026/03/30/scaleops-130m-series-c-kubernetes-efficiency-ai-demand-funding/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