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January 12,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Google has recently introduced buy buttons integrated into its Gemini AI search platform, enhancing the shopping experience for users by streamlining the purchasing process directly from search results </w:t>
      </w:r>
      <w:r>
        <w:rPr>
          <w:vertAlign w:val="superscript"/>
        </w:rPr>
        <w:t>1</w:t>
      </w:r>
      <w:r>
        <w:t xml:space="preserve">. This feature is expected to significantly boost e-commerce engagement and conversion rates. Meanwhile, researchers at Stanford have developed the SleepFM Clinical model, a multimodal AI system capable of predicting over 130 diseases based on sleep data, marking a significant advancement in healthcare applications of AI </w:t>
      </w:r>
      <w:r>
        <w:rPr>
          <w:vertAlign w:val="superscript"/>
        </w:rPr>
        <w:t>2</w:t>
      </w:r>
      <w:r>
        <w:t xml:space="preserve">. Additionally, Meta and Harvard have unveiled the Confucius Code Agent (CCA), which is designed to manage large-scale codebases, thereby improving software engineering efficiency and collaboration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Harmattan AI has successfully raised $200 million in Series B funding, led by Dassault Aviation, and has achieved unicorn status in the defense sector </w:t>
      </w:r>
      <w:r>
        <w:rPr>
          <w:vertAlign w:val="superscript"/>
        </w:rPr>
        <w:t>4</w:t>
      </w:r>
      <w:r>
        <w:t xml:space="preserve">. This funding will likely enhance their AI capabilities in defense applications, which is an area of increasing investment and interest. Furthermore, inDrive is diversifying its revenue streams by venturing into advertising and grocery services, reflecting a broader trend of tech companies seeking new avenues for growth amid competitive pressures </w:t>
      </w:r>
      <w:r>
        <w:rPr>
          <w:vertAlign w:val="superscript"/>
        </w:rPr>
        <w:t>5</w:t>
      </w:r>
      <w:r>
        <w:t>. These developments indicate a shift in how businesses are leveraging AI to not only enhance existing services but also to explore new markets and revenue opportunities.</w:t>
      </w:r>
    </w:p>
    <w:p>
      <w:pPr>
        <w:spacing w:after="120" w:line="288" w:lineRule="auto"/>
      </w:pPr>
      <w:r>
        <w:rPr>
          <w:b/>
        </w:rPr>
        <w:t>Implementation Opportunities:</w:t>
      </w:r>
    </w:p>
    <w:p>
      <w:pPr>
        <w:spacing w:after="360" w:line="288" w:lineRule="auto"/>
      </w:pPr>
      <w:r>
        <w:t xml:space="preserve">Next, let's explore implementation opportunities. The introduction of the SETA framework offers open-source training environments for reinforcement learning, featuring 400 tasks that can be utilized by developers to refine their AI models </w:t>
      </w:r>
      <w:r>
        <w:rPr>
          <w:vertAlign w:val="superscript"/>
        </w:rPr>
        <w:t>6</w:t>
      </w:r>
      <w:r>
        <w:t xml:space="preserve">. This presents an excellent opportunity for organizations looking to implement advanced AI solutions without the overhead of building custom environments from scratch. Additionally, the coding guide on targeted data poisoning attacks provides insights into securing AI systems against vulnerabilities, which is crucial for businesses seeking to adopt AI responsibly </w:t>
      </w:r>
      <w:r>
        <w:rPr>
          <w:vertAlign w:val="superscript"/>
        </w:rPr>
        <w:t>7</w:t>
      </w:r>
      <w:r>
        <w:t>. Companies can leverage these resources to enhance their AI capabilities while ensuring robust security measures are in place.</w:t>
      </w:r>
    </w:p>
    <w:p>
      <w:pPr>
        <w:spacing w:after="120" w:line="288" w:lineRule="auto"/>
      </w:pPr>
      <w:r>
        <w:rPr>
          <w:b/>
        </w:rPr>
        <w:t>Market Dynamics:</w:t>
      </w:r>
    </w:p>
    <w:p>
      <w:pPr>
        <w:spacing w:after="360" w:line="288" w:lineRule="auto"/>
      </w:pPr>
      <w:r>
        <w:t xml:space="preserve">Now, onto market dynamics. The AI landscape continues to evolve rapidly, with significant shifts in investment and innovation. The recent influx of capital into AI startups, particularly in defense and healthcare, highlights a growing recognition of AI's transformative potential in critical sectors </w:t>
      </w:r>
      <w:r>
        <w:rPr>
          <w:vertAlign w:val="superscript"/>
        </w:rPr>
        <w:t>4</w:t>
      </w:r>
      <w:r>
        <w:t xml:space="preserve">. Moreover, as companies like Motional prepare to launch driverless services in 2026, the competition in the autonomous vehicle market is intensifying, prompting other players to accelerate their AI development efforts </w:t>
      </w:r>
      <w:r>
        <w:rPr>
          <w:vertAlign w:val="superscript"/>
        </w:rPr>
        <w:t>8</w:t>
      </w:r>
      <w:r>
        <w:t>. This competitive environment is likely to spur further innovations and collaborations across the industry.</w:t>
      </w:r>
    </w:p>
    <w:p>
      <w:pPr>
        <w:spacing w:after="120" w:line="288" w:lineRule="auto"/>
      </w:pPr>
      <w:r>
        <w:rPr>
          <w:b/>
        </w:rPr>
        <w:t>Talent Market Shifts:</w:t>
      </w:r>
    </w:p>
    <w:p>
      <w:pPr>
        <w:spacing w:after="360" w:line="288" w:lineRule="auto"/>
      </w:pPr>
      <w:r>
        <w:t xml:space="preserve">Finally, let's discuss talent market shifts. The hiring of Dina Powell McCormick by Meta as president and vice chair signals a strategic move to strengthen leadership with experience in navigating complex regulatory landscapes, particularly in AI </w:t>
      </w:r>
      <w:r>
        <w:rPr>
          <w:vertAlign w:val="superscript"/>
        </w:rPr>
        <w:t>9</w:t>
      </w:r>
      <w:r>
        <w:t>. This trend of attracting seasoned professionals is becoming more pronounced as companies recognize the need for expertise in managing the ethical and operational challenges posed by AI technologies. As the demand for AI talent continues to surge, organizations must adapt their recruitment strategies to attract top-tier candidates who can drive innovation and ensure responsible AI deployment.</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Google brings buy buttons to Gemini and AI search — https://www.theverge.com/news/860446/google-ai-shopping-standard-buy-button-gemini</w:t>
      </w:r>
    </w:p>
    <w:p>
      <w:pPr>
        <w:spacing w:after="360" w:line="288" w:lineRule="auto"/>
      </w:pPr>
      <w:r>
        <w:t>[2] Stanford Researchers Build SleepFM Clinical: A Multimodal Sleep Foundation AI Model for 130+ Disease Prediction — https://www.marktechpost.com/2026/01/08/stanford-researchers-build-sleepfm-clinical-a-multimodal-sleep-foundation-ai-model-for-130-disease-prediction/</w:t>
      </w:r>
    </w:p>
    <w:p>
      <w:pPr>
        <w:spacing w:after="360" w:line="288" w:lineRule="auto"/>
      </w:pPr>
      <w:r>
        <w:t>[3] Meta and Harvard Researchers Introduce the Confucius Code Agent (CCA): A Software Engineering Agent that can Operate at Large-Scale Codebases — https://www.marktechpost.com/2026/01/09/meta-and-harvard-researchers-introduce-the-confucius-code-agent-cca-a-software-engineering-agent-that-can-operate-at-large-scale-codebases/</w:t>
      </w:r>
    </w:p>
    <w:p>
      <w:pPr>
        <w:spacing w:after="360" w:line="288" w:lineRule="auto"/>
      </w:pPr>
      <w:r>
        <w:t>[4] Harmattan AI raises $200M Series B led by Dassault Aviation, becomes defense unicorn — https://techcrunch.com/2026/01/12/harmattan-ai-raises-200m-series-b-led-by-dassault-aviation-becomes-defense-unicorn/</w:t>
      </w:r>
    </w:p>
    <w:p>
      <w:pPr>
        <w:spacing w:after="360" w:line="288" w:lineRule="auto"/>
      </w:pPr>
      <w:r>
        <w:t>[5] inDrive turns to ads and groceries to diversify revenue — https://techcrunch.com/2026/01/11/indrive-turns-to-ads-and-groceries-to-diversify-revenue/</w:t>
      </w:r>
    </w:p>
    <w:p>
      <w:pPr>
        <w:spacing w:after="360" w:line="288" w:lineRule="auto"/>
      </w:pPr>
      <w:r>
        <w:t>[6] Meet SETA: Open Source Training Reinforcement Learning Environments for Terminal Agents with 400 Tasks and CAMEL Toolkit — https://www.marktechpost.com/2026/01/11/meet-seta-open-source-training-reinforcement-learning-environments-for-terminal-agents-with-400-tasks-and-camel-toolkit/</w:t>
      </w:r>
    </w:p>
    <w:p>
      <w:pPr>
        <w:spacing w:after="360" w:line="288" w:lineRule="auto"/>
      </w:pPr>
      <w:r>
        <w:t>[7] A Coding Guide to Demonstrate Targeted Data Poisoning Attacks in Deep Learning by Label Flipping on CIFAR-10 with PyTorch — https://www.marktechpost.com/2026/01/11/a-coding-guide-to-demonstrate-targeted-data-poisoning-attacks-in-deep-learning-by-label-flipping-on-cifar-10-with-pytorch/</w:t>
      </w:r>
    </w:p>
    <w:p>
      <w:pPr>
        <w:spacing w:after="360" w:line="288" w:lineRule="auto"/>
      </w:pPr>
      <w:r>
        <w:t>[8] Motional puts AI at center of robotaxi reboot as it targets 2026 for driverless service — https://techcrunch.com/2026/01/11/motional-puts-ai-at-center-of-robotaxi-reboot-as-it-targets-2026-for-driverless-service/</w:t>
      </w:r>
    </w:p>
    <w:p>
      <w:pPr>
        <w:spacing w:after="360" w:line="288" w:lineRule="auto"/>
      </w:pPr>
      <w:r>
        <w:t>[9] Meta hires former Trump advisor Dina Powell McCormick as president and vice chair — https://techcrunch.com/2026/01/12/meta-hires-former-trump-advisor-dina-powell-mccormick-as-president-and-vice-chair/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