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May 11,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Sakana AI and NVIDIA have unveiled TwELL, a new technology that utilizes CUDA kernels to enhance the performance of large language models (LLMs) significantly. This innovation boasts a 20.5% increase in inference speed and a 21.9% boost in training speed, which could greatly impact the efficiency of AI applications across various sectors </w:t>
      </w:r>
      <w:r>
        <w:rPr>
          <w:vertAlign w:val="superscript"/>
        </w:rPr>
        <w:t>1</w:t>
      </w:r>
      <w:r>
        <w:t xml:space="preserve">. Additionally, a new coding implementation has been developed to create an agent-native memory infrastructure using Memori. This allows for persistent multi-user and multi-session applications, paving the way for more sophisticated interactions with AI systems </w:t>
      </w:r>
      <w:r>
        <w:rPr>
          <w:vertAlign w:val="superscript"/>
        </w:rPr>
        <w:t>2</w:t>
      </w:r>
      <w:r>
        <w:t>. These advancements are indicative of a growing trend towards optimizing AI performance to handle complex tasks more efficiently.</w:t>
      </w:r>
    </w:p>
    <w:p>
      <w:pPr>
        <w:spacing w:after="120" w:line="288" w:lineRule="auto"/>
      </w:pPr>
      <w:r>
        <w:rPr>
          <w:b/>
        </w:rPr>
        <w:t>Strategic Business Impact:</w:t>
      </w:r>
    </w:p>
    <w:p>
      <w:pPr>
        <w:spacing w:after="360" w:line="288" w:lineRule="auto"/>
      </w:pPr>
      <w:r>
        <w:t xml:space="preserve">Moving on to strategic business impact, the integration of AI technologies continues to reshape industries. For instance, companies are increasingly leveraging AI-driven analytics to enhance decision-making processes and customer engagement strategies. As organizations adopt these technologies, they can expect to see improvements in operational efficiencies and a reduction in costs associated with traditional data processing methods </w:t>
      </w:r>
      <w:r>
        <w:rPr>
          <w:vertAlign w:val="superscript"/>
        </w:rPr>
        <w:t>3</w:t>
      </w:r>
      <w:r>
        <w:t xml:space="preserve">. Furthermore, Nous Research's self-improving agent, OpenClaw, has recently outperformed competitors, highlighting the competitive edge that advanced AI systems can provide in market positioning </w:t>
      </w:r>
      <w:r>
        <w:rPr>
          <w:vertAlign w:val="superscript"/>
        </w:rPr>
        <w:t>4</w:t>
      </w:r>
      <w:r>
        <w:t>. This shift not only influences product development but also changes the landscape of workforce requirements, as businesses seek talent capable of managing and implementing these advanced tools.</w:t>
      </w:r>
    </w:p>
    <w:p>
      <w:pPr>
        <w:spacing w:after="120" w:line="288" w:lineRule="auto"/>
      </w:pPr>
      <w:r>
        <w:rPr>
          <w:b/>
        </w:rPr>
        <w:t>Implementation Opportunities:</w:t>
      </w:r>
    </w:p>
    <w:p>
      <w:pPr>
        <w:spacing w:after="360" w:line="288" w:lineRule="auto"/>
      </w:pPr>
      <w:r>
        <w:t xml:space="preserve">Next, let's explore implementation opportunities. The development of cost-aware LLM routing systems, such as NadirClaw, demonstrates a practical application of AI in optimizing resource allocation for machine learning tasks. This system utilizes local prompt classification and Gemini model switching to ensure efficient use of computational resources </w:t>
      </w:r>
      <w:r>
        <w:rPr>
          <w:vertAlign w:val="superscript"/>
        </w:rPr>
        <w:t>5</w:t>
      </w:r>
      <w:r>
        <w:t xml:space="preserve">. As businesses look to implement AI solutions, there is a significant opportunity for organizations to adopt these advanced routing systems to manage costs effectively while maximizing output. Additionally, the rise of AI news aggregators, like the new version of Digg, showcases how AI can streamline content delivery and enhance user engagement through tailored news feeds </w:t>
      </w:r>
      <w:r>
        <w:rPr>
          <w:vertAlign w:val="superscript"/>
        </w:rPr>
        <w:t>6</w:t>
      </w:r>
      <w:r>
        <w:t>.</w:t>
      </w:r>
    </w:p>
    <w:p>
      <w:pPr>
        <w:spacing w:after="120" w:line="288" w:lineRule="auto"/>
      </w:pPr>
      <w:r>
        <w:rPr>
          <w:b/>
        </w:rPr>
        <w:t>Market Dynamics:</w:t>
      </w:r>
    </w:p>
    <w:p>
      <w:pPr>
        <w:spacing w:after="360" w:line="288" w:lineRule="auto"/>
      </w:pPr>
      <w:r>
        <w:t xml:space="preserve">Now, onto market dynamics. The AI landscape is becoming increasingly competitive, with new entrants and innovations emerging regularly. For example, TikTok has launched an ad-free subscription plan in the UK, which may influence how content platforms utilize AI for personalized advertising and user engagement </w:t>
      </w:r>
      <w:r>
        <w:rPr>
          <w:vertAlign w:val="superscript"/>
        </w:rPr>
        <w:t>7</w:t>
      </w:r>
      <w:r>
        <w:t xml:space="preserve">. This move reflects a broader trend where companies are experimenting with different business models that leverage AI to enhance user experiences. Moreover, the ongoing litigation between high-profile tech figures like Elon Musk and Sam Altman over the future of OpenAI underscores the intense scrutiny and competitive pressures within the AI sector </w:t>
      </w:r>
      <w:r>
        <w:rPr>
          <w:vertAlign w:val="superscript"/>
        </w:rPr>
        <w:t>8</w:t>
      </w:r>
      <w:r>
        <w:t>. As companies navigate these dynamics, they must remain agile to adapt to changing market conditions and consumer expectations.</w:t>
      </w:r>
    </w:p>
    <w:p>
      <w:pPr>
        <w:spacing w:after="120" w:line="288" w:lineRule="auto"/>
      </w:pPr>
      <w:r>
        <w:rPr>
          <w:b/>
        </w:rPr>
        <w:t>Talent Market Shifts:</w:t>
      </w:r>
    </w:p>
    <w:p>
      <w:pPr>
        <w:spacing w:after="360" w:line="288" w:lineRule="auto"/>
      </w:pPr>
      <w:r>
        <w:t xml:space="preserve">Finally, let's discuss talent market shifts. As AI technologies evolve, there is a growing demand for skilled professionals who can develop and manage these systems. The need for expertise in areas such as machine learning, data analysis, and AI ethics is becoming increasingly critical </w:t>
      </w:r>
      <w:r>
        <w:rPr>
          <w:vertAlign w:val="superscript"/>
        </w:rPr>
        <w:t>3</w:t>
      </w:r>
      <w:r>
        <w:t xml:space="preserve">. This shift is prompting educational institutions to revise curricula and focus on equipping students with the necessary skills to thrive in an AI-driven job market. Additionally, organizations are investing in upskilling their current workforce to bridge the talent gap and ensure they remain competitive </w:t>
      </w:r>
      <w:r>
        <w:rPr>
          <w:vertAlign w:val="superscript"/>
        </w:rPr>
        <w:t>4</w:t>
      </w:r>
      <w:r>
        <w:t>. As we move forward, the emphasis on continuous learning and adaptation will be essential for both individuals and companies in the AI landscape.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Sakana AI and NVIDIA Introduce TwELL with CUDA Kernels for 20.5% Inference and 21.9% Training Speedup in LLMs — https://www.marktechpost.com/2026/05/11/sakana-ai-and-nvidia-introduce-twell-with-cuda-kernels-for-20-5-inference-and-21-9-training-speedup-in-llms/</w:t>
      </w:r>
    </w:p>
    <w:p>
      <w:pPr>
        <w:spacing w:after="360" w:line="288" w:lineRule="auto"/>
      </w:pPr>
      <w:r>
        <w:t>[2] A Coding Implementation to Build Agent-Native Memory Infrastructure with Memori for Persistent Multi-User and Multi-Session LLM Applications — https://www.marktechpost.com/2026/05/11/a-coding-implementation-to-build-agent-native-memory-infrastructure-with-memori-for-persistent-multi-user-and-multi-session-llm-applications/</w:t>
      </w:r>
    </w:p>
    <w:p>
      <w:pPr>
        <w:spacing w:after="360" w:line="288" w:lineRule="auto"/>
      </w:pPr>
      <w:r>
        <w:t>[3] Best Vector Databases in 2026: Pricing, Scale Limits, and Architecture Tradeoffs Across Nine Leading Systems — https://www.marktechpost.com/2026/05/10/best-vector-databases-in-2026-pricing-scale-limits-and-architecture-tradeoffs-across-nine-leading-systems/</w:t>
      </w:r>
    </w:p>
    <w:p>
      <w:pPr>
        <w:spacing w:after="360" w:line="288" w:lineRule="auto"/>
      </w:pPr>
      <w:r>
        <w:t>[4] OpenClaw vs Hermes Agent: Why Nous Research’s Self-Improving Agent Now Leads OpenRouter’s Global Rankings — https://www.marktechpost.com/2026/05/10/openclaw-vs-hermes-agent-why-nous-researchs-self-improving-agent-now-leads-openrouters-global-rankings/</w:t>
      </w:r>
    </w:p>
    <w:p>
      <w:pPr>
        <w:spacing w:after="360" w:line="288" w:lineRule="auto"/>
      </w:pPr>
      <w:r>
        <w:t>[5] How to Build a Cost-Aware LLM Routing System with NadirClaw Using Local Prompt Classification and Gemini Model Switching — https://www.marktechpost.com/2026/05/10/how-to-build-a-cost-aware-llm-routing-system-with-nadirclaw-using-local-prompt-classification-and-gemini-model-switching/</w:t>
      </w:r>
    </w:p>
    <w:p>
      <w:pPr>
        <w:spacing w:after="360" w:line="288" w:lineRule="auto"/>
      </w:pPr>
      <w:r>
        <w:t>[6] Digg tries again, this time as an AI news aggregator — https://techcrunch.com/2026/05/11/digg-tries-again-this-time-as-an-ai-news-aggregator/</w:t>
      </w:r>
    </w:p>
    <w:p>
      <w:pPr>
        <w:spacing w:after="360" w:line="288" w:lineRule="auto"/>
      </w:pPr>
      <w:r>
        <w:t>[7] TikTok launches an ad-free subscription plan in the UK — https://techcrunch.com/2026/05/11/tiktok-launches-an-ad-free-subscription-plan-in-the-uk/</w:t>
      </w:r>
    </w:p>
    <w:p>
      <w:pPr>
        <w:spacing w:after="360" w:line="288" w:lineRule="auto"/>
      </w:pPr>
      <w:r>
        <w:t>[8] Live updates from Elon Musk and Sam Altman’s court battle over the future of OpenAI — https://www.theverge.com/tech/917225/sam-altman-elon-musk-openai-lawsuit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