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 w:line="288" w:lineRule="auto"/>
      </w:pPr>
      <w:r>
        <w:rPr>
          <w:b/>
        </w:rPr>
        <w:t>New Products &amp; Capabilities</w:t>
      </w:r>
    </w:p>
    <w:p>
      <w:pPr>
        <w:spacing w:after="360" w:line="288" w:lineRule="auto"/>
      </w:pPr>
      <w:r>
        <w:t>Hello, here is your weekly update for Monday, November 10, 2025</w:t>
      </w:r>
    </w:p>
    <w:p>
      <w:pPr>
        <w:spacing w:after="360" w:line="288" w:lineRule="auto"/>
      </w:pPr>
      <w:r>
        <w:rPr>
          <w:b/>
        </w:rPr>
        <w:t>Strategic Business Impact</w:t>
      </w:r>
    </w:p>
    <w:p>
      <w:pPr>
        <w:spacing w:after="360" w:line="288" w:lineRule="auto"/>
      </w:pPr>
      <w:r>
        <w:rPr>
          <w:b/>
        </w:rPr>
        <w:t>Implementation Opportunities</w:t>
      </w:r>
    </w:p>
    <w:p>
      <w:pPr>
        <w:spacing w:after="360" w:line="288" w:lineRule="auto"/>
      </w:pPr>
      <w:r>
        <w:rPr>
          <w:b/>
        </w:rPr>
        <w:t>Market Dynamics</w:t>
      </w:r>
    </w:p>
    <w:p>
      <w:pPr>
        <w:spacing w:after="360" w:line="288" w:lineRule="auto"/>
      </w:pPr>
      <w:r>
        <w:rPr>
          <w:b/>
        </w:rPr>
        <w:t>Talent Market Shifts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