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Tuesday, December 16, 2025.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OpenAI has recently released a set of tools called 'circuit-sparsity', which facilitates the connection of weight-sparse models to dense baselines through activation bridges. This innovation aims to enhance the efficiency of AI models, making them more accessible for a broader range of applications </w:t>
      </w:r>
      <w:r>
        <w:rPr>
          <w:vertAlign w:val="superscript"/>
        </w:rPr>
        <w:t>1</w:t>
      </w:r>
      <w:r>
        <w:t xml:space="preserve">. Additionally, the Gemini-powered self-correcting multi-agent AI system has been introduced, featuring advanced semantic routing and symbolic guardrails, which significantly improve the reliability of AI decision-making processes </w:t>
      </w:r>
      <w:r>
        <w:rPr>
          <w:vertAlign w:val="superscript"/>
        </w:rPr>
        <w:t>2</w:t>
      </w:r>
      <w:r>
        <w:t>. These developments indicate a trend toward more robust and versatile AI systems that can be tailored for specific tasks while maintaining high levels of performance.</w:t>
      </w:r>
    </w:p>
    <w:p>
      <w:pPr>
        <w:spacing w:after="120" w:line="288" w:lineRule="auto"/>
      </w:pPr>
      <w:r>
        <w:rPr>
          <w:b/>
        </w:rPr>
        <w:t>Strategic Business Impact:</w:t>
      </w:r>
    </w:p>
    <w:p>
      <w:pPr>
        <w:spacing w:after="360" w:line="288" w:lineRule="auto"/>
      </w:pPr>
      <w:r>
        <w:t xml:space="preserve">Moving on to strategic business impact, companies are increasingly recognizing the value of integrating AI into their core operations. For instance, the recent turmoil at Monzo, where the board reportedly pushed out CEO Anil over IPO timing, highlights how critical strategic decisions are being influenced by AI-driven analytics and market predictions </w:t>
      </w:r>
      <w:r>
        <w:rPr>
          <w:vertAlign w:val="superscript"/>
        </w:rPr>
        <w:t>3</w:t>
      </w:r>
      <w:r>
        <w:t xml:space="preserve">. Furthermore, Tesla's recent legal challenges regarding deceptive marketing for its Autopilot and Full Self-Driving features underscore the importance of transparency and ethical considerations in AI deployment, as businesses face heightened scrutiny from regulators and consumers alike </w:t>
      </w:r>
      <w:r>
        <w:rPr>
          <w:vertAlign w:val="superscript"/>
        </w:rPr>
        <w:t>4</w:t>
      </w:r>
      <w:r>
        <w:t>. These examples illustrate how AI is not only transforming product offerings but also reshaping corporate governance and accountability.</w:t>
      </w:r>
    </w:p>
    <w:p>
      <w:pPr>
        <w:spacing w:after="120" w:line="288" w:lineRule="auto"/>
      </w:pPr>
      <w:r>
        <w:rPr>
          <w:b/>
        </w:rPr>
        <w:t>Implementation Opportunities:</w:t>
      </w:r>
    </w:p>
    <w:p>
      <w:pPr>
        <w:spacing w:after="360" w:line="288" w:lineRule="auto"/>
      </w:pPr>
      <w:r>
        <w:t xml:space="preserve">Next, let's explore implementation opportunities. Organizations are increasingly adopting AI for enhancing customer service and operational efficiency. The design of fully local agentic storytelling pipelines, utilizing tools like Griptape workflows and Hugging Face models, exemplifies how businesses can create personalized customer interactions while maintaining data privacy </w:t>
      </w:r>
      <w:r>
        <w:rPr>
          <w:vertAlign w:val="superscript"/>
        </w:rPr>
        <w:t>5</w:t>
      </w:r>
      <w:r>
        <w:t xml:space="preserve">. Moreover, the emergence of AI model architectures that every engineer should know, such as those highlighted in recent discussions, provides a framework for companies to develop and implement AI solutions that are scalable and effective </w:t>
      </w:r>
      <w:r>
        <w:rPr>
          <w:vertAlign w:val="superscript"/>
        </w:rPr>
        <w:t>6</w:t>
      </w:r>
      <w:r>
        <w:t>. As businesses look to leverage these technologies, they must also consider the integration challenges and the need for skilled personnel to manage these advanced systems.</w:t>
      </w:r>
    </w:p>
    <w:p>
      <w:pPr>
        <w:spacing w:after="120" w:line="288" w:lineRule="auto"/>
      </w:pPr>
      <w:r>
        <w:rPr>
          <w:b/>
        </w:rPr>
        <w:t>Market Dynamics:</w:t>
      </w:r>
    </w:p>
    <w:p>
      <w:pPr>
        <w:spacing w:after="360" w:line="288" w:lineRule="auto"/>
      </w:pPr>
      <w:r>
        <w:t xml:space="preserve">Now, onto market dynamics. The AI landscape remains highly competitive, with startups and established companies alike racing to innovate. The recent bankruptcy of Luminar, which stemmed from a failed deal with Volvo, serves as a cautionary tale about the risks associated with over-reliance on specific partnerships and technologies in the fast-evolving AI market </w:t>
      </w:r>
      <w:r>
        <w:rPr>
          <w:vertAlign w:val="superscript"/>
        </w:rPr>
        <w:t>7</w:t>
      </w:r>
      <w:r>
        <w:t xml:space="preserve">. Meanwhile, Samsung's introduction of Micro RGB LED TVs, which leverage AI for enhanced visual experiences, demonstrates how consumer electronics are becoming increasingly intertwined with intelligent technologies </w:t>
      </w:r>
      <w:r>
        <w:rPr>
          <w:vertAlign w:val="superscript"/>
        </w:rPr>
        <w:t>8</w:t>
      </w:r>
      <w:r>
        <w:t>. This dynamic environment suggests that companies must remain agile and responsive to market shifts to maintain their competitive edge.</w:t>
      </w:r>
    </w:p>
    <w:p>
      <w:pPr>
        <w:spacing w:after="120" w:line="288" w:lineRule="auto"/>
      </w:pPr>
      <w:r>
        <w:rPr>
          <w:b/>
        </w:rPr>
        <w:t>Talent Market Shifts:</w:t>
      </w:r>
    </w:p>
    <w:p>
      <w:pPr>
        <w:spacing w:after="360" w:line="288" w:lineRule="auto"/>
      </w:pPr>
      <w:r>
        <w:t xml:space="preserve">Finally, let's discuss talent market shifts. The demand for AI professionals continues to grow, with a notable increase in job postings for roles requiring expertise in the latest AI tools and frameworks. This trend is driven by the rapid pace of AI advancements and the need for skilled individuals who can navigate complex AI systems </w:t>
      </w:r>
      <w:r>
        <w:rPr>
          <w:vertAlign w:val="superscript"/>
        </w:rPr>
        <w:t>9</w:t>
      </w:r>
      <w:r>
        <w:t xml:space="preserve">. However, as companies compete for top talent, there is also a growing emphasis on diversity and inclusion within the tech workforce. Organizations are recognizing that diverse teams can drive innovation and better address the needs of a varied customer base, making it essential to foster an inclusive environment </w:t>
      </w:r>
      <w:r>
        <w:rPr>
          <w:vertAlign w:val="superscript"/>
        </w:rPr>
        <w:t>10</w:t>
      </w:r>
      <w:r>
        <w:t>. The talent landscape is evolving, and companies must adapt their recruitment strategies to attract and retain the best candidates.</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OpenAI has Released the ‘circuit-sparsity’: A Set of Open Tools for Connecting Weight Sparse Models and Dense Baselines through Activation Bridges — https://www.marktechpost.com/2025/12/13/openai-has-released-the-circuit-sparsity-a-set-of-open-tools-for-connecting-weight-sparse-models-and-dense-baselines-through-activation-bridges/</w:t>
      </w:r>
    </w:p>
    <w:p>
      <w:pPr>
        <w:spacing w:after="360" w:line="288" w:lineRule="auto"/>
      </w:pPr>
      <w:r>
        <w:t>[2] How to Design a Gemini-Powered Self-Correcting Multi-Agent AI System with Semantic Routing, Symbolic Guardrails, and Reflexive Orchestration — https://www.marktechpost.com/2025/12/15/how-to-design-a-gemini-powered-self-correcting-multi-agent-ai-system-with-semantic-routing-symbolic-guardrails-and-reflexive-orchestration/</w:t>
      </w:r>
    </w:p>
    <w:p>
      <w:pPr>
        <w:spacing w:after="360" w:line="288" w:lineRule="auto"/>
      </w:pPr>
      <w:r>
        <w:t>[3] Monzo board reportedly pushed out CEO Anil over IPO timing — https://techcrunch.com/2025/12/16/monzo-board-reportedly-pushed-out-ceo-anil-over-ipo-timing/</w:t>
      </w:r>
    </w:p>
    <w:p>
      <w:pPr>
        <w:spacing w:after="360" w:line="288" w:lineRule="auto"/>
      </w:pPr>
      <w:r>
        <w:t>[4] Tesla engaged in deceptive marketing for Autopilot and Full Self-Driving, judge rules — https://techcrunch.com/2025/12/16/tesla-engaged-in-deceptive-marketing-for-autopilot-and-full-self-driving-judge-rules/</w:t>
      </w:r>
    </w:p>
    <w:p>
      <w:pPr>
        <w:spacing w:after="360" w:line="288" w:lineRule="auto"/>
      </w:pPr>
      <w:r>
        <w:t>[5] How to Design a Fully Local Agentic Storytelling Pipeline Using Griptape Workflows, Hugging Face Models, and Modular Creative Task Orchestration — https://www.marktechpost.com/2025/12/12/how-to-design-a-fully-local-agentic-storytelling-pipeline-using-griptape-workflows-hugging-face-models-and-modular-creative-task-orchestration/</w:t>
      </w:r>
    </w:p>
    <w:p>
      <w:pPr>
        <w:spacing w:after="360" w:line="288" w:lineRule="auto"/>
      </w:pPr>
      <w:r>
        <w:t>[6] 5 AI Model Architectures Every AI Engineer Should Know — https://www.marktechpost.com/2025/12/12/5-ai-model-architectures-every-ai-engineer-should-know/</w:t>
      </w:r>
    </w:p>
    <w:p>
      <w:pPr>
        <w:spacing w:after="360" w:line="288" w:lineRule="auto"/>
      </w:pPr>
      <w:r>
        <w:t>[7] How Luminar’s doomed Volvo deal helped drag the company into bankruptcy — https://techcrunch.com/2025/12/16/how-luminars-doomed-volvo-deal-helped-drag-the-company-into-bankruptcy/</w:t>
      </w:r>
    </w:p>
    <w:p>
      <w:pPr>
        <w:spacing w:after="360" w:line="288" w:lineRule="auto"/>
      </w:pPr>
      <w:r>
        <w:t>[8] Samsung’s 2026 Micro RGB LED TVs can actually fit in your living room — https://www.theverge.com/news/845760/samsung-micro-rgb-led-ces-2026</w:t>
      </w:r>
    </w:p>
    <w:p>
      <w:pPr>
        <w:spacing w:after="360" w:line="288" w:lineRule="auto"/>
      </w:pPr>
      <w:r>
        <w:t>[9] Nanbeige4-3B-Thinking: How a 23T Token Pipeline Pushes 3B Models Past 30B Class Reasoning — https://www.marktechpost.com/2025/12/12/nanbeige4-3b-thinking-how-a-23t-token-pipeline-pushes-3b-models-past-30b-class-reasoning/</w:t>
      </w:r>
    </w:p>
    <w:p>
      <w:pPr>
        <w:spacing w:after="360" w:line="288" w:lineRule="auto"/>
      </w:pPr>
      <w:r>
        <w:t>[10] Even Trump’s chief of staff was ‘aghast’ at Elon Musk’s deadly USAID cuts — https://www.theverge.com/policy/846054/elon-musk-susie-wiles-doge-usaid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