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April 27,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Meta AI has recently launched Sapiens2, a high-resolution human-centric vision model that excels in tasks such as pose estimation, segmentation, and albedo mapping. This model represents a significant advancement in computer vision technology, potentially enhancing applications in various fields, from gaming to healthcare </w:t>
      </w:r>
      <w:r>
        <w:rPr>
          <w:vertAlign w:val="superscript"/>
        </w:rPr>
        <w:t>1</w:t>
      </w:r>
      <w:r>
        <w:t xml:space="preserve">. Additionally, investors have shown strong interest in Skye, a new AI home screen app for iPhone, which aims to revolutionize how users interact with their devices </w:t>
      </w:r>
      <w:r>
        <w:rPr>
          <w:vertAlign w:val="superscript"/>
        </w:rPr>
        <w:t>2</w:t>
      </w:r>
      <w:r>
        <w:t xml:space="preserve">. Meanwhile, Canva faced backlash after its AI tool inadvertently replaced the term "Palestine" in designs, highlighting the ongoing challenges in AI ethics and content generation </w:t>
      </w:r>
      <w:r>
        <w:rPr>
          <w:vertAlign w:val="superscript"/>
        </w:rPr>
        <w:t>3</w:t>
      </w:r>
      <w:r>
        <w:t>. These developments indicate a growing focus on enhancing user experience and addressing ethical considerations in AI applications.</w:t>
      </w:r>
    </w:p>
    <w:p>
      <w:pPr>
        <w:spacing w:after="120" w:line="288" w:lineRule="auto"/>
      </w:pPr>
      <w:r>
        <w:rPr>
          <w:b/>
        </w:rPr>
        <w:t>Strategic Business Impact:</w:t>
      </w:r>
    </w:p>
    <w:p>
      <w:pPr>
        <w:spacing w:after="360" w:line="288" w:lineRule="auto"/>
      </w:pPr>
      <w:r>
        <w:t xml:space="preserve">Moving on to strategic business impact, the landscape for AI alliances is shifting, particularly following the dissolution of the AGI agreement between Microsoft and OpenAI. This change raises questions about future collaborations and the direction of AI development in corporate settings </w:t>
      </w:r>
      <w:r>
        <w:rPr>
          <w:vertAlign w:val="superscript"/>
        </w:rPr>
        <w:t>4</w:t>
      </w:r>
      <w:r>
        <w:t xml:space="preserve">. Furthermore, the demand for data centers is driving up costs, with a reported 66% surge in natural gas power plant costs attributed to this demand </w:t>
      </w:r>
      <w:r>
        <w:rPr>
          <w:vertAlign w:val="superscript"/>
        </w:rPr>
        <w:t>5</w:t>
      </w:r>
      <w:r>
        <w:t xml:space="preserve">. This trend could significantly impact operational budgets for companies heavily investing in AI infrastructure. Moreover, Europe’s efforts to move away from U.S. software solutions in favor of sovereign technology are reshaping the competitive landscape, presenting both challenges and opportunities for businesses operating in the region </w:t>
      </w:r>
      <w:r>
        <w:rPr>
          <w:vertAlign w:val="superscript"/>
        </w:rPr>
        <w:t>6</w:t>
      </w:r>
      <w:r>
        <w:t>. These factors underscore the importance of strategic planning in navigating the evolving AI ecosystem.</w:t>
      </w:r>
    </w:p>
    <w:p>
      <w:pPr>
        <w:spacing w:after="120" w:line="288" w:lineRule="auto"/>
      </w:pPr>
      <w:r>
        <w:rPr>
          <w:b/>
        </w:rPr>
        <w:t>Implementation Opportunities:</w:t>
      </w:r>
    </w:p>
    <w:p>
      <w:pPr>
        <w:spacing w:after="360" w:line="288" w:lineRule="auto"/>
      </w:pPr>
      <w:r>
        <w:t xml:space="preserve">Next, let's explore implementation opportunities in the AI sector. Companies are increasingly looking to build searchable AI knowledge bases, and resources such as OpenKB and OpenRouter are gaining traction for facilitating this process </w:t>
      </w:r>
      <w:r>
        <w:rPr>
          <w:vertAlign w:val="superscript"/>
        </w:rPr>
        <w:t>7</w:t>
      </w:r>
      <w:r>
        <w:t xml:space="preserve">. Additionally, advancements in multilingual text wrapping with tools like BudouX are enabling businesses to enhance their global reach and communication capabilities </w:t>
      </w:r>
      <w:r>
        <w:rPr>
          <w:vertAlign w:val="superscript"/>
        </w:rPr>
        <w:t>8</w:t>
      </w:r>
      <w:r>
        <w:t xml:space="preserve">. As organizations strive to implement AI solutions, understanding the underlying technologies and methodologies will be crucial for successful integration. Moreover, the emergence of benchmarks for agentic reasoning in large language models is guiding developers in creating more effective AI systems </w:t>
      </w:r>
      <w:r>
        <w:rPr>
          <w:vertAlign w:val="superscript"/>
        </w:rPr>
        <w:t>9</w:t>
      </w:r>
      <w:r>
        <w:t>. These insights present valuable pathways for organizations aiming to leverage AI in practical applications.</w:t>
      </w:r>
    </w:p>
    <w:p>
      <w:pPr>
        <w:spacing w:after="120" w:line="288" w:lineRule="auto"/>
      </w:pPr>
      <w:r>
        <w:rPr>
          <w:b/>
        </w:rPr>
        <w:t>Market Dynamics:</w:t>
      </w:r>
    </w:p>
    <w:p>
      <w:pPr>
        <w:spacing w:after="360" w:line="288" w:lineRule="auto"/>
      </w:pPr>
      <w:r>
        <w:t xml:space="preserve">Now, onto market dynamics, the competitive landscape is evolving as major players like OpenAI explore new ventures, including the potential development of a mobile phone that incorporates AI agents to replace traditional apps </w:t>
      </w:r>
      <w:r>
        <w:rPr>
          <w:vertAlign w:val="superscript"/>
        </w:rPr>
        <w:t>10</w:t>
      </w:r>
      <w:r>
        <w:t xml:space="preserve">. This could redefine user engagement and app functionality, pushing competitors to innovate rapidly. In contrast, the recent veto of Meta’s $2 billion Manus deal by China demonstrates the complexities of international AI business operations and regulatory challenges </w:t>
      </w:r>
      <w:r>
        <w:rPr>
          <w:vertAlign w:val="superscript"/>
        </w:rPr>
        <w:t>11</w:t>
      </w:r>
      <w:r>
        <w:t>. Such market dynamics highlight the need for companies to remain agile and responsive to regulatory environments while pursuing innovative solutions.</w:t>
      </w:r>
    </w:p>
    <w:p>
      <w:pPr>
        <w:spacing w:after="120" w:line="288" w:lineRule="auto"/>
      </w:pPr>
      <w:r>
        <w:rPr>
          <w:b/>
        </w:rPr>
        <w:t>Talent Market Shifts:</w:t>
      </w:r>
    </w:p>
    <w:p>
      <w:pPr>
        <w:spacing w:after="360" w:line="288" w:lineRule="auto"/>
      </w:pPr>
      <w:r>
        <w:t xml:space="preserve">Finally, let's discuss talent market shifts within the AI sector. As the demand for skilled professionals continues to rise, organizations are facing challenges in attracting and retaining talent. The rapid pace of technological advancement necessitates a workforce that is not only skilled in AI but also adaptable to new tools and methodologies. Companies are increasingly investing in training and development programs to upskill their existing workforce and attract new talent </w:t>
      </w:r>
      <w:r>
        <w:rPr>
          <w:vertAlign w:val="superscript"/>
        </w:rPr>
        <w:t>12</w:t>
      </w:r>
      <w:r>
        <w:t>. This shift emphasizes the importance of fostering a culture of continuous learning and innovation to remain competitive in the AI landscape.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Meta AI Releases Sapiens2: A High-Resolution Human-Centric Vision Model for Pose, Segmentation, Normals, Pointmap, and Albedo — https://www.marktechpost.com/2026/04/27/meta-ai-releases-sapiens2-a-high-resolution-human-centric-vision-model-for-pose-segmentation-normals-pointmap-and-albedo/</w:t>
      </w:r>
    </w:p>
    <w:p>
      <w:pPr>
        <w:spacing w:after="360" w:line="288" w:lineRule="auto"/>
      </w:pPr>
      <w:r>
        <w:t>[2] Investors back Skye’s AI home screen app for iPhone ahead of launch — https://techcrunch.com/2026/04/27/investors-back-skye-signull-labs-ai-home-screen-app-for-iphone-ahead-of-launch/</w:t>
      </w:r>
    </w:p>
    <w:p>
      <w:pPr>
        <w:spacing w:after="360" w:line="288" w:lineRule="auto"/>
      </w:pPr>
      <w:r>
        <w:t>[3] Canva apologizes after its AI tool replaces ‘Palestine’ in designs — https://www.theverge.com/ai-artificial-intelligence/919028/canva-magic-layers-ai-replacing-palestine</w:t>
      </w:r>
    </w:p>
    <w:p>
      <w:pPr>
        <w:spacing w:after="360" w:line="288" w:lineRule="auto"/>
      </w:pPr>
      <w:r>
        <w:t>[4] Microsoft and OpenAI’s famed AGI agreement is dead — https://www.theverge.com/ai-artificial-intelligence/918981/openai-microsoft-renegotiate-contract</w:t>
      </w:r>
    </w:p>
    <w:p>
      <w:pPr>
        <w:spacing w:after="360" w:line="288" w:lineRule="auto"/>
      </w:pPr>
      <w:r>
        <w:t>[5] Data center demand drives 66% surge in natural gas power plant costs — https://techcrunch.com/2026/04/27/data-center-demand-drives-66-surge-in-natural-gas-power-plant-costs/</w:t>
      </w:r>
    </w:p>
    <w:p>
      <w:pPr>
        <w:spacing w:after="360" w:line="288" w:lineRule="auto"/>
      </w:pPr>
      <w:r>
        <w:t>[6] What’s behind Europe’s efforts to ditch US software in favor of sovereign tech — https://techcrunch.com/2026/04/27/whats-behind-europes-efforts-to-ditch-u-s-software-in-favor-of-sovereign-tech/</w:t>
      </w:r>
    </w:p>
    <w:p>
      <w:pPr>
        <w:spacing w:after="360" w:line="288" w:lineRule="auto"/>
      </w:pPr>
      <w:r>
        <w:t>[7] How to Build a Fully Searchable AI Knowledge Base with OpenKB, OpenRouter, and Llama — https://www.marktechpost.com/2026/04/26/how-to-build-a-fully-searchable-ai-knowledge-base-with-openkb-openrouter-and-llama/</w:t>
      </w:r>
    </w:p>
    <w:p>
      <w:pPr>
        <w:spacing w:after="360" w:line="288" w:lineRule="auto"/>
      </w:pPr>
      <w:r>
        <w:t>[8] How to Build Smarter Multilingual Text Wrapping with BudouX Through Parsing, HTML Rendering, Model Introspection, and Toy Training — https://www.marktechpost.com/2026/04/26/how-to-build-smarter-multilingual-text-wrapping-with-budoux-through-parsing-html-rendering-model-introspection-and-toy-training/</w:t>
      </w:r>
    </w:p>
    <w:p>
      <w:pPr>
        <w:spacing w:after="360" w:line="288" w:lineRule="auto"/>
      </w:pPr>
      <w:r>
        <w:t>[9] Top 7 Benchmarks That Actually Matter for Agentic Reasoning in Large Language Models — https://www.marktechpost.com/2026/04/26/top-7-benchmarks-that-actually-matter-for-agentic-reasoning-in-large-language-models/</w:t>
      </w:r>
    </w:p>
    <w:p>
      <w:pPr>
        <w:spacing w:after="360" w:line="288" w:lineRule="auto"/>
      </w:pPr>
      <w:r>
        <w:t>[10] OpenAI could be making a phone with AI agents replacing apps — https://techcrunch.com/2026/04/27/openai-could-be-making-a-phone-with-ai-agents-replacing-apps/</w:t>
      </w:r>
    </w:p>
    <w:p>
      <w:pPr>
        <w:spacing w:after="360" w:line="288" w:lineRule="auto"/>
      </w:pPr>
      <w:r>
        <w:t>[11] China blocks Meta’s $2B Manus deal after months-long probe — https://techcrunch.com/2026/04/27/china-vetoes-metas-2b-manus-deal-after-months-long-probe/</w:t>
      </w:r>
    </w:p>
    <w:p>
      <w:pPr>
        <w:spacing w:after="360" w:line="288" w:lineRule="auto"/>
      </w:pPr>
      <w:r>
        <w:t>[12] Elon Musk and Sam Altman’s court battle over the future of OpenAI — https://www.theverge.com/tech/917225/sam-altman-elon-musk-openai-lawsuit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