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</w:rPr>
        <w:t>New Products &amp; Capabilities</w:t>
      </w:r>
    </w:p>
    <w:p>
      <w:pPr>
        <w:spacing w:after="360" w:line="288" w:lineRule="auto"/>
      </w:pPr>
    </w:p>
    <w:p>
      <w:pPr>
        <w:spacing w:after="360" w:line="288" w:lineRule="auto"/>
      </w:pPr>
    </w:p>
    <w:p>
      <w:pPr>
        <w:spacing w:after="360" w:line="288" w:lineRule="auto"/>
      </w:pPr>
    </w:p>
    <w:p>
      <w:pPr>
        <w:spacing w:after="120"/>
      </w:pPr>
      <w:r>
        <w:rPr>
          <w:b/>
        </w:rPr>
        <w:t>Strategic Business Impact</w:t>
      </w:r>
    </w:p>
    <w:p>
      <w:pPr>
        <w:spacing w:after="360" w:line="288" w:lineRule="auto"/>
      </w:pPr>
    </w:p>
    <w:p>
      <w:pPr>
        <w:spacing w:after="360" w:line="288" w:lineRule="auto"/>
      </w:pPr>
    </w:p>
    <w:p>
      <w:pPr>
        <w:spacing w:after="360" w:line="288" w:lineRule="auto"/>
      </w:pPr>
    </w:p>
    <w:p>
      <w:pPr>
        <w:spacing w:after="120"/>
      </w:pPr>
      <w:r>
        <w:rPr>
          <w:b/>
        </w:rPr>
        <w:t>Implementation Opportunities</w:t>
      </w:r>
    </w:p>
    <w:p>
      <w:pPr>
        <w:spacing w:after="360" w:line="288" w:lineRule="auto"/>
      </w:pPr>
    </w:p>
    <w:p>
      <w:pPr>
        <w:spacing w:after="360" w:line="288" w:lineRule="auto"/>
      </w:pPr>
    </w:p>
    <w:p>
      <w:pPr>
        <w:spacing w:after="360" w:line="288" w:lineRule="auto"/>
      </w:pPr>
    </w:p>
    <w:p>
      <w:pPr>
        <w:spacing w:after="120"/>
      </w:pPr>
      <w:r>
        <w:rPr>
          <w:b/>
        </w:rPr>
        <w:t>Market Dynamics</w:t>
      </w:r>
    </w:p>
    <w:p>
      <w:pPr>
        <w:spacing w:after="360" w:line="288" w:lineRule="auto"/>
      </w:pPr>
    </w:p>
    <w:p>
      <w:pPr>
        <w:spacing w:after="360" w:line="288" w:lineRule="auto"/>
      </w:pPr>
    </w:p>
    <w:p>
      <w:pPr>
        <w:spacing w:after="360" w:line="288" w:lineRule="auto"/>
      </w:pPr>
    </w:p>
    <w:p>
      <w:pPr>
        <w:spacing w:after="120"/>
      </w:pPr>
      <w:r>
        <w:rPr>
          <w:b/>
        </w:rPr>
        <w:t>Talent Market Shifts</w:t>
      </w:r>
    </w:p>
    <w:p>
      <w:pPr>
        <w:spacing w:after="360" w:line="288" w:lineRule="auto"/>
      </w:pPr>
    </w:p>
    <w:p>
      <w:pPr>
        <w:spacing w:after="360" w:line="288" w:lineRule="auto"/>
      </w:pPr>
    </w:p>
    <w:p>
      <w:pPr>
        <w:spacing w:after="360" w:line="288" w:lineRule="auto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Exec Brief (transcript) - 10 Nov 25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