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December 29, 2025.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NVIDIA has recently released NitroGen, an open vision action foundation model designed for generalist gaming agents. This model aims to enhance the interactivity and realism in gaming environments, leveraging advanced AI techniques to create more engaging experiences for players </w:t>
      </w:r>
      <w:r>
        <w:rPr>
          <w:vertAlign w:val="superscript"/>
        </w:rPr>
        <w:t>1</w:t>
      </w:r>
      <w:r>
        <w:t xml:space="preserve">. Additionally, Liquid AI has introduced LFM2-2.6B-Exp, which utilizes pure reinforcement learning and dynamic hybrid reasoning to improve the behavior of small models. This advancement is significant for enterprises looking to implement AI in resource-constrained environments </w:t>
      </w:r>
      <w:r>
        <w:rPr>
          <w:vertAlign w:val="superscript"/>
        </w:rPr>
        <w:t>2</w:t>
      </w:r>
      <w:r>
        <w:t xml:space="preserve">. Furthermore, Google AI has developed FunctionGemma, a compact function calling specialist that is optimized for edge workloads, showcasing the trend of creating specialized AI models that can operate efficiently outside traditional data centers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venture capitalists are predicting a robust adoption of enterprise AI solutions in the coming year. This trend reflects a growing recognition among businesses of the value that AI can bring in terms of operational efficiency and decision-making capabilities </w:t>
      </w:r>
      <w:r>
        <w:rPr>
          <w:vertAlign w:val="superscript"/>
        </w:rPr>
        <w:t>4</w:t>
      </w:r>
      <w:r>
        <w:t xml:space="preserve">. Companies are increasingly looking to integrate AI-driven tools to streamline processes and enhance productivity. For instance, the emergence of contract-first agentic decision systems, such as those built with PydanticAI, is enabling organizations to align their AI systems with compliance and risk management strategies, which is crucial in today's regulatory landscape </w:t>
      </w:r>
      <w:r>
        <w:rPr>
          <w:vertAlign w:val="superscript"/>
        </w:rPr>
        <w:t>5</w:t>
      </w:r>
      <w:r>
        <w:t>. This strategic alignment not only mitigates risks but also positions companies to leverage AI for competitive advantage.</w:t>
      </w:r>
    </w:p>
    <w:p>
      <w:pPr>
        <w:spacing w:after="120" w:line="288" w:lineRule="auto"/>
      </w:pPr>
      <w:r>
        <w:rPr>
          <w:b/>
        </w:rPr>
        <w:t>Implementation Opportunities:</w:t>
      </w:r>
    </w:p>
    <w:p>
      <w:pPr>
        <w:spacing w:after="360" w:line="288" w:lineRule="auto"/>
      </w:pPr>
      <w:r>
        <w:t xml:space="preserve">Next, let's explore implementation opportunities. The rise of production-grade agentic workflows, particularly those utilizing GraphBit, is providing organizations with frameworks to build more reliable and efficient AI solutions. This approach emphasizes the use of deterministic tools and validated execution graphs, which are essential for ensuring that AI systems operate as intended in real-world scenarios </w:t>
      </w:r>
      <w:r>
        <w:rPr>
          <w:vertAlign w:val="superscript"/>
        </w:rPr>
        <w:t>6</w:t>
      </w:r>
      <w:r>
        <w:t xml:space="preserve">. Moreover, as enterprises continue to adopt AI technologies, there is a growing need for tailored solutions that cater to specific industry requirements. This creates a fertile ground for startups and established companies alike to innovate and offer specialized AI products and services that address niche market needs </w:t>
      </w:r>
      <w:r>
        <w:rPr>
          <w:vertAlign w:val="superscript"/>
        </w:rPr>
        <w:t>7</w:t>
      </w:r>
      <w:r>
        <w:t>.</w:t>
      </w:r>
    </w:p>
    <w:p>
      <w:pPr>
        <w:spacing w:after="120" w:line="288" w:lineRule="auto"/>
      </w:pPr>
      <w:r>
        <w:rPr>
          <w:b/>
        </w:rPr>
        <w:t>Market Dynamics:</w:t>
      </w:r>
    </w:p>
    <w:p>
      <w:pPr>
        <w:spacing w:after="360" w:line="288" w:lineRule="auto"/>
      </w:pPr>
      <w:r>
        <w:t xml:space="preserve">Now, onto market dynamics. The AI landscape is evolving rapidly, with a noticeable shift towards more integrated solutions that combine hardware and software capabilities. For instance, the ongoing advancements in Windows on Arm technology are enabling more powerful and efficient computing experiences, which are essential for running complex AI applications </w:t>
      </w:r>
      <w:r>
        <w:rPr>
          <w:vertAlign w:val="superscript"/>
        </w:rPr>
        <w:t>8</w:t>
      </w:r>
      <w:r>
        <w:t xml:space="preserve">. Additionally, consumer electronics companies, such as Samsung, are exploring ways to integrate AI functionalities into their products, as evidenced by their plans to bring Google Photos to their TVs in 2026, indicating a convergence of AI and consumer technology </w:t>
      </w:r>
      <w:r>
        <w:rPr>
          <w:vertAlign w:val="superscript"/>
        </w:rPr>
        <w:t>9</w:t>
      </w:r>
      <w:r>
        <w:t>. This integration not only enhances user experience but also opens new avenues for monetization and user engagement.</w:t>
      </w:r>
    </w:p>
    <w:p>
      <w:pPr>
        <w:spacing w:after="120" w:line="288" w:lineRule="auto"/>
      </w:pPr>
      <w:r>
        <w:rPr>
          <w:b/>
        </w:rPr>
        <w:t>Talent Market Shifts:</w:t>
      </w:r>
    </w:p>
    <w:p>
      <w:pPr>
        <w:spacing w:after="360" w:line="288" w:lineRule="auto"/>
      </w:pPr>
      <w:r>
        <w:t xml:space="preserve">Finally, let's discuss talent market shifts. The demand for AI talent continues to outpace supply, leading to competitive hiring practices among tech companies. As organizations invest heavily in AI capabilities, there is a growing emphasis on attracting skilled professionals who can navigate the complexities of AI development and implementation. This has resulted in a dynamic talent market where specialized skills in AI, machine learning, and data science are highly sought after </w:t>
      </w:r>
      <w:r>
        <w:rPr>
          <w:vertAlign w:val="superscript"/>
        </w:rPr>
        <w:t>4</w:t>
      </w:r>
      <w:r>
        <w:t>. Moreover, as AI technologies become more mainstream, educational institutions are ramping up their programs to prepare the next generation of AI professionals, which may help alleviate some of the talent shortages in the future.</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NVIDIA AI Researchers Release NitroGen: An Open Vision Action Foundation Model For Generalist Gaming Agents — https://www.marktechpost.com/2025/12/28/nvidia-ai-researchers-release-nitrogen-an-open-vision-action-foundation-model-for-generalist-gaming-agents/</w:t>
      </w:r>
    </w:p>
    <w:p>
      <w:pPr>
        <w:spacing w:after="360" w:line="288" w:lineRule="auto"/>
      </w:pPr>
      <w:r>
        <w:t>[2] Liquid AI’s LFM2-2.6B-Exp Uses Pure Reinforcement Learning RL And Dynamic Hybrid Reasoning To Tighten Small Model Behavior — https://www.marktechpost.com/2025/12/27/liquid-ais-lfm2-2-6b-exp-uses-pure-reinforcement-learning-rl-and-dynamic-hybrid-reasoning-to-tighten-small-model-behavior/</w:t>
      </w:r>
    </w:p>
    <w:p>
      <w:pPr>
        <w:spacing w:after="360" w:line="288" w:lineRule="auto"/>
      </w:pPr>
      <w:r>
        <w:t>[3] From Gemma 3 270M to FunctionGemma, How Google AI Built a Compact Function Calling Specialist for Edge Workloads — https://www.marktechpost.com/2025/12/26/from-gemma-3-270m-to-functiongemma-how-google-ai-built-a-compact-function-calling-specialist-for-edge-workloads/</w:t>
      </w:r>
    </w:p>
    <w:p>
      <w:pPr>
        <w:spacing w:after="360" w:line="288" w:lineRule="auto"/>
      </w:pPr>
      <w:r>
        <w:t>[4] VCs predict strong enterprise AI adoption next year — again — https://techcrunch.com/2025/12/29/vcs-predict-strong-enterprise-ai-adoption-next-year-again/</w:t>
      </w:r>
    </w:p>
    <w:p>
      <w:pPr>
        <w:spacing w:after="360" w:line="288" w:lineRule="auto"/>
      </w:pPr>
      <w:r>
        <w:t>[5] How to Build Contract-First Agentic Decision Systems with PydanticAI for Risk-Aware, Policy-Compliant Enterprise AI — https://www.marktechpost.com/2025/12/28/how-to-build-contract-first-agentic-decision-systems-with-pydanticai-for-risk-aware-policy-compliant-enterprise-ai/</w:t>
      </w:r>
    </w:p>
    <w:p>
      <w:pPr>
        <w:spacing w:after="360" w:line="288" w:lineRule="auto"/>
      </w:pPr>
      <w:r>
        <w:t>[6] How to Build Production-Grade Agentic Workflows with GraphBit Using Deterministic Tools, Validated Execution Graphs, and Optional LLM Orchestration — https://www.marktechpost.com/2025/12/27/how-to-build-production-grade-agentic-workflows-with-graphbit-using-deterministic-tools-validated-execution-graphs-and-optional-llm-orchestration/</w:t>
      </w:r>
    </w:p>
    <w:p>
      <w:pPr>
        <w:spacing w:after="360" w:line="288" w:lineRule="auto"/>
      </w:pPr>
      <w:r>
        <w:t>[7] The 32 top enterprise tech startups from Disrupt Startup Battlefield — https://techcrunch.com/2025/12/29/the-32-top-enterprise-tech-startups-from-disrupt-startup-battlefield/</w:t>
      </w:r>
    </w:p>
    <w:p>
      <w:pPr>
        <w:spacing w:after="360" w:line="288" w:lineRule="auto"/>
      </w:pPr>
      <w:r>
        <w:t>[8] Windows on Arm had another good year — https://www.theverge.com/gadgets/850074/2025-windows-arm-laptops-qualcomm-intel-amd-nvidia</w:t>
      </w:r>
    </w:p>
    <w:p>
      <w:pPr>
        <w:spacing w:after="360" w:line="288" w:lineRule="auto"/>
      </w:pPr>
      <w:r>
        <w:t>[9] Samsung plans to bring Google Photos to its TVs in 2026 — https://techcrunch.com/2025/12/29/samsung-plans-to-bring-google-photos-to-its-tvs-in-2026/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