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288" w:lineRule="auto"/>
      </w:pPr>
      <w:r>
        <w:rPr>
          <w:b/>
        </w:rPr>
        <w:t>NEW PRODUCTS &amp; CAPABILITIES</w:t>
      </w:r>
    </w:p>
    <w:p>
      <w:pPr>
        <w:spacing w:after="360" w:line="288" w:lineRule="auto"/>
      </w:pPr>
      <w:r>
        <w:rPr>
          <w:b/>
        </w:rPr>
        <w:t>STRATEGIC BUSINESS IMPACT</w:t>
      </w:r>
    </w:p>
    <w:p>
      <w:pPr>
        <w:spacing w:after="360" w:line="288" w:lineRule="auto"/>
      </w:pPr>
      <w:r>
        <w:rPr>
          <w:b/>
        </w:rPr>
        <w:t>IMPLEMENTATION OPPORTUNITIES</w:t>
      </w:r>
    </w:p>
    <w:p>
      <w:pPr>
        <w:spacing w:after="360" w:line="288" w:lineRule="auto"/>
      </w:pPr>
      <w:r>
        <w:rPr>
          <w:b/>
        </w:rPr>
        <w:t>MARKET DYNAMICS</w:t>
      </w:r>
    </w:p>
    <w:p>
      <w:pPr>
        <w:spacing w:after="360" w:line="288" w:lineRule="auto"/>
      </w:pPr>
      <w:r>
        <w:rPr>
          <w:b/>
        </w:rPr>
        <w:t>TALENT MARKET SHIFTS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