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February 23,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there have been significant advancements this week. VectifyAI has launched Mafin 2.5 and PageIndex, achieving an impressive 98.7% financial retrieval accuracy through a new open-source vectorless tree indexing method </w:t>
      </w:r>
      <w:r>
        <w:rPr>
          <w:vertAlign w:val="superscript"/>
        </w:rPr>
        <w:t>1</w:t>
      </w:r>
      <w:r>
        <w:t xml:space="preserve">. This innovation is expected to streamline financial data processing and improve decision-making for businesses. Additionally, Wispr Flow has introduced an Android app for AI-powered dictation, enhancing productivity for users who rely on voice-to-text technologies </w:t>
      </w:r>
      <w:r>
        <w:rPr>
          <w:vertAlign w:val="superscript"/>
        </w:rPr>
        <w:t>2</w:t>
      </w:r>
      <w:r>
        <w:t xml:space="preserve">. In another notable development, Taalas is replacing programmable GPUs with hardwired AI chips, which are projected to achieve 17,000 tokens per second for ubiquitous inference, indicating a shift towards more efficient AI processing </w:t>
      </w:r>
      <w:r>
        <w:rPr>
          <w:vertAlign w:val="superscript"/>
        </w:rPr>
        <w:t>3</w:t>
      </w:r>
      <w:r>
        <w:t>. These advancements highlight a trend towards optimizing AI capabilities for specific applications, making them more accessible and effective.</w:t>
      </w:r>
    </w:p>
    <w:p>
      <w:pPr>
        <w:spacing w:after="120" w:line="288" w:lineRule="auto"/>
      </w:pPr>
      <w:r>
        <w:rPr>
          <w:b/>
        </w:rPr>
        <w:t>Strategic Business Impact:</w:t>
      </w:r>
    </w:p>
    <w:p>
      <w:pPr>
        <w:spacing w:after="360" w:line="288" w:lineRule="auto"/>
      </w:pPr>
      <w:r>
        <w:t xml:space="preserve">Moving on to strategic business impact, the recent leadership shake-ups in major tech firms are reshaping AI strategy and focus. Notably, Microsoft has undergone a significant restructuring in its Xbox division, which may influence its AI-driven gaming initiatives </w:t>
      </w:r>
      <w:r>
        <w:rPr>
          <w:vertAlign w:val="superscript"/>
        </w:rPr>
        <w:t>4</w:t>
      </w:r>
      <w:r>
        <w:rPr>
          <w:vertAlign w:val="superscript"/>
        </w:rPr>
        <w:t>5</w:t>
      </w:r>
      <w:r>
        <w:t xml:space="preserve">. This change could lead to innovative gaming experiences that incorporate advanced AI features, potentially redefining player engagement. Furthermore, the rise of AI agents has sparked discussions about their potential economic implications, with experts warning that unchecked AI development could disrupt traditional job markets and economic stability </w:t>
      </w:r>
      <w:r>
        <w:rPr>
          <w:vertAlign w:val="superscript"/>
        </w:rPr>
        <w:t>6</w:t>
      </w:r>
      <w:r>
        <w:t>. Companies are now tasked with balancing innovation in AI with responsible deployment to mitigate risks associated with widespread automation.</w:t>
      </w:r>
    </w:p>
    <w:p>
      <w:pPr>
        <w:spacing w:after="120" w:line="288" w:lineRule="auto"/>
      </w:pPr>
      <w:r>
        <w:rPr>
          <w:b/>
        </w:rPr>
        <w:t>Implementation Opportunities:</w:t>
      </w:r>
    </w:p>
    <w:p>
      <w:pPr>
        <w:spacing w:after="360" w:line="288" w:lineRule="auto"/>
      </w:pPr>
      <w:r>
        <w:t xml:space="preserve">Next, let's explore implementation opportunities. Companies are increasingly looking to adopt AI solutions that enhance operational efficiencies. A recent coding guide has been released that focuses on instrumenting, tracing, and evaluating large language model applications using TruLens and OpenAI models </w:t>
      </w:r>
      <w:r>
        <w:rPr>
          <w:vertAlign w:val="superscript"/>
        </w:rPr>
        <w:t>7</w:t>
      </w:r>
      <w:r>
        <w:t xml:space="preserve">. This guide could serve as a valuable resource for organizations aiming to integrate AI into their workflows effectively. Moreover, Uber has launched a robotaxi support project designed to assist autonomous vehicle partners, which could pave the way for broader adoption of AI in transportation </w:t>
      </w:r>
      <w:r>
        <w:rPr>
          <w:vertAlign w:val="superscript"/>
        </w:rPr>
        <w:t>8</w:t>
      </w:r>
      <w:r>
        <w:t>. These initiatives demonstrate the practical applications of AI in various sectors, providing businesses with actionable pathways to leverage technology for growth.</w:t>
      </w:r>
    </w:p>
    <w:p>
      <w:pPr>
        <w:spacing w:after="120" w:line="288" w:lineRule="auto"/>
      </w:pPr>
      <w:r>
        <w:rPr>
          <w:b/>
        </w:rPr>
        <w:t>Market Dynamics:</w:t>
      </w:r>
    </w:p>
    <w:p>
      <w:pPr>
        <w:spacing w:after="360" w:line="288" w:lineRule="auto"/>
      </w:pPr>
      <w:r>
        <w:t xml:space="preserve">Now, onto market dynamics. The competitive landscape in AI is rapidly evolving, with companies like Google proposing innovative research to improve large language model accuracy while halving inference costs </w:t>
      </w:r>
      <w:r>
        <w:rPr>
          <w:vertAlign w:val="superscript"/>
        </w:rPr>
        <w:t>9</w:t>
      </w:r>
      <w:r>
        <w:t xml:space="preserve">. This research could lead to more cost-effective AI solutions, making them accessible to a wider range of businesses. Additionally, ByteDance's new AI system maps molecular bonds to enhance reasoning capabilities, showcasing how AI can be applied beyond traditional tech sectors into areas like pharmaceuticals and materials science </w:t>
      </w:r>
      <w:r>
        <w:rPr>
          <w:vertAlign w:val="superscript"/>
        </w:rPr>
        <w:t>10</w:t>
      </w:r>
      <w:r>
        <w:t>. As these advancements unfold, companies will need to stay agile to adapt to shifting market conditions and capitalize on emerging opportunities.</w:t>
      </w:r>
    </w:p>
    <w:p>
      <w:pPr>
        <w:spacing w:after="120" w:line="288" w:lineRule="auto"/>
      </w:pPr>
      <w:r>
        <w:rPr>
          <w:b/>
        </w:rPr>
        <w:t>Talent Market Shifts:</w:t>
      </w:r>
    </w:p>
    <w:p>
      <w:pPr>
        <w:spacing w:after="360" w:line="288" w:lineRule="auto"/>
      </w:pPr>
      <w:r>
        <w:t xml:space="preserve">Finally, let's discuss talent market shifts. The demand for AI expertise continues to grow, with companies seeking skilled professionals who can navigate the complexities of AI integration. Recent reports indicate that firms are increasingly looking to hire talent with specific skills in AI development and implementation, reflecting the industry's rapid evolution </w:t>
      </w:r>
      <w:r>
        <w:rPr>
          <w:vertAlign w:val="superscript"/>
        </w:rPr>
        <w:t>6</w:t>
      </w:r>
      <w:r>
        <w:t>. This shift is prompting educational institutions to adapt their curricula to prepare students for careers in AI, ensuring a steady pipeline of qualified candidates. As the talent landscape transforms, organizations must invest in training and development to retain top talent and foster innovation.</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VectifyAI Launches Mafin 2.5 and PageIndex: Achieving 98.7% Financial RAG Accuracy with a New Open-Source Vectorless Tree Indexing. — https://www.marktechpost.com/2026/02/22/vectifyai-launches-mafin-2-5-and-pageindex-achieving-98-7-financial-rag-accuracy-with-a-new-open-source-vectorless-tree-indexing/</w:t>
      </w:r>
    </w:p>
    <w:p>
      <w:pPr>
        <w:spacing w:after="360" w:line="288" w:lineRule="auto"/>
      </w:pPr>
      <w:r>
        <w:t>[2] Wispr Flow launches an Android app for AI-powered dictation — https://techcrunch.com/2026/02/23/wispr-flow-launches-an-android-app-for-ai-powered-dictation/</w:t>
      </w:r>
    </w:p>
    <w:p>
      <w:pPr>
        <w:spacing w:after="360" w:line="288" w:lineRule="auto"/>
      </w:pPr>
      <w:r>
        <w:t>[3] Taalas is replacing programmable GPUs with hardwired AI chips to achieve 17,000 tokens per second for ubiquitous inference — https://www.marktechpost.com/2026/02/22/taalas-is-replacing-programmable-gpus-with-hardwired-ai-chips-to-achieve-17000-tokens-per-second-for-ubiquitous-inference/</w:t>
      </w:r>
    </w:p>
    <w:p>
      <w:pPr>
        <w:spacing w:after="360" w:line="288" w:lineRule="auto"/>
      </w:pPr>
      <w:r>
        <w:t>[4] Xbox shakeup: Phil Spencer and Sarah Bond are leaving Microsoft — https://www.theverge.com/games/882363/xbox-microsoft-phil-spencer-out</w:t>
      </w:r>
    </w:p>
    <w:p>
      <w:pPr>
        <w:spacing w:after="360" w:line="288" w:lineRule="auto"/>
      </w:pPr>
      <w:r>
        <w:t>[5] Inside Microsoft’s big Xbox leadership shake-up — https://www.theverge.com/tech/883015/microsoft-xbox-new-ceo-shakeup-notepad</w:t>
      </w:r>
    </w:p>
    <w:p>
      <w:pPr>
        <w:spacing w:after="360" w:line="288" w:lineRule="auto"/>
      </w:pPr>
      <w:r>
        <w:t>[6] How AI agents could destroy the economy — https://techcrunch.com/2026/02/23/how-ai-agents-could-destroy-the-economy/</w:t>
      </w:r>
    </w:p>
    <w:p>
      <w:pPr>
        <w:spacing w:after="360" w:line="288" w:lineRule="auto"/>
      </w:pPr>
      <w:r>
        <w:t>[7] A Coding Guide to Instrumenting, Tracing, and Evaluating LLM Applications Using TruLens and OpenAI Models — https://www.marktechpost.com/2026/02/22/a-coding-guide-to-instrumenting-tracing-and-evaluating-llm-applications-using-trulens-and-openai-models/</w:t>
      </w:r>
    </w:p>
    <w:p>
      <w:pPr>
        <w:spacing w:after="360" w:line="288" w:lineRule="auto"/>
      </w:pPr>
      <w:r>
        <w:t>[8] Uber launches robotaxi support project to aid AV partners — https://www.theverge.com/transportation/882364/uber-autonomous-solutions-training-data-partners</w:t>
      </w:r>
    </w:p>
    <w:p>
      <w:pPr>
        <w:spacing w:after="360" w:line="288" w:lineRule="auto"/>
      </w:pPr>
      <w:r>
        <w:t>[9] A New Google AI Research Proposes Deep-Thinking Ratio to Improve LLM Accuracy While Cutting Total Inference Costs by Half — https://www.marktechpost.com/2026/02/21/a-new-google-ai-research-proposes-deep-thinking-ratio-to-improve-llm-accuracy-while-cutting-total-inference-costs-by-half/</w:t>
      </w:r>
    </w:p>
    <w:p>
      <w:pPr>
        <w:spacing w:after="360" w:line="288" w:lineRule="auto"/>
      </w:pPr>
      <w:r>
        <w:t>[10] Forget Keyword Imitation: ByteDance AI Maps Molecular Bonds in AI Reasoning to Stabilize Long Chain-of-Thought Performance and Reinforcement Learning (RL) Training — https://www.marktechpost.com/2026/02/22/forget-keyword-imitation-bytedance-ai-maps-molecular-bonds-in-ai-reasoning-to-stabilize-long-chain-of-thought-performance-and-reinforcement-learning-rl-training/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