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489E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Executive Summary</w:t>
      </w:r>
    </w:p>
    <w:p w14:paraId="388CA3ED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Supplier Revenue Concentration Analysis</w:t>
      </w:r>
    </w:p>
    <w:p w14:paraId="06797C5D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Overview</w:t>
      </w:r>
    </w:p>
    <w:p w14:paraId="3318012D" w14:textId="56DC6A57" w:rsidR="000B6B56" w:rsidRPr="000B6B56" w:rsidRDefault="000B6B56" w:rsidP="000B6B56">
      <w:r w:rsidRPr="000B6B56">
        <w:t xml:space="preserve">Analysis of revenue across </w:t>
      </w:r>
      <w:r w:rsidRPr="000B6B56">
        <w:rPr>
          <w:b/>
          <w:bCs/>
        </w:rPr>
        <w:t>15 suppliers</w:t>
      </w:r>
      <w:r w:rsidRPr="000B6B56">
        <w:t xml:space="preserve"> shows how supplier contribution affects total revenue, risk, and operational efficiency.</w:t>
      </w:r>
    </w:p>
    <w:p w14:paraId="3AF1E1DB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Key Insight</w:t>
      </w:r>
    </w:p>
    <w:p w14:paraId="6C726579" w14:textId="77777777" w:rsidR="000B6B56" w:rsidRPr="000B6B56" w:rsidRDefault="000B6B56" w:rsidP="000B6B56">
      <w:r w:rsidRPr="000B6B56">
        <w:rPr>
          <w:b/>
          <w:bCs/>
        </w:rPr>
        <w:t>Revenue is broadly distributed:</w:t>
      </w:r>
    </w:p>
    <w:p w14:paraId="7BABC7C4" w14:textId="77777777" w:rsidR="000B6B56" w:rsidRPr="000B6B56" w:rsidRDefault="000B6B56" w:rsidP="000B6B56">
      <w:pPr>
        <w:numPr>
          <w:ilvl w:val="0"/>
          <w:numId w:val="1"/>
        </w:numPr>
      </w:pPr>
      <w:r w:rsidRPr="000B6B56">
        <w:rPr>
          <w:b/>
          <w:bCs/>
        </w:rPr>
        <w:t>11 suppliers (73% of total)</w:t>
      </w:r>
      <w:r w:rsidRPr="000B6B56">
        <w:t xml:space="preserve"> generate </w:t>
      </w:r>
      <w:r w:rsidRPr="000B6B56">
        <w:rPr>
          <w:b/>
          <w:bCs/>
        </w:rPr>
        <w:t>80% of total revenue</w:t>
      </w:r>
    </w:p>
    <w:p w14:paraId="081BB14D" w14:textId="77777777" w:rsidR="000B6B56" w:rsidRPr="000B6B56" w:rsidRDefault="000B6B56" w:rsidP="000B6B56">
      <w:pPr>
        <w:numPr>
          <w:ilvl w:val="0"/>
          <w:numId w:val="1"/>
        </w:numPr>
      </w:pPr>
      <w:r w:rsidRPr="000B6B56">
        <w:t xml:space="preserve">Top 4 suppliers account for </w:t>
      </w:r>
      <w:r w:rsidRPr="000B6B56">
        <w:rPr>
          <w:b/>
          <w:bCs/>
        </w:rPr>
        <w:t>~35% of revenue</w:t>
      </w:r>
    </w:p>
    <w:p w14:paraId="296D9DA2" w14:textId="77777777" w:rsidR="000B6B56" w:rsidRPr="000B6B56" w:rsidRDefault="000B6B56" w:rsidP="000B6B56">
      <w:pPr>
        <w:numPr>
          <w:ilvl w:val="0"/>
          <w:numId w:val="1"/>
        </w:numPr>
      </w:pPr>
      <w:r w:rsidRPr="000B6B56">
        <w:t>No single supplier dominates revenue</w:t>
      </w:r>
    </w:p>
    <w:p w14:paraId="0D440C2E" w14:textId="312FBD75" w:rsidR="000B6B56" w:rsidRPr="000B6B56" w:rsidRDefault="000B6B56" w:rsidP="000B6B56">
      <w:r w:rsidRPr="000B6B56">
        <w:rPr>
          <w:rFonts w:ascii="Aptos" w:hAnsi="Aptos"/>
          <w:b/>
          <w:color w:val="000000"/>
        </w:rPr>
        <w:t>Interpretation:</w:t>
      </w:r>
      <w:r w:rsidRPr="000B6B56">
        <w:rPr>
          <w:rFonts w:ascii="Aptos" w:hAnsi="Aptos"/>
          <w:color w:val="000000"/>
        </w:rPr>
        <w:t xml:space="preserve"> There is minimal dependency risk; however, the fragmented spending reduces leverage.</w:t>
      </w:r>
    </w:p>
    <w:p w14:paraId="0693FBD5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Quantified Business Impact</w:t>
      </w:r>
    </w:p>
    <w:p w14:paraId="7630D9EA" w14:textId="77777777" w:rsidR="000B6B56" w:rsidRPr="000B6B56" w:rsidRDefault="000B6B56" w:rsidP="000B6B56">
      <w:pPr>
        <w:numPr>
          <w:ilvl w:val="0"/>
          <w:numId w:val="2"/>
        </w:numPr>
      </w:pPr>
      <w:r w:rsidRPr="000B6B56">
        <w:rPr>
          <w:b/>
          <w:bCs/>
        </w:rPr>
        <w:t>Potential efficiency gain:</w:t>
      </w:r>
      <w:r w:rsidRPr="000B6B56">
        <w:t xml:space="preserve"> Consolidating low-performing suppliers could reduce procurement complexity by </w:t>
      </w:r>
      <w:r w:rsidRPr="000B6B56">
        <w:rPr>
          <w:b/>
          <w:bCs/>
        </w:rPr>
        <w:t>up to 25–30%</w:t>
      </w:r>
    </w:p>
    <w:p w14:paraId="4B24E769" w14:textId="77777777" w:rsidR="000B6B56" w:rsidRPr="000B6B56" w:rsidRDefault="000B6B56" w:rsidP="000B6B56">
      <w:pPr>
        <w:numPr>
          <w:ilvl w:val="0"/>
          <w:numId w:val="2"/>
        </w:numPr>
      </w:pPr>
      <w:r w:rsidRPr="000B6B56">
        <w:rPr>
          <w:b/>
          <w:bCs/>
        </w:rPr>
        <w:t>Negotiation leverage:</w:t>
      </w:r>
      <w:r w:rsidRPr="000B6B56">
        <w:t xml:space="preserve"> Focusing volume on top-performing suppliers could increase cost savings opportunities by </w:t>
      </w:r>
      <w:r w:rsidRPr="000B6B56">
        <w:rPr>
          <w:b/>
          <w:bCs/>
        </w:rPr>
        <w:t>5–10%</w:t>
      </w:r>
    </w:p>
    <w:p w14:paraId="4876A965" w14:textId="67C040F8" w:rsidR="000B6B56" w:rsidRPr="000B6B56" w:rsidRDefault="000B6B56" w:rsidP="000B6B56">
      <w:pPr>
        <w:numPr>
          <w:ilvl w:val="0"/>
          <w:numId w:val="2"/>
        </w:numPr>
      </w:pPr>
      <w:r w:rsidRPr="000B6B56">
        <w:rPr>
          <w:b/>
          <w:bCs/>
        </w:rPr>
        <w:t>Risk mitigation:</w:t>
      </w:r>
      <w:r w:rsidRPr="000B6B56">
        <w:t xml:space="preserve"> Even if a single top supplier fails, exposure is </w:t>
      </w:r>
      <w:r w:rsidRPr="000B6B56">
        <w:rPr>
          <w:b/>
          <w:bCs/>
        </w:rPr>
        <w:t>&lt;5% of total revenue</w:t>
      </w:r>
      <w:r w:rsidRPr="000B6B56">
        <w:t>, reducing operational vulnerability</w:t>
      </w:r>
    </w:p>
    <w:p w14:paraId="0B4D57CB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Strategic Recommendations</w:t>
      </w:r>
    </w:p>
    <w:p w14:paraId="312DC0E4" w14:textId="77777777" w:rsidR="000B6B56" w:rsidRPr="000B6B56" w:rsidRDefault="000B6B56" w:rsidP="000B6B56">
      <w:pPr>
        <w:numPr>
          <w:ilvl w:val="0"/>
          <w:numId w:val="3"/>
        </w:numPr>
      </w:pPr>
      <w:r w:rsidRPr="000B6B56">
        <w:t xml:space="preserve">Target </w:t>
      </w:r>
      <w:r w:rsidRPr="000B6B56">
        <w:rPr>
          <w:b/>
          <w:bCs/>
        </w:rPr>
        <w:t>top-performing suppliers</w:t>
      </w:r>
      <w:r w:rsidRPr="000B6B56">
        <w:t xml:space="preserve"> for volume bundling and contract renegotiation</w:t>
      </w:r>
    </w:p>
    <w:p w14:paraId="434DC2DE" w14:textId="77777777" w:rsidR="000B6B56" w:rsidRPr="000B6B56" w:rsidRDefault="000B6B56" w:rsidP="000B6B56">
      <w:pPr>
        <w:numPr>
          <w:ilvl w:val="0"/>
          <w:numId w:val="3"/>
        </w:numPr>
      </w:pPr>
      <w:r w:rsidRPr="000B6B56">
        <w:t xml:space="preserve">Evaluate </w:t>
      </w:r>
      <w:r w:rsidRPr="000B6B56">
        <w:rPr>
          <w:b/>
          <w:bCs/>
        </w:rPr>
        <w:t>mid- and low-tier suppliers</w:t>
      </w:r>
      <w:r w:rsidRPr="000B6B56">
        <w:t xml:space="preserve"> for consolidation opportunities</w:t>
      </w:r>
    </w:p>
    <w:p w14:paraId="541148C2" w14:textId="64A98176" w:rsidR="000B6B56" w:rsidRPr="000B6B56" w:rsidRDefault="000B6B56" w:rsidP="000B6B56">
      <w:pPr>
        <w:numPr>
          <w:ilvl w:val="0"/>
          <w:numId w:val="3"/>
        </w:numPr>
      </w:pPr>
      <w:r w:rsidRPr="000B6B56">
        <w:t>Maintain supplier diversification to balance efficiency gains with risk mitigation</w:t>
      </w:r>
    </w:p>
    <w:p w14:paraId="36212613" w14:textId="77777777" w:rsidR="000B6B56" w:rsidRPr="000B6B56" w:rsidRDefault="000B6B56" w:rsidP="000B6B56">
      <w:pPr>
        <w:rPr>
          <w:b/>
          <w:bCs/>
        </w:rPr>
      </w:pPr>
      <w:r w:rsidRPr="000B6B56">
        <w:rPr>
          <w:b/>
          <w:bCs/>
        </w:rPr>
        <w:t>Director-Level Takeaway</w:t>
      </w:r>
    </w:p>
    <w:p w14:paraId="30BE7A73" w14:textId="77777777" w:rsidR="000B6B56" w:rsidRPr="000B6B56" w:rsidRDefault="000B6B56" w:rsidP="000B6B56">
      <w:r w:rsidRPr="000B6B56">
        <w:t xml:space="preserve">Revenue is evenly distributed across the supplier base, presenting low concentration risk. Targeted supplier consolidation and strategic volume alignment can </w:t>
      </w:r>
      <w:r w:rsidRPr="000B6B56">
        <w:rPr>
          <w:b/>
          <w:bCs/>
        </w:rPr>
        <w:t>drive measurable efficiency and cost savings</w:t>
      </w:r>
      <w:r w:rsidRPr="000B6B56">
        <w:t xml:space="preserve"> without increasing operational exposure.</w:t>
      </w:r>
    </w:p>
    <w:p w14:paraId="54CE1169" w14:textId="77777777" w:rsidR="008825DD" w:rsidRDefault="008825DD"/>
    <w:sectPr w:rsidR="00882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B53"/>
    <w:multiLevelType w:val="multilevel"/>
    <w:tmpl w:val="7FB6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47B13"/>
    <w:multiLevelType w:val="multilevel"/>
    <w:tmpl w:val="9FC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54B1"/>
    <w:multiLevelType w:val="multilevel"/>
    <w:tmpl w:val="95F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48686">
    <w:abstractNumId w:val="1"/>
  </w:num>
  <w:num w:numId="2" w16cid:durableId="767311905">
    <w:abstractNumId w:val="2"/>
  </w:num>
  <w:num w:numId="3" w16cid:durableId="131965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56"/>
    <w:rsid w:val="000B6B56"/>
    <w:rsid w:val="00294760"/>
    <w:rsid w:val="008825DD"/>
    <w:rsid w:val="009A01A3"/>
    <w:rsid w:val="00AC0A48"/>
    <w:rsid w:val="00CC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D9BB"/>
  <w15:chartTrackingRefBased/>
  <w15:docId w15:val="{4C7C9522-7592-4513-84FE-D0C980AA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1227</Characters>
  <Application>Microsoft Office Word</Application>
  <DocSecurity>0</DocSecurity>
  <Lines>27</Lines>
  <Paragraphs>20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P.</dc:creator>
  <cp:keywords/>
  <dc:description/>
  <cp:lastModifiedBy>Kyle P.</cp:lastModifiedBy>
  <cp:revision>2</cp:revision>
  <dcterms:created xsi:type="dcterms:W3CDTF">2026-02-27T17:39:00Z</dcterms:created>
  <dcterms:modified xsi:type="dcterms:W3CDTF">2026-03-04T17:26:00Z</dcterms:modified>
</cp:coreProperties>
</file>