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Reflection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our team, we met together to do the entire project. While we still split the work between each other this way we could always help one another with their parts. Chris worked on creating the database, writing all the initial code and data. Kyle also helped to debug the code and get it working. Most of the debugging were just small syntax errors, however, the order of the tables was something that we found was important as well. Having the other tables already created was necessary for the sales tables as it needed the foreign keys to be already created. Another thing that we were lucky enough to notice before creating the database was the fact that we would have to give examples of different types of joins. This played a role in the creation of our database because it meant that we had to add NULL values in order to show the differences. By working on the queries and database creation asynchronously, we were able to save some time and not have to go back to make changes in our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Quang and Kyle were working on the queries for part 3. Quang was in charge of the aggregate function and the subquery in the query questions while Kyle completed the two different join operation functions. They managed these tasks well with only using the database model, since Chris was still working to create the actual mock database. The aggregate functions and others was dealt with swiftly, but Quang ran into some problems with the subquery question where he didn’t know how to formulate a subquery from only looking at the data model. He decided to ask Chris for some clues as he said the Employees Table could use some more information. Quang went with Chris’s suggestion and tried to work with the employee table and to formulate a question with it. The motif of the query was found where Quang wants to find the Dealer whose Total Sales is lower than that of the Average Sales of all the dealers. Quang, though, has never written a subquery before so he didn’t really know the syntax for it, he decided to go to W3C Resources for more information and get some knowledge about subquery uses and syntaxes. He wrote the query and send it to Kyle for debugging. After some tweak, the code worked and they were all happy that the database and queries  were functioning without any issues.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