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0787372C" w14:paraId="1CD2B821" wp14:textId="77777777">
      <w:pPr>
        <w:spacing w:line="480" w:lineRule="auto"/>
        <w:jc w:val="left"/>
        <w:rPr>
          <w:rFonts w:ascii="Times New Roman" w:hAnsi="Times New Roman" w:eastAsia="Times New Roman" w:cs="Times New Roman"/>
          <w:b w:val="0"/>
          <w:bCs w:val="0"/>
          <w:sz w:val="24"/>
          <w:szCs w:val="24"/>
        </w:rPr>
      </w:pPr>
      <w:r w:rsidRPr="0787372C" w:rsidR="0787372C">
        <w:rPr>
          <w:rFonts w:ascii="Times New Roman" w:hAnsi="Times New Roman" w:eastAsia="Times New Roman" w:cs="Times New Roman"/>
          <w:b w:val="0"/>
          <w:bCs w:val="0"/>
          <w:sz w:val="24"/>
          <w:szCs w:val="24"/>
        </w:rPr>
        <w:t>Kyle McCurdy</w:t>
      </w:r>
    </w:p>
    <w:p xmlns:wp14="http://schemas.microsoft.com/office/word/2010/wordml" w:rsidP="0787372C" w14:paraId="5AB6468D" wp14:textId="4F1FEE5D">
      <w:pPr>
        <w:spacing w:line="480" w:lineRule="auto"/>
        <w:jc w:val="left"/>
        <w:rPr>
          <w:rFonts w:ascii="Times New Roman" w:hAnsi="Times New Roman" w:eastAsia="Times New Roman" w:cs="Times New Roman"/>
          <w:b w:val="0"/>
          <w:bCs w:val="0"/>
          <w:sz w:val="24"/>
          <w:szCs w:val="24"/>
        </w:rPr>
      </w:pPr>
      <w:r w:rsidRPr="0787372C" w:rsidR="0787372C">
        <w:rPr>
          <w:rFonts w:ascii="Times New Roman" w:hAnsi="Times New Roman" w:eastAsia="Times New Roman" w:cs="Times New Roman"/>
          <w:b w:val="0"/>
          <w:bCs w:val="0"/>
          <w:sz w:val="24"/>
          <w:szCs w:val="24"/>
        </w:rPr>
        <w:t>CS 405</w:t>
      </w:r>
    </w:p>
    <w:p xmlns:wp14="http://schemas.microsoft.com/office/word/2010/wordml" w:rsidP="0787372C" w14:paraId="29388C09" wp14:textId="77777777">
      <w:pPr>
        <w:spacing w:line="480" w:lineRule="auto"/>
        <w:jc w:val="left"/>
        <w:rPr>
          <w:rFonts w:ascii="Times New Roman" w:hAnsi="Times New Roman" w:eastAsia="Times New Roman" w:cs="Times New Roman"/>
          <w:b w:val="0"/>
          <w:bCs w:val="0"/>
          <w:sz w:val="24"/>
          <w:szCs w:val="24"/>
        </w:rPr>
      </w:pPr>
      <w:r w:rsidRPr="0787372C" w:rsidR="0787372C">
        <w:rPr>
          <w:rFonts w:ascii="Times New Roman" w:hAnsi="Times New Roman" w:eastAsia="Times New Roman" w:cs="Times New Roman"/>
          <w:b w:val="0"/>
          <w:bCs w:val="0"/>
          <w:sz w:val="24"/>
          <w:szCs w:val="24"/>
        </w:rPr>
        <w:t>Professor Demory</w:t>
      </w:r>
    </w:p>
    <w:p w:rsidR="041E48D5" w:rsidP="0787372C" w:rsidRDefault="041E48D5" w14:paraId="7A702146" w14:textId="18EAE40C">
      <w:pPr>
        <w:spacing w:line="480" w:lineRule="auto"/>
        <w:jc w:val="left"/>
        <w:rPr>
          <w:rFonts w:ascii="Times New Roman" w:hAnsi="Times New Roman" w:eastAsia="Times New Roman" w:cs="Times New Roman"/>
          <w:b w:val="0"/>
          <w:bCs w:val="0"/>
          <w:sz w:val="24"/>
          <w:szCs w:val="24"/>
        </w:rPr>
      </w:pPr>
      <w:r w:rsidRPr="0787372C" w:rsidR="041E48D5">
        <w:rPr>
          <w:rFonts w:ascii="Times New Roman" w:hAnsi="Times New Roman" w:eastAsia="Times New Roman" w:cs="Times New Roman"/>
          <w:b w:val="0"/>
          <w:bCs w:val="0"/>
          <w:sz w:val="24"/>
          <w:szCs w:val="24"/>
        </w:rPr>
        <w:t>18 August 2026</w:t>
      </w:r>
    </w:p>
    <w:p w:rsidR="041E48D5" w:rsidP="0787372C" w:rsidRDefault="041E48D5" w14:paraId="15CFE09D" w14:textId="4029861F">
      <w:pPr>
        <w:spacing w:line="480" w:lineRule="auto"/>
        <w:jc w:val="center"/>
      </w:pPr>
      <w:r w:rsidRPr="0787372C" w:rsidR="041E48D5">
        <w:rPr>
          <w:rFonts w:ascii="Times New Roman" w:hAnsi="Times New Roman" w:eastAsia="Times New Roman" w:cs="Times New Roman"/>
          <w:b w:val="1"/>
          <w:bCs w:val="1"/>
          <w:sz w:val="24"/>
          <w:szCs w:val="24"/>
        </w:rPr>
        <w:t>Module 8: Project Reflection</w:t>
      </w:r>
    </w:p>
    <w:p xmlns:wp14="http://schemas.microsoft.com/office/word/2010/wordml" w14:paraId="04308098" wp14:textId="23047829">
      <w:pPr>
        <w:spacing w:line="480" w:lineRule="auto"/>
      </w:pPr>
      <w:r w:rsidRPr="0787372C" w:rsidR="0787372C">
        <w:rPr>
          <w:rFonts w:ascii="Times New Roman" w:hAnsi="Times New Roman" w:eastAsia="Times New Roman" w:cs="Times New Roman"/>
          <w:sz w:val="24"/>
          <w:szCs w:val="24"/>
          <w:lang w:val="en-US"/>
        </w:rPr>
        <w:t xml:space="preserve">Working through this course has changed how I think about writing code. </w:t>
      </w:r>
      <w:r w:rsidRPr="0787372C" w:rsidR="0787372C">
        <w:rPr>
          <w:rFonts w:ascii="Times New Roman" w:hAnsi="Times New Roman" w:eastAsia="Times New Roman" w:cs="Times New Roman"/>
          <w:sz w:val="24"/>
          <w:szCs w:val="24"/>
          <w:lang w:val="en-US"/>
        </w:rPr>
        <w:t>When I started, I saw security as something to check at the end, after the program worked.</w:t>
      </w:r>
      <w:r w:rsidRPr="0787372C" w:rsidR="0787372C">
        <w:rPr>
          <w:rFonts w:ascii="Times New Roman" w:hAnsi="Times New Roman" w:eastAsia="Times New Roman" w:cs="Times New Roman"/>
          <w:sz w:val="24"/>
          <w:szCs w:val="24"/>
          <w:lang w:val="en-US"/>
        </w:rPr>
        <w:t xml:space="preserve"> Now I see it as part of the design itself, built in from the first line. This journal </w:t>
      </w:r>
      <w:r w:rsidRPr="0787372C" w:rsidR="2DEC0DAA">
        <w:rPr>
          <w:rFonts w:ascii="Times New Roman" w:hAnsi="Times New Roman" w:eastAsia="Times New Roman" w:cs="Times New Roman"/>
          <w:sz w:val="24"/>
          <w:szCs w:val="24"/>
          <w:lang w:val="en-US"/>
        </w:rPr>
        <w:t>reflects</w:t>
      </w:r>
      <w:r w:rsidRPr="0787372C" w:rsidR="0787372C">
        <w:rPr>
          <w:rFonts w:ascii="Times New Roman" w:hAnsi="Times New Roman" w:eastAsia="Times New Roman" w:cs="Times New Roman"/>
          <w:sz w:val="24"/>
          <w:szCs w:val="24"/>
          <w:lang w:val="en-US"/>
        </w:rPr>
        <w:t xml:space="preserve"> four ideas that stood out the most: adopting a secure coding standard early, weighing risk against the cost of fixing it, applying zero trust principles, and putting security policy into practice.</w:t>
      </w:r>
    </w:p>
    <w:p xmlns:wp14="http://schemas.microsoft.com/office/word/2010/wordml" w14:paraId="0F3ACE7C" wp14:textId="77777777">
      <w:pPr>
        <w:spacing w:before="120" w:line="480" w:lineRule="auto"/>
      </w:pPr>
      <w:r>
        <w:rPr>
          <w:rFonts w:ascii="Times New Roman" w:hAnsi="Times New Roman" w:eastAsia="Times New Roman" w:cs="Times New Roman"/>
          <w:b/>
          <w:bCs/>
          <w:sz w:val="24"/>
          <w:szCs w:val="24"/>
        </w:rPr>
        <w:t xml:space="preserve">Adopting a Secure Coding Standard Early</w:t>
      </w:r>
    </w:p>
    <w:p xmlns:wp14="http://schemas.microsoft.com/office/word/2010/wordml" w14:paraId="1F0F9C4B" wp14:textId="5043A9E8">
      <w:pPr>
        <w:spacing w:line="480" w:lineRule="auto"/>
      </w:pPr>
      <w:r w:rsidRPr="0787372C" w:rsidR="0787372C">
        <w:rPr>
          <w:rFonts w:ascii="Times New Roman" w:hAnsi="Times New Roman" w:eastAsia="Times New Roman" w:cs="Times New Roman"/>
          <w:sz w:val="24"/>
          <w:szCs w:val="24"/>
          <w:lang w:val="en-US"/>
        </w:rPr>
        <w:t xml:space="preserve">Security cannot be an afterthought. In the early modules, I worked on buffer overflow prevention and numeric overflow and underflow issues in C++. Both are easy to avoid if a standard is followed from the start, but expensive to fix once a program is already built and tested. Building the Green Pace Security Policy for Project One showed me how a written coding standard gives a team a shared set of rules for pointers, containers, and input handling, instead of leaving each developer to make their own judgment calls. A standard adopted at the start of a project prevents whole categories of bugs from ever being written, rather than catching them after the fact with a scanner or </w:t>
      </w:r>
      <w:r w:rsidRPr="0787372C" w:rsidR="56B586D6">
        <w:rPr>
          <w:rFonts w:ascii="Times New Roman" w:hAnsi="Times New Roman" w:eastAsia="Times New Roman" w:cs="Times New Roman"/>
          <w:sz w:val="24"/>
          <w:szCs w:val="24"/>
          <w:lang w:val="en-US"/>
        </w:rPr>
        <w:t>code of</w:t>
      </w:r>
      <w:r w:rsidRPr="0787372C" w:rsidR="0787372C">
        <w:rPr>
          <w:rFonts w:ascii="Times New Roman" w:hAnsi="Times New Roman" w:eastAsia="Times New Roman" w:cs="Times New Roman"/>
          <w:sz w:val="24"/>
          <w:szCs w:val="24"/>
          <w:lang w:val="en-US"/>
        </w:rPr>
        <w:t xml:space="preserve"> review.</w:t>
      </w:r>
    </w:p>
    <w:p xmlns:wp14="http://schemas.microsoft.com/office/word/2010/wordml" w14:paraId="65DDE153" wp14:textId="77777777">
      <w:pPr>
        <w:spacing w:before="120" w:line="480" w:lineRule="auto"/>
      </w:pPr>
      <w:r>
        <w:rPr>
          <w:rFonts w:ascii="Times New Roman" w:hAnsi="Times New Roman" w:eastAsia="Times New Roman" w:cs="Times New Roman"/>
          <w:b/>
          <w:bCs/>
          <w:sz w:val="24"/>
          <w:szCs w:val="24"/>
        </w:rPr>
        <w:t xml:space="preserve">Evaluating Risk and the Cost-Benefit of Mitigation</w:t>
      </w:r>
    </w:p>
    <w:p xmlns:wp14="http://schemas.microsoft.com/office/word/2010/wordml" w14:paraId="2277290C" wp14:textId="66038788">
      <w:pPr>
        <w:spacing w:line="480" w:lineRule="auto"/>
      </w:pPr>
      <w:r w:rsidRPr="0787372C" w:rsidR="0787372C">
        <w:rPr>
          <w:rFonts w:ascii="Times New Roman" w:hAnsi="Times New Roman" w:eastAsia="Times New Roman" w:cs="Times New Roman"/>
          <w:sz w:val="24"/>
          <w:szCs w:val="24"/>
          <w:lang w:val="en-US"/>
        </w:rPr>
        <w:t xml:space="preserve">Not every vulnerability deserves the same amount of attention. This course pushed me to think about risk in terms of likelihood and impact, rather than fixing everything I find. The static code analysis milestone was a good example: comparing </w:t>
      </w:r>
      <w:r w:rsidRPr="0787372C" w:rsidR="0787372C">
        <w:rPr>
          <w:rFonts w:ascii="Times New Roman" w:hAnsi="Times New Roman" w:eastAsia="Times New Roman" w:cs="Times New Roman"/>
          <w:sz w:val="24"/>
          <w:szCs w:val="24"/>
          <w:lang w:val="en-US"/>
        </w:rPr>
        <w:t>Cppcheck</w:t>
      </w:r>
      <w:r w:rsidRPr="0787372C" w:rsidR="0787372C">
        <w:rPr>
          <w:rFonts w:ascii="Times New Roman" w:hAnsi="Times New Roman" w:eastAsia="Times New Roman" w:cs="Times New Roman"/>
          <w:sz w:val="24"/>
          <w:szCs w:val="24"/>
          <w:lang w:val="en-US"/>
        </w:rPr>
        <w:t xml:space="preserve"> and Visual Studio's analyzer showed that tools can flag dozens of issues, but not all of them carry the same risk or cost to fix. Studying the 2023 MGM Resorts breach reinforced this on a larger scale. A single social engineering call led to a ransomware attack estimated to cost around 100 million dollars, showing how a small, cheap gap in </w:t>
      </w:r>
      <w:r w:rsidRPr="0787372C" w:rsidR="33128583">
        <w:rPr>
          <w:rFonts w:ascii="Times New Roman" w:hAnsi="Times New Roman" w:eastAsia="Times New Roman" w:cs="Times New Roman"/>
          <w:sz w:val="24"/>
          <w:szCs w:val="24"/>
          <w:lang w:val="en-US"/>
        </w:rPr>
        <w:t>the process</w:t>
      </w:r>
      <w:r w:rsidRPr="0787372C" w:rsidR="0787372C">
        <w:rPr>
          <w:rFonts w:ascii="Times New Roman" w:hAnsi="Times New Roman" w:eastAsia="Times New Roman" w:cs="Times New Roman"/>
          <w:sz w:val="24"/>
          <w:szCs w:val="24"/>
          <w:lang w:val="en-US"/>
        </w:rPr>
        <w:t xml:space="preserve"> can create a massive downstream cost. Good risk assessment means weighing what a mitigation costs against what a breach would cost if left alone.</w:t>
      </w:r>
    </w:p>
    <w:p xmlns:wp14="http://schemas.microsoft.com/office/word/2010/wordml" w14:paraId="6489FBF8" wp14:textId="77777777">
      <w:pPr>
        <w:spacing w:before="120" w:line="480" w:lineRule="auto"/>
      </w:pPr>
      <w:r>
        <w:rPr>
          <w:rFonts w:ascii="Times New Roman" w:hAnsi="Times New Roman" w:eastAsia="Times New Roman" w:cs="Times New Roman"/>
          <w:b/>
          <w:bCs/>
          <w:sz w:val="24"/>
          <w:szCs w:val="24"/>
        </w:rPr>
        <w:t xml:space="preserve">Zero Trust</w:t>
      </w:r>
    </w:p>
    <w:p xmlns:wp14="http://schemas.microsoft.com/office/word/2010/wordml" w14:paraId="3D533EE8" wp14:textId="77777777">
      <w:pPr>
        <w:spacing w:line="480" w:lineRule="auto"/>
      </w:pPr>
      <w:r w:rsidRPr="0787372C" w:rsidR="0787372C">
        <w:rPr>
          <w:rFonts w:ascii="Times New Roman" w:hAnsi="Times New Roman" w:eastAsia="Times New Roman" w:cs="Times New Roman"/>
          <w:sz w:val="24"/>
          <w:szCs w:val="24"/>
          <w:lang w:val="en-US"/>
        </w:rPr>
        <w:t>Zero trust reframed how I think about defense in depth. Instead of assuming anything inside a network or application is safe, zero trust treats every request and every user as unverified until it proves otherwise. This connects to the defense in depth journal I wrote earlier in the course, where I looked at layered controls such as encryption, input validation, and access control working together instead of relying on one perimeter defense. Zero trust removes the idea of a trusted inside zone altogether. Every layer, from authentication to the code itself, has to verify rather than assume.</w:t>
      </w:r>
    </w:p>
    <w:p xmlns:wp14="http://schemas.microsoft.com/office/word/2010/wordml" w14:paraId="1D49EC9B" wp14:textId="77777777">
      <w:pPr>
        <w:spacing w:before="120" w:line="480" w:lineRule="auto"/>
      </w:pPr>
      <w:r>
        <w:rPr>
          <w:rFonts w:ascii="Times New Roman" w:hAnsi="Times New Roman" w:eastAsia="Times New Roman" w:cs="Times New Roman"/>
          <w:b/>
          <w:bCs/>
          <w:sz w:val="24"/>
          <w:szCs w:val="24"/>
        </w:rPr>
        <w:t xml:space="preserve">Implementing and Recommending Security Policies</w:t>
      </w:r>
    </w:p>
    <w:p xmlns:wp14="http://schemas.microsoft.com/office/word/2010/wordml" w14:paraId="02470F46" wp14:textId="77777777">
      <w:pPr>
        <w:spacing w:line="480" w:lineRule="auto"/>
      </w:pPr>
      <w:r>
        <w:rPr>
          <w:rFonts w:ascii="Times New Roman" w:hAnsi="Times New Roman" w:eastAsia="Times New Roman" w:cs="Times New Roman"/>
          <w:sz w:val="24"/>
          <w:szCs w:val="24"/>
        </w:rPr>
        <w:t xml:space="preserve">Writing the Green Pace Security Policy and presenting it in Project Two showed me a policy only matters if it is specific enough for developers to use. A useful policy names the coding standards, gives examples of noncompliant and compliant code, and defines the tools used to detect violations automatically. Thinking about attacker motive, explored in the Module Seven journal, also shaped how I write recommendations now. Understanding why an attacker would target a weakness helps justify a policy to people who are not security specialists, since it connects an abstract rule to a real consequence.</w:t>
      </w:r>
    </w:p>
    <w:p xmlns:wp14="http://schemas.microsoft.com/office/word/2010/wordml" w14:paraId="2B2A7A39" wp14:textId="77777777">
      <w:pPr>
        <w:spacing w:before="120" w:line="480" w:lineRule="auto"/>
      </w:pPr>
      <w:r>
        <w:rPr>
          <w:rFonts w:ascii="Times New Roman" w:hAnsi="Times New Roman" w:eastAsia="Times New Roman" w:cs="Times New Roman"/>
          <w:b/>
          <w:bCs/>
          <w:sz w:val="24"/>
          <w:szCs w:val="24"/>
        </w:rPr>
        <w:t xml:space="preserve">Conclusion</w:t>
      </w:r>
    </w:p>
    <w:p xmlns:wp14="http://schemas.microsoft.com/office/word/2010/wordml" w14:paraId="5DA4D1EB" wp14:textId="77777777">
      <w:pPr>
        <w:spacing w:line="480" w:lineRule="auto"/>
      </w:pPr>
      <w:r w:rsidRPr="0787372C" w:rsidR="0787372C">
        <w:rPr>
          <w:rFonts w:ascii="Times New Roman" w:hAnsi="Times New Roman" w:eastAsia="Times New Roman" w:cs="Times New Roman"/>
          <w:sz w:val="24"/>
          <w:szCs w:val="24"/>
          <w:lang w:val="en-US"/>
        </w:rPr>
        <w:t>Across this course, the throughline has been that security works best when it is planned, not patched. A coding standard adopted early, honest risk assessment, zero trust thinking, and clear policy all point back to the same idea: security is a design decision, not a final step.</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ZozX/LYaIdnIqR" int2:id="7kyjcPcP">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fff05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D058E23"/>
  <w15:docId w15:val="{4387B5C5-17F6-492B-9B8D-A9B8778DC013}"/>
  <w:rsids>
    <w:rsidRoot w:val="041E48D5"/>
    <w:rsid w:val="041E48D5"/>
    <w:rsid w:val="0787372C"/>
    <w:rsid w:val="0A692808"/>
    <w:rsid w:val="2DEC0DAA"/>
    <w:rsid w:val="33128583"/>
    <w:rsid w:val="4C720952"/>
    <w:rsid w:val="56B586D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microsoft.com/office/2020/10/relationships/intelligence" Target="/word/intelligence2.xml" Id="Re40c44ffba684b9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McCurdy, Kyle</lastModifiedBy>
  <revision>2</revision>
  <dcterms:created xsi:type="dcterms:W3CDTF">2026-08-18T15:03:28.0010000Z</dcterms:created>
  <dcterms:modified xsi:type="dcterms:W3CDTF">2026-08-18T15:10:06.7937651Z</dcterms:modified>
</coreProperties>
</file>

<file path=docProps/custom.xml><?xml version="1.0" encoding="utf-8"?>
<Properties xmlns="http://schemas.openxmlformats.org/officeDocument/2006/custom-properties" xmlns:vt="http://schemas.openxmlformats.org/officeDocument/2006/docPropsVTypes"/>
</file>