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7EA97" w14:textId="11E2386F" w:rsidR="009651B6" w:rsidRPr="005F7452" w:rsidRDefault="005F7452" w:rsidP="005F7452">
      <w:pPr>
        <w:pStyle w:val="ListParagraph"/>
        <w:numPr>
          <w:ilvl w:val="0"/>
          <w:numId w:val="3"/>
        </w:numPr>
        <w:spacing w:line="360" w:lineRule="auto"/>
        <w:rPr>
          <w:rFonts w:ascii="Helvetica Neue" w:hAnsi="Helvetica Neue"/>
        </w:rPr>
      </w:pPr>
      <w:r>
        <w:rPr>
          <w:rFonts w:ascii="Helvetica Neue" w:hAnsi="Helvetica Neue"/>
        </w:rPr>
        <w:t>|</w:t>
      </w:r>
    </w:p>
    <w:p w14:paraId="0E58BE82" w14:textId="190563EA" w:rsidR="00070492" w:rsidRPr="005F7452" w:rsidRDefault="0032310A" w:rsidP="005F7452">
      <w:pPr>
        <w:pStyle w:val="ListParagraph"/>
        <w:numPr>
          <w:ilvl w:val="1"/>
          <w:numId w:val="3"/>
        </w:numPr>
        <w:spacing w:line="360" w:lineRule="auto"/>
        <w:rPr>
          <w:rFonts w:ascii="Helvetica Neue" w:hAnsi="Helvetica Neue"/>
        </w:rPr>
      </w:pPr>
      <w:r w:rsidRPr="005F7452">
        <w:rPr>
          <w:rFonts w:ascii="Helvetica Neue" w:hAnsi="Helvetica Neue"/>
        </w:rPr>
        <w:t xml:space="preserve">For this analysis we will use </w:t>
      </w:r>
      <w:r w:rsidR="005F7452" w:rsidRPr="005F7452">
        <w:rPr>
          <w:rFonts w:ascii="Helvetica Neue" w:hAnsi="Helvetica Neue"/>
        </w:rPr>
        <w:t>thirteen-week</w:t>
      </w:r>
      <w:r w:rsidRPr="005F7452">
        <w:rPr>
          <w:rFonts w:ascii="Helvetica Neue" w:hAnsi="Helvetica Neue"/>
        </w:rPr>
        <w:t xml:space="preserve"> treasury bonds for our </w:t>
      </w:r>
      <w:r w:rsidR="005F7452" w:rsidRPr="005F7452">
        <w:rPr>
          <w:rFonts w:ascii="Helvetica Neue" w:hAnsi="Helvetica Neue"/>
        </w:rPr>
        <w:t>risk-free</w:t>
      </w:r>
      <w:r w:rsidRPr="005F7452">
        <w:rPr>
          <w:rFonts w:ascii="Helvetica Neue" w:hAnsi="Helvetica Neue"/>
        </w:rPr>
        <w:t xml:space="preserve"> rate and the S&amp;P 500 for our market return rate. </w:t>
      </w:r>
      <w:r w:rsidR="00094499" w:rsidRPr="005F7452">
        <w:rPr>
          <w:rFonts w:ascii="Helvetica Neue" w:hAnsi="Helvetica Neue"/>
        </w:rPr>
        <w:t xml:space="preserve">In this analysis we will use the following stocks: Apple, Google, Exxon, and Chevron. </w:t>
      </w:r>
      <w:r w:rsidR="00191551" w:rsidRPr="005F7452">
        <w:rPr>
          <w:rFonts w:ascii="Helvetica Neue" w:hAnsi="Helvetica Neue"/>
        </w:rPr>
        <w:t>The average daily return for our assets between 2010 and 2019 is the following: AAPL:</w:t>
      </w:r>
      <w:r w:rsidR="00F06249">
        <w:rPr>
          <w:rFonts w:ascii="Helvetica Neue" w:hAnsi="Helvetica Neue"/>
        </w:rPr>
        <w:t xml:space="preserve"> </w:t>
      </w:r>
      <w:r w:rsidR="00191551" w:rsidRPr="005F7452">
        <w:rPr>
          <w:rFonts w:ascii="Helvetica Neue" w:hAnsi="Helvetica Neue"/>
        </w:rPr>
        <w:t xml:space="preserve">0.00108, GOOGL: 0.000694, XOM: 0.000199, CVX: 0.000402, ^GSPC: 0.000459, ^IRX: 0.000229. </w:t>
      </w:r>
    </w:p>
    <w:p w14:paraId="054BE5B7" w14:textId="41EB7A98" w:rsidR="009651B6" w:rsidRPr="005F7452" w:rsidRDefault="005F7452" w:rsidP="005F7452">
      <w:pPr>
        <w:pStyle w:val="ListParagraph"/>
        <w:numPr>
          <w:ilvl w:val="1"/>
          <w:numId w:val="3"/>
        </w:numPr>
        <w:spacing w:line="360" w:lineRule="auto"/>
        <w:rPr>
          <w:rFonts w:ascii="Helvetica Neue" w:hAnsi="Helvetica Neue"/>
        </w:rPr>
      </w:pPr>
      <w:r w:rsidRPr="005F7452">
        <w:rPr>
          <w:rFonts w:ascii="Helvetica Neue" w:hAnsi="Helvetica Neue"/>
        </w:rPr>
        <w:t xml:space="preserve">Using the CAPM model we can </w:t>
      </w:r>
      <w:r w:rsidR="002109BB" w:rsidRPr="005F7452">
        <w:rPr>
          <w:rFonts w:ascii="Helvetica Neue" w:hAnsi="Helvetica Neue"/>
        </w:rPr>
        <w:t>calculate</w:t>
      </w:r>
      <w:r w:rsidRPr="005F7452">
        <w:rPr>
          <w:rFonts w:ascii="Helvetica Neue" w:hAnsi="Helvetica Neue"/>
        </w:rPr>
        <w:t xml:space="preserve"> the Alpha and Beta for Apple and Exxon. For Apple we find an Alpha of 0.0011 and a Beta of 0.893. </w:t>
      </w:r>
      <w:r w:rsidR="00682D5E">
        <w:rPr>
          <w:rFonts w:ascii="Helvetica Neue" w:hAnsi="Helvetica Neue"/>
        </w:rPr>
        <w:t xml:space="preserve">For Exxon we find an Alpha of </w:t>
      </w:r>
      <w:r w:rsidR="00682D5E" w:rsidRPr="00682D5E">
        <w:rPr>
          <w:rFonts w:ascii="Helvetica Neue" w:hAnsi="Helvetica Neue"/>
        </w:rPr>
        <w:t>-0.0001</w:t>
      </w:r>
      <w:r w:rsidR="00682D5E">
        <w:rPr>
          <w:rFonts w:ascii="Helvetica Neue" w:hAnsi="Helvetica Neue"/>
        </w:rPr>
        <w:t xml:space="preserve"> and a Beta of </w:t>
      </w:r>
      <w:r w:rsidR="00682D5E" w:rsidRPr="00682D5E">
        <w:rPr>
          <w:rFonts w:ascii="Helvetica Neue" w:hAnsi="Helvetica Neue"/>
        </w:rPr>
        <w:t>0.903</w:t>
      </w:r>
      <w:r w:rsidR="00682D5E">
        <w:rPr>
          <w:rFonts w:ascii="Helvetica Neue" w:hAnsi="Helvetica Neue"/>
        </w:rPr>
        <w:t xml:space="preserve">. </w:t>
      </w:r>
      <w:r w:rsidR="00F06249">
        <w:rPr>
          <w:rFonts w:ascii="Helvetica Neue" w:hAnsi="Helvetica Neue"/>
        </w:rPr>
        <w:t xml:space="preserve">This lines up with our previous beliefs given that Apple was a risky stock that had technological advances that gave it an edge and Exxon was a relatively safe oil stock that would have close to market returns. </w:t>
      </w:r>
    </w:p>
    <w:p w14:paraId="61EE24A8" w14:textId="566147AC" w:rsidR="009651B6" w:rsidRDefault="009721C7" w:rsidP="005F7452">
      <w:pPr>
        <w:pStyle w:val="ListParagraph"/>
        <w:numPr>
          <w:ilvl w:val="1"/>
          <w:numId w:val="3"/>
        </w:numPr>
        <w:spacing w:line="360" w:lineRule="auto"/>
        <w:rPr>
          <w:rFonts w:ascii="Helvetica Neue" w:hAnsi="Helvetica Neue"/>
        </w:rPr>
      </w:pPr>
      <w:r>
        <w:rPr>
          <w:rFonts w:ascii="Helvetica Neue" w:hAnsi="Helvetica Neue"/>
        </w:rPr>
        <w:t xml:space="preserve">The following is a time graph of Apples </w:t>
      </w:r>
      <w:r w:rsidR="003C7AFA">
        <w:rPr>
          <w:rFonts w:ascii="Helvetica Neue" w:hAnsi="Helvetica Neue"/>
        </w:rPr>
        <w:t>ri</w:t>
      </w:r>
      <w:r>
        <w:rPr>
          <w:rFonts w:ascii="Helvetica Neue" w:hAnsi="Helvetica Neue"/>
        </w:rPr>
        <w:t>sk premium (</w:t>
      </w:r>
      <w:r w:rsidR="003C7AFA">
        <w:rPr>
          <w:rFonts w:ascii="Helvetica Neue" w:hAnsi="Helvetica Neue"/>
        </w:rPr>
        <w:t xml:space="preserve">Green), their risk premium as projected by our regression model (Blue), and the </w:t>
      </w:r>
      <w:r w:rsidR="00A52B3B">
        <w:rPr>
          <w:rFonts w:ascii="Helvetica Neue" w:hAnsi="Helvetica Neue"/>
        </w:rPr>
        <w:t>associated residuals</w:t>
      </w:r>
      <w:r w:rsidR="003C7AFA">
        <w:rPr>
          <w:rFonts w:ascii="Helvetica Neue" w:hAnsi="Helvetica Neue"/>
        </w:rPr>
        <w:t xml:space="preserve"> (Red). </w:t>
      </w:r>
      <w:r w:rsidR="00A52B3B">
        <w:rPr>
          <w:rFonts w:ascii="Helvetica Neue" w:hAnsi="Helvetica Neue"/>
        </w:rPr>
        <w:t xml:space="preserve">The </w:t>
      </w:r>
      <w:proofErr w:type="gramStart"/>
      <w:r w:rsidR="00A52B3B">
        <w:rPr>
          <w:rFonts w:ascii="Helvetica Neue" w:hAnsi="Helvetica Neue"/>
        </w:rPr>
        <w:t>high risk</w:t>
      </w:r>
      <w:proofErr w:type="gramEnd"/>
      <w:r w:rsidR="00A52B3B">
        <w:rPr>
          <w:rFonts w:ascii="Helvetica Neue" w:hAnsi="Helvetica Neue"/>
        </w:rPr>
        <w:t xml:space="preserve"> premium between 2010 and 2013 may be attributed to Steve Jobs death, and the low spike in 2013 may be from the ending of the global lawsuit with HTC. </w:t>
      </w:r>
    </w:p>
    <w:p w14:paraId="6D0774B0" w14:textId="7532CC72" w:rsidR="00526628" w:rsidRPr="005F7452" w:rsidRDefault="00526628" w:rsidP="00526628">
      <w:pPr>
        <w:pStyle w:val="ListParagraph"/>
        <w:spacing w:line="360" w:lineRule="auto"/>
        <w:rPr>
          <w:rFonts w:ascii="Helvetica Neue" w:hAnsi="Helvetica Neue"/>
        </w:rPr>
      </w:pPr>
      <w:r>
        <w:rPr>
          <w:rFonts w:ascii="Helvetica Neue" w:hAnsi="Helvetica Neue"/>
          <w:noProof/>
        </w:rPr>
        <w:drawing>
          <wp:inline distT="0" distB="0" distL="0" distR="0" wp14:anchorId="38DA3570" wp14:editId="7FD0EAE9">
            <wp:extent cx="5207000" cy="38354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p>
    <w:p w14:paraId="4A906F47" w14:textId="782942A1" w:rsidR="00482AF5" w:rsidRPr="005F7452" w:rsidRDefault="00145B30" w:rsidP="005F7452">
      <w:pPr>
        <w:pStyle w:val="ListParagraph"/>
        <w:numPr>
          <w:ilvl w:val="1"/>
          <w:numId w:val="3"/>
        </w:numPr>
        <w:spacing w:line="360" w:lineRule="auto"/>
        <w:rPr>
          <w:rFonts w:ascii="Helvetica Neue" w:hAnsi="Helvetica Neue"/>
        </w:rPr>
      </w:pPr>
      <w:r w:rsidRPr="005F7452">
        <w:rPr>
          <w:rFonts w:ascii="Helvetica Neue" w:hAnsi="Helvetica Neue"/>
        </w:rPr>
        <w:t xml:space="preserve">No rejection of the null </w:t>
      </w:r>
      <w:r w:rsidR="00B64A0A" w:rsidRPr="005F7452">
        <w:rPr>
          <w:rFonts w:ascii="Helvetica Neue" w:hAnsi="Helvetica Neue"/>
        </w:rPr>
        <w:t>hypothesis</w:t>
      </w:r>
      <w:r w:rsidRPr="005F7452">
        <w:rPr>
          <w:rFonts w:ascii="Helvetica Neue" w:hAnsi="Helvetica Neue"/>
        </w:rPr>
        <w:t xml:space="preserve"> a=0 would not invalidate the CAPM model because it would simply mean the stock is overperforming or underperforming compared to expectation. This could be because something happened that the market could not account for such as new technology or a change in the company. </w:t>
      </w:r>
    </w:p>
    <w:p w14:paraId="515AAD11" w14:textId="296447F8" w:rsidR="009651B6" w:rsidRPr="005F7452" w:rsidRDefault="00D30D80" w:rsidP="005F7452">
      <w:pPr>
        <w:pStyle w:val="ListParagraph"/>
        <w:numPr>
          <w:ilvl w:val="1"/>
          <w:numId w:val="3"/>
        </w:numPr>
        <w:spacing w:line="360" w:lineRule="auto"/>
        <w:rPr>
          <w:rFonts w:ascii="Helvetica Neue" w:hAnsi="Helvetica Neue"/>
        </w:rPr>
      </w:pPr>
      <w:r w:rsidRPr="005F7452">
        <w:rPr>
          <w:rFonts w:ascii="Helvetica Neue" w:hAnsi="Helvetica Neue"/>
        </w:rPr>
        <w:t xml:space="preserve">The 95% confidence interval for beta for Apple is 8.155390e-01 - 0.971205397 and for Exon Mobile is 0.8660435254 - 0.940843615. For both companies we reject the null </w:t>
      </w:r>
      <w:r w:rsidRPr="005F7452">
        <w:rPr>
          <w:rFonts w:ascii="Helvetica Neue" w:hAnsi="Helvetica Neue"/>
        </w:rPr>
        <w:lastRenderedPageBreak/>
        <w:t xml:space="preserve">hypothesis that beta equals 1 in favour of the alternative hypothesis that beta does not equal 1. </w:t>
      </w:r>
    </w:p>
    <w:p w14:paraId="0729C4AC" w14:textId="048D3504" w:rsidR="00D85928" w:rsidRPr="005F7452" w:rsidRDefault="00D85928" w:rsidP="005F7452">
      <w:pPr>
        <w:pStyle w:val="ListParagraph"/>
        <w:numPr>
          <w:ilvl w:val="1"/>
          <w:numId w:val="3"/>
        </w:numPr>
        <w:spacing w:line="360" w:lineRule="auto"/>
        <w:rPr>
          <w:rFonts w:ascii="Helvetica Neue" w:hAnsi="Helvetica Neue"/>
        </w:rPr>
      </w:pPr>
      <w:r w:rsidRPr="005F7452">
        <w:rPr>
          <w:rFonts w:ascii="Helvetica Neue" w:hAnsi="Helvetica Neue"/>
        </w:rPr>
        <w:t xml:space="preserve">For </w:t>
      </w:r>
      <w:r w:rsidR="00CE6581">
        <w:rPr>
          <w:rFonts w:ascii="Helvetica Neue" w:hAnsi="Helvetica Neue"/>
        </w:rPr>
        <w:t xml:space="preserve">Apple their systematic risk is .1429 and for Exxon their systematic risk is .1445. Neither of the </w:t>
      </w:r>
      <w:r w:rsidR="00F039D9">
        <w:rPr>
          <w:rFonts w:ascii="Helvetica Neue" w:hAnsi="Helvetica Neue"/>
        </w:rPr>
        <w:t>company’s</w:t>
      </w:r>
      <w:r w:rsidR="00CE6581">
        <w:rPr>
          <w:rFonts w:ascii="Helvetica Neue" w:hAnsi="Helvetica Neue"/>
        </w:rPr>
        <w:t xml:space="preserve"> risk aligns with Sharpe’s typical stock as Apples systematic risk accounts for 53.66% of the stocks total risk and Exxon’s accounts for 80.14% of their total risk. </w:t>
      </w:r>
      <w:r w:rsidR="00192B91">
        <w:rPr>
          <w:rFonts w:ascii="Helvetica Neue" w:hAnsi="Helvetica Neue"/>
        </w:rPr>
        <w:t xml:space="preserve">This is probably because </w:t>
      </w:r>
      <w:r w:rsidR="00F039D9">
        <w:rPr>
          <w:rFonts w:ascii="Helvetica Neue" w:hAnsi="Helvetica Neue"/>
        </w:rPr>
        <w:t>both</w:t>
      </w:r>
      <w:r w:rsidR="00192B91">
        <w:rPr>
          <w:rFonts w:ascii="Helvetica Neue" w:hAnsi="Helvetica Neue"/>
        </w:rPr>
        <w:t xml:space="preserve"> stocks are relatively safe so most of the risk is inherent to the market. </w:t>
      </w:r>
    </w:p>
    <w:p w14:paraId="04570BFB" w14:textId="27ABF0E1" w:rsidR="00963F43" w:rsidRPr="005F7452" w:rsidRDefault="00963F43" w:rsidP="005F7452">
      <w:pPr>
        <w:pStyle w:val="ListParagraph"/>
        <w:numPr>
          <w:ilvl w:val="1"/>
          <w:numId w:val="3"/>
        </w:numPr>
        <w:spacing w:line="360" w:lineRule="auto"/>
        <w:rPr>
          <w:rFonts w:ascii="Helvetica Neue" w:hAnsi="Helvetica Neue"/>
        </w:rPr>
      </w:pPr>
      <w:r w:rsidRPr="005F7452">
        <w:rPr>
          <w:rFonts w:ascii="Helvetica Neue" w:hAnsi="Helvetica Neue"/>
        </w:rPr>
        <w:t xml:space="preserve">Based on our two samples there seems to be little to no </w:t>
      </w:r>
      <w:r w:rsidR="00F70EB0" w:rsidRPr="005F7452">
        <w:rPr>
          <w:rFonts w:ascii="Helvetica Neue" w:hAnsi="Helvetica Neue"/>
        </w:rPr>
        <w:t>correlation</w:t>
      </w:r>
      <w:r w:rsidRPr="005F7452">
        <w:rPr>
          <w:rFonts w:ascii="Helvetica Neue" w:hAnsi="Helvetica Neue"/>
        </w:rPr>
        <w:t xml:space="preserve"> between </w:t>
      </w:r>
      <w:r w:rsidR="00666E5A" w:rsidRPr="005F7452">
        <w:rPr>
          <w:rFonts w:ascii="Helvetica Neue" w:hAnsi="Helvetica Neue"/>
        </w:rPr>
        <w:t xml:space="preserve">beta and R^2. The two stocks have a very similar beta but Apples R^2 is much higher than Exon Mobile’s R^2. </w:t>
      </w:r>
      <w:r w:rsidR="00F039D9">
        <w:rPr>
          <w:rFonts w:ascii="Helvetica Neue" w:hAnsi="Helvetica Neue"/>
        </w:rPr>
        <w:t xml:space="preserve">Apple has a Beta estimate of .8931 and an R^2 of .2875. Exxon has an estimated Beta of .9034 and an R^2 of .6415. </w:t>
      </w:r>
    </w:p>
    <w:p w14:paraId="57B4C03D" w14:textId="28D11BD6" w:rsidR="009A736F" w:rsidRPr="005F7452" w:rsidRDefault="00B54B85" w:rsidP="005F7452">
      <w:pPr>
        <w:pStyle w:val="ListParagraph"/>
        <w:numPr>
          <w:ilvl w:val="0"/>
          <w:numId w:val="3"/>
        </w:numPr>
        <w:spacing w:line="360" w:lineRule="auto"/>
        <w:rPr>
          <w:rFonts w:ascii="Helvetica Neue" w:hAnsi="Helvetica Neue"/>
        </w:rPr>
      </w:pPr>
      <w:r>
        <w:rPr>
          <w:rFonts w:ascii="Helvetica Neue" w:hAnsi="Helvetica Neue"/>
        </w:rPr>
        <w:t>|</w:t>
      </w:r>
    </w:p>
    <w:p w14:paraId="587D41D5" w14:textId="58E5D0D8" w:rsidR="00956E81" w:rsidRPr="005F7452" w:rsidRDefault="00956E81" w:rsidP="005F7452">
      <w:pPr>
        <w:pStyle w:val="ListParagraph"/>
        <w:numPr>
          <w:ilvl w:val="1"/>
          <w:numId w:val="3"/>
        </w:numPr>
        <w:spacing w:line="360" w:lineRule="auto"/>
        <w:rPr>
          <w:rFonts w:ascii="Helvetica Neue" w:hAnsi="Helvetica Neue"/>
        </w:rPr>
      </w:pPr>
      <w:r w:rsidRPr="005F7452">
        <w:rPr>
          <w:rFonts w:ascii="Helvetica Neue" w:hAnsi="Helvetica Neue"/>
        </w:rPr>
        <w:t xml:space="preserve">If the January premium effects both the market returns and the risk free returns by the same amount then the risk premium would not be effected since all elements would rise by the same </w:t>
      </w:r>
      <w:r w:rsidR="00133F72" w:rsidRPr="005F7452">
        <w:rPr>
          <w:rFonts w:ascii="Helvetica Neue" w:hAnsi="Helvetica Neue"/>
        </w:rPr>
        <w:t>amount:</w:t>
      </w:r>
      <w:r w:rsidRPr="005F7452">
        <w:rPr>
          <w:rFonts w:ascii="Helvetica Neue" w:hAnsi="Helvetica Neue"/>
        </w:rPr>
        <w:t xml:space="preserv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r>
              <m:rPr>
                <m:sty m:val="p"/>
              </m:rPr>
              <w:rPr>
                <w:rFonts w:ascii="Cambria Math" w:hAnsi="Cambria Math"/>
              </w:rPr>
              <w:softHyphen/>
            </m:r>
            <m:r>
              <m:rPr>
                <m:sty m:val="p"/>
              </m:rPr>
              <w:rPr>
                <w:rFonts w:ascii="Cambria Math" w:hAnsi="Cambria Math"/>
              </w:rPr>
              <w:softHyphen/>
            </m:r>
            <m:sSub>
              <m:sSubPr>
                <m:ctrlPr>
                  <w:rPr>
                    <w:rFonts w:ascii="Cambria Math" w:hAnsi="Cambria Math"/>
                    <w:i/>
                  </w:rPr>
                </m:ctrlPr>
              </m:sSubPr>
              <m:e>
                <m:r>
                  <w:rPr>
                    <w:rFonts w:ascii="Cambria Math" w:hAnsi="Cambria Math"/>
                  </w:rPr>
                  <m:t>r</m:t>
                </m:r>
              </m:e>
              <m:sub>
                <m:r>
                  <w:rPr>
                    <w:rFonts w:ascii="Cambria Math" w:hAnsi="Cambria Math"/>
                  </w:rPr>
                  <m:t>j</m:t>
                </m:r>
              </m:sub>
            </m:sSub>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r>
          <m:rPr>
            <m:sty m:val="p"/>
          </m:rPr>
          <w:rPr>
            <w:rFonts w:ascii="Cambria Math" w:hAnsi="Cambria Math"/>
          </w:rPr>
          <w:softHyphen/>
        </m:r>
        <m:r>
          <m:rPr>
            <m:sty m:val="p"/>
          </m:rPr>
          <w:rPr>
            <w:rFonts w:ascii="Cambria Math" w:hAnsi="Cambria Math"/>
          </w:rPr>
          <w:softHyphen/>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w:r w:rsidR="00133F72" w:rsidRPr="005F7452">
        <w:rPr>
          <w:rFonts w:ascii="Helvetica Neue" w:eastAsiaTheme="minorEastAsia" w:hAnsi="Helvetica Neue"/>
        </w:rPr>
        <w:t xml:space="preserve"> </w:t>
      </w:r>
      <w:r w:rsidR="00133F72" w:rsidRPr="005F7452">
        <w:rPr>
          <w:rFonts w:ascii="Helvetica Neue" w:eastAsiaTheme="minorEastAsia" w:hAnsi="Helvetica Neue"/>
        </w:rPr>
        <w:tab/>
        <w:t xml:space="preserve">This shows that risk premium would not be effected by a January premium. </w:t>
      </w:r>
      <w:r w:rsidR="00B65F17" w:rsidRPr="005F7452">
        <w:rPr>
          <w:rFonts w:ascii="Helvetica Neue" w:eastAsiaTheme="minorEastAsia" w:hAnsi="Helvetica Neue"/>
        </w:rPr>
        <w:t xml:space="preserve">This means that the CAPM model would not be </w:t>
      </w:r>
      <w:r w:rsidR="00481603" w:rsidRPr="005F7452">
        <w:rPr>
          <w:rFonts w:ascii="Helvetica Neue" w:eastAsiaTheme="minorEastAsia" w:hAnsi="Helvetica Neue"/>
        </w:rPr>
        <w:t>affected</w:t>
      </w:r>
      <w:r w:rsidR="00B65F17" w:rsidRPr="005F7452">
        <w:rPr>
          <w:rFonts w:ascii="Helvetica Neue" w:eastAsiaTheme="minorEastAsia" w:hAnsi="Helvetica Neue"/>
        </w:rPr>
        <w:t xml:space="preserve"> by a </w:t>
      </w:r>
      <w:r w:rsidR="00D947E0" w:rsidRPr="005F7452">
        <w:rPr>
          <w:rFonts w:ascii="Helvetica Neue" w:eastAsiaTheme="minorEastAsia" w:hAnsi="Helvetica Neue"/>
        </w:rPr>
        <w:t>January</w:t>
      </w:r>
      <w:r w:rsidR="00B65F17" w:rsidRPr="005F7452">
        <w:rPr>
          <w:rFonts w:ascii="Helvetica Neue" w:eastAsiaTheme="minorEastAsia" w:hAnsi="Helvetica Neue"/>
        </w:rPr>
        <w:t xml:space="preserve"> Premium</w:t>
      </w:r>
      <w:r w:rsidR="00481603" w:rsidRPr="005F7452">
        <w:rPr>
          <w:rFonts w:ascii="Helvetica Neue" w:eastAsiaTheme="minorEastAsia" w:hAnsi="Helvetica Neue"/>
        </w:rPr>
        <w:t xml:space="preserve">. </w:t>
      </w:r>
      <w:r w:rsidR="005D6D16" w:rsidRPr="005F7452">
        <w:rPr>
          <w:rFonts w:ascii="Helvetica Neue" w:eastAsiaTheme="minorEastAsia" w:hAnsi="Helvetica Neue"/>
        </w:rPr>
        <w:t xml:space="preserve">It would make sense, however, that the premium only applied to risky stocks </w:t>
      </w:r>
      <w:r w:rsidR="00BB1FEE" w:rsidRPr="005F7452">
        <w:rPr>
          <w:rFonts w:ascii="Helvetica Neue" w:eastAsiaTheme="minorEastAsia" w:hAnsi="Helvetica Neue"/>
        </w:rPr>
        <w:t xml:space="preserve">because they would be most likely to be sold in December for tax purposes which means they would have the biggest swing from December to January. </w:t>
      </w:r>
    </w:p>
    <w:p w14:paraId="0AEC4994" w14:textId="77777777" w:rsidR="0082331E" w:rsidRPr="005F7452" w:rsidRDefault="0082331E" w:rsidP="005F7452">
      <w:pPr>
        <w:pStyle w:val="ListParagraph"/>
        <w:numPr>
          <w:ilvl w:val="1"/>
          <w:numId w:val="3"/>
        </w:numPr>
        <w:spacing w:line="360" w:lineRule="auto"/>
        <w:rPr>
          <w:rFonts w:ascii="Helvetica Neue" w:hAnsi="Helvetica Neue"/>
        </w:rPr>
      </w:pPr>
      <w:r w:rsidRPr="005F7452">
        <w:rPr>
          <w:rFonts w:ascii="Helvetica Neue" w:hAnsi="Helvetica Neue"/>
        </w:rPr>
        <w:t>|</w:t>
      </w:r>
    </w:p>
    <w:p w14:paraId="06C93723" w14:textId="25CF6904" w:rsidR="00133F72" w:rsidRPr="005F7452" w:rsidRDefault="001C6D5B" w:rsidP="005F7452">
      <w:pPr>
        <w:pStyle w:val="ListParagraph"/>
        <w:numPr>
          <w:ilvl w:val="2"/>
          <w:numId w:val="3"/>
        </w:numPr>
        <w:spacing w:line="360" w:lineRule="auto"/>
        <w:rPr>
          <w:rFonts w:ascii="Helvetica Neue" w:hAnsi="Helvetica Neue"/>
        </w:rPr>
      </w:pPr>
      <w:r w:rsidRPr="005F7452">
        <w:rPr>
          <w:rFonts w:ascii="Helvetica Neue" w:hAnsi="Helvetica Neue"/>
        </w:rPr>
        <w:t>Yes,</w:t>
      </w:r>
      <w:r w:rsidR="00F70EB0" w:rsidRPr="005F7452">
        <w:rPr>
          <w:rFonts w:ascii="Helvetica Neue" w:hAnsi="Helvetica Neue"/>
        </w:rPr>
        <w:t xml:space="preserve"> the risk premium would be </w:t>
      </w:r>
      <w:r w:rsidR="00FB6E52" w:rsidRPr="005F7452">
        <w:rPr>
          <w:rFonts w:ascii="Helvetica Neue" w:hAnsi="Helvetica Neue"/>
        </w:rPr>
        <w:t>affected</w:t>
      </w:r>
      <w:r w:rsidR="00F70EB0" w:rsidRPr="005F7452">
        <w:rPr>
          <w:rFonts w:ascii="Helvetica Neue" w:hAnsi="Helvetica Neue"/>
        </w:rPr>
        <w:t xml:space="preserve"> because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oMath>
      <w:r w:rsidR="00F70EB0" w:rsidRPr="005F7452">
        <w:rPr>
          <w:rFonts w:ascii="Helvetica Neue" w:eastAsiaTheme="minorEastAsia" w:hAnsi="Helvetica Neue"/>
        </w:rPr>
        <w:t xml:space="preserve">. </w:t>
      </w:r>
    </w:p>
    <w:p w14:paraId="7CC56BA4" w14:textId="353A3D17" w:rsidR="00E9252F" w:rsidRPr="005F7452" w:rsidRDefault="00000000" w:rsidP="005F7452">
      <w:pPr>
        <w:pStyle w:val="ListParagraph"/>
        <w:numPr>
          <w:ilvl w:val="2"/>
          <w:numId w:val="3"/>
        </w:numPr>
        <w:spacing w:line="360" w:lineRule="auto"/>
        <w:rPr>
          <w:rFonts w:ascii="Helvetica Neue" w:eastAsiaTheme="minorEastAsia" w:hAnsi="Helvetica Neue"/>
        </w:rPr>
      </w:pPr>
      <m:oMath>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+α+β</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+α+β</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+α+β</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βj</m:t>
            </m:r>
          </m:e>
          <m:sub>
            <m:r>
              <w:rPr>
                <w:rFonts w:ascii="Cambria Math" w:hAnsi="Cambria Math"/>
              </w:rPr>
              <m:t>m</m:t>
            </m:r>
          </m:sub>
        </m:sSub>
        <m:r>
          <w:rPr>
            <w:rFonts w:ascii="Cambria Math" w:hAnsi="Cambria Math"/>
          </w:rPr>
          <m:t>-β</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+α+β</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βj</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oMath>
      <w:r w:rsidR="00E65E36" w:rsidRPr="005F7452">
        <w:rPr>
          <w:rFonts w:ascii="Helvetica Neue" w:eastAsiaTheme="minorEastAsia" w:hAnsi="Helvetica Neue"/>
        </w:rPr>
        <w:t xml:space="preserve">. </w:t>
      </w:r>
    </w:p>
    <w:p w14:paraId="3E411FE6" w14:textId="61E0BE5B" w:rsidR="00E9252F" w:rsidRPr="005F7452" w:rsidRDefault="00E65E36" w:rsidP="005F7452">
      <w:pPr>
        <w:pStyle w:val="ListParagraph"/>
        <w:numPr>
          <w:ilvl w:val="2"/>
          <w:numId w:val="3"/>
        </w:numPr>
        <w:spacing w:line="360" w:lineRule="auto"/>
        <w:rPr>
          <w:rFonts w:ascii="Helvetica Neue" w:eastAsiaTheme="minorEastAsia" w:hAnsi="Helvetica Neue"/>
        </w:rPr>
      </w:pPr>
      <w:r w:rsidRPr="005F7452">
        <w:rPr>
          <w:rFonts w:ascii="Helvetica Neue" w:eastAsiaTheme="minorEastAsia" w:hAnsi="Helvetica Neue"/>
        </w:rPr>
        <w:t xml:space="preserve">Our </w:t>
      </w:r>
      <w:r w:rsidR="009F4FA8" w:rsidRPr="005F7452">
        <w:rPr>
          <w:rFonts w:ascii="Helvetica Neue" w:eastAsiaTheme="minorEastAsia" w:hAnsi="Helvetica Neue"/>
        </w:rPr>
        <w:t>left-hand</w:t>
      </w:r>
      <w:r w:rsidRPr="005F7452">
        <w:rPr>
          <w:rFonts w:ascii="Helvetica Neue" w:eastAsiaTheme="minorEastAsia" w:hAnsi="Helvetica Neue"/>
        </w:rPr>
        <w:t xml:space="preserve"> side becomes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p>
    <w:p w14:paraId="445DD3A0" w14:textId="254956D9" w:rsidR="009F4FA8" w:rsidRPr="005F7452" w:rsidRDefault="00E9252F" w:rsidP="005F7452">
      <w:pPr>
        <w:pStyle w:val="ListParagraph"/>
        <w:numPr>
          <w:ilvl w:val="2"/>
          <w:numId w:val="3"/>
        </w:numPr>
        <w:spacing w:line="360" w:lineRule="auto"/>
        <w:rPr>
          <w:rFonts w:ascii="Helvetica Neue" w:eastAsiaTheme="minorEastAsia" w:hAnsi="Helvetica Neue"/>
        </w:rPr>
      </w:pPr>
      <w:r w:rsidRPr="005F7452">
        <w:rPr>
          <w:rFonts w:ascii="Helvetica Neue" w:eastAsiaTheme="minorEastAsia" w:hAnsi="Helvetica Neue"/>
        </w:rPr>
        <w:t>S</w:t>
      </w:r>
      <w:r w:rsidR="00E65E36" w:rsidRPr="005F7452">
        <w:rPr>
          <w:rFonts w:ascii="Helvetica Neue" w:eastAsiaTheme="minorEastAsia" w:hAnsi="Helvetica Neue"/>
        </w:rPr>
        <w:t xml:space="preserve">ubtracting </w:t>
      </w:r>
      <m:oMath>
        <m:sSub>
          <m:sSubPr>
            <m:ctrlPr>
              <w:rPr>
                <w:rFonts w:ascii="Cambria Math" w:hAnsi="Cambria Math"/>
                <w:i/>
              </w:rPr>
            </m:ctrlPr>
          </m:sSubPr>
          <m:e>
            <m:r>
              <w:rPr>
                <w:rFonts w:ascii="Cambria Math" w:hAnsi="Cambria Math"/>
              </w:rPr>
              <m:t>βj</m:t>
            </m:r>
          </m:e>
          <m:sub>
            <m:r>
              <w:rPr>
                <w:rFonts w:ascii="Cambria Math" w:hAnsi="Cambria Math"/>
              </w:rPr>
              <m:t>m</m:t>
            </m:r>
          </m:sub>
        </m:sSub>
      </m:oMath>
      <w:r w:rsidR="00E65E36" w:rsidRPr="005F7452">
        <w:rPr>
          <w:rFonts w:ascii="Helvetica Neue" w:eastAsiaTheme="minorEastAsia" w:hAnsi="Helvetica Neue"/>
        </w:rPr>
        <w:t xml:space="preserve"> from both sides we get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+α+β</m:t>
        </m:r>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oMath>
    </w:p>
    <w:p w14:paraId="09957E07" w14:textId="5F79C6EF" w:rsidR="009F4FA8" w:rsidRPr="005F7452" w:rsidRDefault="009F4FA8" w:rsidP="005F7452">
      <w:pPr>
        <w:pStyle w:val="ListParagraph"/>
        <w:numPr>
          <w:ilvl w:val="2"/>
          <w:numId w:val="3"/>
        </w:numPr>
        <w:spacing w:line="360" w:lineRule="auto"/>
        <w:rPr>
          <w:rFonts w:ascii="Helvetica Neue" w:eastAsiaTheme="minorEastAsia" w:hAnsi="Helvetica Neue"/>
        </w:rPr>
      </w:pPr>
      <w:r w:rsidRPr="005F7452">
        <w:rPr>
          <w:rFonts w:ascii="Helvetica Neue" w:eastAsiaTheme="minorEastAsia" w:hAnsi="Helvetica Neue"/>
        </w:rPr>
        <w:t xml:space="preserve">Given this result we cannot estimate a January premium with this </w:t>
      </w:r>
      <w:r w:rsidR="00265F41" w:rsidRPr="005F7452">
        <w:rPr>
          <w:rFonts w:ascii="Helvetica Neue" w:eastAsiaTheme="minorEastAsia" w:hAnsi="Helvetica Neue"/>
        </w:rPr>
        <w:t>result,</w:t>
      </w:r>
      <w:r w:rsidRPr="005F7452">
        <w:rPr>
          <w:rFonts w:ascii="Helvetica Neue" w:eastAsiaTheme="minorEastAsia" w:hAnsi="Helvetica Neue"/>
        </w:rPr>
        <w:t xml:space="preserve"> So the CAPM model dose not hold. </w:t>
      </w:r>
    </w:p>
    <w:p w14:paraId="5DD1A3C0" w14:textId="43968B33" w:rsidR="00AC7C1E" w:rsidRDefault="00BF0F36" w:rsidP="005F7452">
      <w:pPr>
        <w:pStyle w:val="ListParagraph"/>
        <w:numPr>
          <w:ilvl w:val="1"/>
          <w:numId w:val="3"/>
        </w:numPr>
        <w:spacing w:line="360" w:lineRule="auto"/>
        <w:rPr>
          <w:rFonts w:ascii="Helvetica Neue" w:eastAsiaTheme="minorEastAsia" w:hAnsi="Helvetica Neue"/>
        </w:rPr>
      </w:pPr>
      <w:r>
        <w:rPr>
          <w:rFonts w:ascii="Helvetica Neue" w:eastAsiaTheme="minorEastAsia" w:hAnsi="Helvetica Neue"/>
        </w:rPr>
        <w:t xml:space="preserve">After running a regression of stock returns on our January dummy variable we can see if January is different based on the null hypothesis that the coefficient is equal to zero. For all three of our </w:t>
      </w:r>
      <w:r w:rsidR="00E36842">
        <w:rPr>
          <w:rFonts w:ascii="Helvetica Neue" w:eastAsiaTheme="minorEastAsia" w:hAnsi="Helvetica Neue"/>
        </w:rPr>
        <w:t>companies,</w:t>
      </w:r>
      <w:r>
        <w:rPr>
          <w:rFonts w:ascii="Helvetica Neue" w:eastAsiaTheme="minorEastAsia" w:hAnsi="Helvetica Neue"/>
        </w:rPr>
        <w:t xml:space="preserve"> we find that at a 95% confidence interval we </w:t>
      </w:r>
      <w:r w:rsidR="003F6C59">
        <w:rPr>
          <w:rFonts w:ascii="Helvetica Neue" w:eastAsiaTheme="minorEastAsia" w:hAnsi="Helvetica Neue"/>
        </w:rPr>
        <w:t xml:space="preserve">fail to </w:t>
      </w:r>
      <w:r>
        <w:rPr>
          <w:rFonts w:ascii="Helvetica Neue" w:eastAsiaTheme="minorEastAsia" w:hAnsi="Helvetica Neue"/>
        </w:rPr>
        <w:t xml:space="preserve">reject the null hypothesis in favour of the alternative hypothesis that the </w:t>
      </w:r>
      <w:r w:rsidR="00E36842">
        <w:rPr>
          <w:rFonts w:ascii="Helvetica Neue" w:eastAsiaTheme="minorEastAsia" w:hAnsi="Helvetica Neue"/>
        </w:rPr>
        <w:t>coefficient</w:t>
      </w:r>
      <w:r>
        <w:rPr>
          <w:rFonts w:ascii="Helvetica Neue" w:eastAsiaTheme="minorEastAsia" w:hAnsi="Helvetica Neue"/>
        </w:rPr>
        <w:t xml:space="preserve"> is not zero. This implies that </w:t>
      </w:r>
      <w:r w:rsidR="00E36842">
        <w:rPr>
          <w:rFonts w:ascii="Helvetica Neue" w:eastAsiaTheme="minorEastAsia" w:hAnsi="Helvetica Neue"/>
        </w:rPr>
        <w:t>January</w:t>
      </w:r>
      <w:r>
        <w:rPr>
          <w:rFonts w:ascii="Helvetica Neue" w:eastAsiaTheme="minorEastAsia" w:hAnsi="Helvetica Neue"/>
        </w:rPr>
        <w:t xml:space="preserve"> is </w:t>
      </w:r>
      <w:r w:rsidR="003F6C59">
        <w:rPr>
          <w:rFonts w:ascii="Helvetica Neue" w:eastAsiaTheme="minorEastAsia" w:hAnsi="Helvetica Neue"/>
        </w:rPr>
        <w:t xml:space="preserve">not </w:t>
      </w:r>
      <w:r>
        <w:rPr>
          <w:rFonts w:ascii="Helvetica Neue" w:eastAsiaTheme="minorEastAsia" w:hAnsi="Helvetica Neue"/>
        </w:rPr>
        <w:t xml:space="preserve">different. </w:t>
      </w:r>
    </w:p>
    <w:p w14:paraId="198734D0" w14:textId="13E5B4D1" w:rsidR="003F6C59" w:rsidRDefault="003F6C59" w:rsidP="005F7452">
      <w:pPr>
        <w:pStyle w:val="ListParagraph"/>
        <w:numPr>
          <w:ilvl w:val="1"/>
          <w:numId w:val="3"/>
        </w:numPr>
        <w:spacing w:line="360" w:lineRule="auto"/>
        <w:rPr>
          <w:rFonts w:ascii="Helvetica Neue" w:eastAsiaTheme="minorEastAsia" w:hAnsi="Helvetica Neue"/>
        </w:rPr>
      </w:pPr>
      <w:r>
        <w:rPr>
          <w:rFonts w:ascii="Helvetica Neue" w:eastAsiaTheme="minorEastAsia" w:hAnsi="Helvetica Neue"/>
        </w:rPr>
        <w:t xml:space="preserve">After setting the Beta parameter constant over all months and running a similar regression before we can test the null hypothesis that January is better. After doing so with a 95% </w:t>
      </w:r>
      <w:r>
        <w:rPr>
          <w:rFonts w:ascii="Helvetica Neue" w:eastAsiaTheme="minorEastAsia" w:hAnsi="Helvetica Neue"/>
        </w:rPr>
        <w:lastRenderedPageBreak/>
        <w:t xml:space="preserve">confidence interval we reject the null hypothesis that January is better in favour of the alternative hypothesis that January is not better. </w:t>
      </w:r>
    </w:p>
    <w:p w14:paraId="6E56784F" w14:textId="410B7C6A" w:rsidR="003F6C59" w:rsidRDefault="007D6B8F" w:rsidP="005F7452">
      <w:pPr>
        <w:pStyle w:val="ListParagraph"/>
        <w:numPr>
          <w:ilvl w:val="1"/>
          <w:numId w:val="3"/>
        </w:numPr>
        <w:spacing w:line="360" w:lineRule="auto"/>
        <w:rPr>
          <w:rFonts w:ascii="Helvetica Neue" w:eastAsiaTheme="minorEastAsia" w:hAnsi="Helvetica Neue"/>
        </w:rPr>
      </w:pPr>
      <w:r>
        <w:rPr>
          <w:rFonts w:ascii="Helvetica Neue" w:eastAsiaTheme="minorEastAsia" w:hAnsi="Helvetica Neue"/>
        </w:rPr>
        <w:t xml:space="preserve">From these tests we find that CAPM model is not as versatile as it initially seemed. We also found from our testing that the January premium theory </w:t>
      </w:r>
      <w:r w:rsidR="002565C7">
        <w:rPr>
          <w:rFonts w:ascii="Helvetica Neue" w:eastAsiaTheme="minorEastAsia" w:hAnsi="Helvetica Neue"/>
        </w:rPr>
        <w:t>does</w:t>
      </w:r>
      <w:r>
        <w:rPr>
          <w:rFonts w:ascii="Helvetica Neue" w:eastAsiaTheme="minorEastAsia" w:hAnsi="Helvetica Neue"/>
        </w:rPr>
        <w:t xml:space="preserve"> not seem to </w:t>
      </w:r>
      <w:proofErr w:type="gramStart"/>
      <w:r>
        <w:rPr>
          <w:rFonts w:ascii="Helvetica Neue" w:eastAsiaTheme="minorEastAsia" w:hAnsi="Helvetica Neue"/>
        </w:rPr>
        <w:t>hold</w:t>
      </w:r>
      <w:proofErr w:type="gramEnd"/>
      <w:r>
        <w:rPr>
          <w:rFonts w:ascii="Helvetica Neue" w:eastAsiaTheme="minorEastAsia" w:hAnsi="Helvetica Neue"/>
        </w:rPr>
        <w:t xml:space="preserve"> and that </w:t>
      </w:r>
      <w:r w:rsidR="00C56A51">
        <w:rPr>
          <w:rFonts w:ascii="Helvetica Neue" w:eastAsiaTheme="minorEastAsia" w:hAnsi="Helvetica Neue"/>
        </w:rPr>
        <w:t>January</w:t>
      </w:r>
      <w:r w:rsidR="002565C7">
        <w:rPr>
          <w:rFonts w:ascii="Helvetica Neue" w:eastAsiaTheme="minorEastAsia" w:hAnsi="Helvetica Neue"/>
        </w:rPr>
        <w:t xml:space="preserve"> </w:t>
      </w:r>
      <w:r w:rsidR="00C56A51">
        <w:rPr>
          <w:rFonts w:ascii="Helvetica Neue" w:eastAsiaTheme="minorEastAsia" w:hAnsi="Helvetica Neue"/>
        </w:rPr>
        <w:t>does</w:t>
      </w:r>
      <w:r w:rsidR="002565C7">
        <w:rPr>
          <w:rFonts w:ascii="Helvetica Neue" w:eastAsiaTheme="minorEastAsia" w:hAnsi="Helvetica Neue"/>
        </w:rPr>
        <w:t xml:space="preserve"> not seem to differ from any other month in the long run. </w:t>
      </w:r>
    </w:p>
    <w:p w14:paraId="70B0C4E6" w14:textId="3B4B88C8" w:rsidR="00C56A51" w:rsidRDefault="00C56A51" w:rsidP="00C56A51">
      <w:pPr>
        <w:pStyle w:val="ListParagraph"/>
        <w:numPr>
          <w:ilvl w:val="0"/>
          <w:numId w:val="3"/>
        </w:numPr>
        <w:spacing w:line="360" w:lineRule="auto"/>
        <w:rPr>
          <w:rFonts w:ascii="Helvetica Neue" w:eastAsiaTheme="minorEastAsia" w:hAnsi="Helvetica Neue"/>
        </w:rPr>
      </w:pPr>
      <w:r>
        <w:rPr>
          <w:rFonts w:ascii="Helvetica Neue" w:eastAsiaTheme="minorEastAsia" w:hAnsi="Helvetica Neue"/>
        </w:rPr>
        <w:t>|</w:t>
      </w:r>
    </w:p>
    <w:p w14:paraId="784E3876" w14:textId="42366D0F" w:rsidR="00D4626A" w:rsidRDefault="00D4626A" w:rsidP="00C56A51">
      <w:pPr>
        <w:pStyle w:val="ListParagraph"/>
        <w:numPr>
          <w:ilvl w:val="1"/>
          <w:numId w:val="3"/>
        </w:numPr>
        <w:spacing w:line="360" w:lineRule="auto"/>
        <w:rPr>
          <w:rFonts w:ascii="Helvetica Neue" w:eastAsiaTheme="minorEastAsia" w:hAnsi="Helvetica Neue"/>
        </w:rPr>
      </w:pPr>
      <w:r>
        <w:rPr>
          <w:rFonts w:ascii="Helvetica Neue" w:eastAsiaTheme="minorEastAsia" w:hAnsi="Helvetica Neue"/>
        </w:rPr>
        <w:t xml:space="preserve">For each of our stocks we find the following average daily returns. </w:t>
      </w:r>
    </w:p>
    <w:p w14:paraId="479D1271" w14:textId="71F65A34" w:rsidR="00D4626A" w:rsidRDefault="00D4626A" w:rsidP="00D4626A">
      <w:pPr>
        <w:pStyle w:val="ListParagraph"/>
        <w:spacing w:line="360" w:lineRule="auto"/>
        <w:rPr>
          <w:rFonts w:ascii="Helvetica Neue" w:eastAsiaTheme="minorEastAsia" w:hAnsi="Helvetica Neue"/>
        </w:rPr>
      </w:pPr>
      <w:r>
        <w:rPr>
          <w:rFonts w:ascii="Helvetica Neue" w:eastAsiaTheme="minorEastAsia" w:hAnsi="Helvetica Neue"/>
        </w:rPr>
        <w:t xml:space="preserve"> </w:t>
      </w:r>
      <w:r>
        <w:rPr>
          <w:rFonts w:ascii="Helvetica Neue" w:eastAsiaTheme="minorEastAsia" w:hAnsi="Helvetica Neue"/>
          <w:noProof/>
        </w:rPr>
        <w:drawing>
          <wp:inline distT="0" distB="0" distL="0" distR="0" wp14:anchorId="3998647A" wp14:editId="6A5BFAE7">
            <wp:extent cx="1917700" cy="238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917700" cy="2387600"/>
                    </a:xfrm>
                    <a:prstGeom prst="rect">
                      <a:avLst/>
                    </a:prstGeom>
                  </pic:spPr>
                </pic:pic>
              </a:graphicData>
            </a:graphic>
          </wp:inline>
        </w:drawing>
      </w:r>
    </w:p>
    <w:p w14:paraId="12EF730E" w14:textId="35EE566B" w:rsidR="00D4626A" w:rsidRDefault="00D4626A" w:rsidP="00D4626A">
      <w:pPr>
        <w:pStyle w:val="ListParagraph"/>
        <w:spacing w:line="360" w:lineRule="auto"/>
        <w:rPr>
          <w:rFonts w:ascii="Helvetica Neue" w:eastAsiaTheme="minorEastAsia" w:hAnsi="Helvetica Neue"/>
        </w:rPr>
      </w:pPr>
      <w:r>
        <w:rPr>
          <w:rFonts w:ascii="Helvetica Neue" w:eastAsiaTheme="minorEastAsia" w:hAnsi="Helvetica Neue"/>
        </w:rPr>
        <w:t xml:space="preserve">Using this </w:t>
      </w:r>
      <w:proofErr w:type="gramStart"/>
      <w:r>
        <w:rPr>
          <w:rFonts w:ascii="Helvetica Neue" w:eastAsiaTheme="minorEastAsia" w:hAnsi="Helvetica Neue"/>
        </w:rPr>
        <w:t>data</w:t>
      </w:r>
      <w:proofErr w:type="gramEnd"/>
      <w:r>
        <w:rPr>
          <w:rFonts w:ascii="Helvetica Neue" w:eastAsiaTheme="minorEastAsia" w:hAnsi="Helvetica Neue"/>
        </w:rPr>
        <w:t xml:space="preserve"> we can plot our returns to compare each company and how prices changed during COVID. </w:t>
      </w:r>
    </w:p>
    <w:p w14:paraId="13762210" w14:textId="3AF39CCD" w:rsidR="00D4626A" w:rsidRDefault="00D4626A" w:rsidP="00D4626A">
      <w:pPr>
        <w:pStyle w:val="ListParagraph"/>
        <w:spacing w:line="360" w:lineRule="auto"/>
        <w:rPr>
          <w:rFonts w:ascii="Helvetica Neue" w:eastAsiaTheme="minorEastAsia" w:hAnsi="Helvetica Neue"/>
        </w:rPr>
      </w:pPr>
      <w:r>
        <w:rPr>
          <w:rFonts w:ascii="Helvetica Neue" w:eastAsiaTheme="minorEastAsia" w:hAnsi="Helvetica Neue"/>
          <w:noProof/>
        </w:rPr>
        <w:drawing>
          <wp:inline distT="0" distB="0" distL="0" distR="0" wp14:anchorId="3A69B2CE" wp14:editId="2AA299D0">
            <wp:extent cx="5207000" cy="3835400"/>
            <wp:effectExtent l="0" t="0" r="0" b="0"/>
            <wp:docPr id="3" name="Picture 3"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p>
    <w:p w14:paraId="2ED32EF4" w14:textId="7C742CA2" w:rsidR="00D4626A" w:rsidRDefault="00D4626A" w:rsidP="00D4626A">
      <w:pPr>
        <w:pStyle w:val="ListParagraph"/>
        <w:spacing w:line="360" w:lineRule="auto"/>
        <w:rPr>
          <w:rFonts w:ascii="Helvetica Neue" w:eastAsiaTheme="minorEastAsia" w:hAnsi="Helvetica Neue"/>
        </w:rPr>
      </w:pPr>
      <w:r>
        <w:rPr>
          <w:rFonts w:ascii="Helvetica Neue" w:eastAsiaTheme="minorEastAsia" w:hAnsi="Helvetica Neue"/>
        </w:rPr>
        <w:t xml:space="preserve">From this we can see that Costco, Walmart, </w:t>
      </w:r>
      <w:r w:rsidR="000748CD">
        <w:rPr>
          <w:rFonts w:ascii="Helvetica Neue" w:eastAsiaTheme="minorEastAsia" w:hAnsi="Helvetica Neue"/>
        </w:rPr>
        <w:t>Peloton</w:t>
      </w:r>
      <w:r>
        <w:rPr>
          <w:rFonts w:ascii="Helvetica Neue" w:eastAsiaTheme="minorEastAsia" w:hAnsi="Helvetica Neue"/>
        </w:rPr>
        <w:t xml:space="preserve">, and Zoom seems to do well during the pandemic while the overall market, Burger King, Taco Bell, and </w:t>
      </w:r>
      <w:r w:rsidR="000748CD">
        <w:rPr>
          <w:rFonts w:ascii="Helvetica Neue" w:eastAsiaTheme="minorEastAsia" w:hAnsi="Helvetica Neue"/>
        </w:rPr>
        <w:t>McDonalds</w:t>
      </w:r>
      <w:r>
        <w:rPr>
          <w:rFonts w:ascii="Helvetica Neue" w:eastAsiaTheme="minorEastAsia" w:hAnsi="Helvetica Neue"/>
        </w:rPr>
        <w:t xml:space="preserve"> seem to have don poorly. </w:t>
      </w:r>
    </w:p>
    <w:p w14:paraId="41564A01" w14:textId="242D208B" w:rsidR="00666E5A" w:rsidRDefault="00077814" w:rsidP="005F7452">
      <w:pPr>
        <w:spacing w:line="360" w:lineRule="auto"/>
        <w:ind w:left="720"/>
        <w:rPr>
          <w:rFonts w:ascii="Helvetica Neue" w:hAnsi="Helvetica Neue"/>
        </w:rPr>
      </w:pPr>
      <w:r>
        <w:rPr>
          <w:rFonts w:ascii="Helvetica Neue" w:hAnsi="Helvetica Neue"/>
        </w:rPr>
        <w:lastRenderedPageBreak/>
        <w:t xml:space="preserve">For McDonalds we can plot their abnormal and cumulative returns to see how the company did during lockdown. </w:t>
      </w:r>
    </w:p>
    <w:p w14:paraId="72463635" w14:textId="20BA7BC5" w:rsidR="006B573A" w:rsidRDefault="006B573A" w:rsidP="005F7452">
      <w:pPr>
        <w:spacing w:line="360" w:lineRule="auto"/>
        <w:ind w:left="720"/>
        <w:rPr>
          <w:rFonts w:ascii="Helvetica Neue" w:hAnsi="Helvetica Neue"/>
        </w:rPr>
      </w:pPr>
      <w:r>
        <w:rPr>
          <w:rFonts w:ascii="Helvetica Neue" w:hAnsi="Helvetica Neue"/>
          <w:noProof/>
        </w:rPr>
        <w:drawing>
          <wp:inline distT="0" distB="0" distL="0" distR="0" wp14:anchorId="4532D25C" wp14:editId="701D928D">
            <wp:extent cx="5207000" cy="38354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r>
        <w:rPr>
          <w:rFonts w:ascii="Helvetica Neue" w:hAnsi="Helvetica Neue"/>
          <w:noProof/>
        </w:rPr>
        <w:drawing>
          <wp:inline distT="0" distB="0" distL="0" distR="0" wp14:anchorId="4DCD7AD3" wp14:editId="61700D1C">
            <wp:extent cx="5207000" cy="38354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p>
    <w:p w14:paraId="511D29C3" w14:textId="2232F6B7" w:rsidR="006B573A" w:rsidRDefault="006B573A" w:rsidP="006B0A13">
      <w:pPr>
        <w:pStyle w:val="ListParagraph"/>
        <w:numPr>
          <w:ilvl w:val="1"/>
          <w:numId w:val="3"/>
        </w:numPr>
        <w:spacing w:line="360" w:lineRule="auto"/>
        <w:rPr>
          <w:rFonts w:ascii="Helvetica Neue" w:hAnsi="Helvetica Neue"/>
        </w:rPr>
      </w:pPr>
      <w:r>
        <w:rPr>
          <w:rFonts w:ascii="Helvetica Neue" w:hAnsi="Helvetica Neue"/>
        </w:rPr>
        <w:t xml:space="preserve">Using the market Model and rerunning our analysis we get the following graphs. </w:t>
      </w:r>
    </w:p>
    <w:p w14:paraId="182F921D" w14:textId="725FF096" w:rsidR="006B0A13" w:rsidRDefault="006B0A13" w:rsidP="006B0A13">
      <w:pPr>
        <w:pStyle w:val="ListParagraph"/>
        <w:spacing w:line="360" w:lineRule="auto"/>
        <w:rPr>
          <w:rFonts w:ascii="Helvetica Neue" w:hAnsi="Helvetica Neue"/>
        </w:rPr>
      </w:pPr>
      <w:r>
        <w:rPr>
          <w:rFonts w:ascii="Helvetica Neue" w:hAnsi="Helvetica Neue"/>
          <w:noProof/>
        </w:rPr>
        <w:lastRenderedPageBreak/>
        <w:drawing>
          <wp:inline distT="0" distB="0" distL="0" distR="0" wp14:anchorId="635A9E6F" wp14:editId="4028A573">
            <wp:extent cx="5207000" cy="3835400"/>
            <wp:effectExtent l="0" t="0" r="0" b="0"/>
            <wp:docPr id="6" name="Picture 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p>
    <w:p w14:paraId="659D9317" w14:textId="0ED6BEEA" w:rsidR="006B0A13" w:rsidRDefault="006B0A13" w:rsidP="006B0A13">
      <w:pPr>
        <w:pStyle w:val="ListParagraph"/>
        <w:spacing w:line="360" w:lineRule="auto"/>
        <w:rPr>
          <w:rFonts w:ascii="Helvetica Neue" w:hAnsi="Helvetica Neue"/>
        </w:rPr>
      </w:pPr>
      <w:r>
        <w:rPr>
          <w:rFonts w:ascii="Helvetica Neue" w:hAnsi="Helvetica Neue"/>
          <w:noProof/>
        </w:rPr>
        <w:drawing>
          <wp:inline distT="0" distB="0" distL="0" distR="0" wp14:anchorId="5642553B" wp14:editId="4725C3D6">
            <wp:extent cx="5207000" cy="3835400"/>
            <wp:effectExtent l="0" t="0" r="0" b="0"/>
            <wp:docPr id="8" name="Picture 8"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p>
    <w:p w14:paraId="5F66C623" w14:textId="1EA50418" w:rsidR="006B0A13" w:rsidRDefault="006B0A13" w:rsidP="006B0A13">
      <w:pPr>
        <w:pStyle w:val="ListParagraph"/>
        <w:spacing w:line="360" w:lineRule="auto"/>
        <w:rPr>
          <w:rFonts w:ascii="Helvetica Neue" w:hAnsi="Helvetica Neue"/>
        </w:rPr>
      </w:pPr>
      <w:r>
        <w:rPr>
          <w:rFonts w:ascii="Helvetica Neue" w:hAnsi="Helvetica Neue"/>
        </w:rPr>
        <w:t xml:space="preserve">Our results do not seem to differ from our previous results. </w:t>
      </w:r>
      <w:r w:rsidR="00984D70">
        <w:rPr>
          <w:rFonts w:ascii="Helvetica Neue" w:hAnsi="Helvetica Neue"/>
        </w:rPr>
        <w:t xml:space="preserve">COVID dose seem to have a significant impact on </w:t>
      </w:r>
      <w:r w:rsidR="00205EA4">
        <w:rPr>
          <w:rFonts w:ascii="Helvetica Neue" w:hAnsi="Helvetica Neue"/>
        </w:rPr>
        <w:t>cumulative</w:t>
      </w:r>
      <w:r w:rsidR="00984D70">
        <w:rPr>
          <w:rFonts w:ascii="Helvetica Neue" w:hAnsi="Helvetica Neue"/>
        </w:rPr>
        <w:t xml:space="preserve"> abnormal results but </w:t>
      </w:r>
      <w:r w:rsidR="00205EA4">
        <w:rPr>
          <w:rFonts w:ascii="Helvetica Neue" w:hAnsi="Helvetica Neue"/>
        </w:rPr>
        <w:t>except for</w:t>
      </w:r>
      <w:r w:rsidR="00984D70">
        <w:rPr>
          <w:rFonts w:ascii="Helvetica Neue" w:hAnsi="Helvetica Neue"/>
        </w:rPr>
        <w:t xml:space="preserve"> a few days </w:t>
      </w:r>
      <w:r w:rsidR="00205EA4">
        <w:rPr>
          <w:rFonts w:ascii="Helvetica Neue" w:hAnsi="Helvetica Neue"/>
        </w:rPr>
        <w:t>does</w:t>
      </w:r>
      <w:r w:rsidR="00984D70">
        <w:rPr>
          <w:rFonts w:ascii="Helvetica Neue" w:hAnsi="Helvetica Neue"/>
        </w:rPr>
        <w:t xml:space="preserve"> not seem to effect abnormal returns. </w:t>
      </w:r>
    </w:p>
    <w:p w14:paraId="6EBCFA65" w14:textId="42302974" w:rsidR="00205EA4" w:rsidRDefault="0006381C" w:rsidP="0006381C">
      <w:pPr>
        <w:pStyle w:val="ListParagraph"/>
        <w:numPr>
          <w:ilvl w:val="1"/>
          <w:numId w:val="3"/>
        </w:numPr>
        <w:spacing w:line="360" w:lineRule="auto"/>
        <w:rPr>
          <w:rFonts w:ascii="Helvetica Neue" w:hAnsi="Helvetica Neue"/>
        </w:rPr>
      </w:pPr>
      <w:r>
        <w:rPr>
          <w:rFonts w:ascii="Helvetica Neue" w:hAnsi="Helvetica Neue"/>
        </w:rPr>
        <w:t>We can now do the same analysis for Burger King, Zoom, Walmart, Costco, and Peloton</w:t>
      </w:r>
      <w:r w:rsidR="00061A67">
        <w:rPr>
          <w:rFonts w:ascii="Helvetica Neue" w:hAnsi="Helvetica Neue"/>
        </w:rPr>
        <w:t xml:space="preserve"> and plot their cumulative abnormal returns.</w:t>
      </w:r>
    </w:p>
    <w:p w14:paraId="69D241B8" w14:textId="5BACF18B" w:rsidR="00DC13F3" w:rsidRDefault="00DC13F3" w:rsidP="00DC13F3">
      <w:pPr>
        <w:pStyle w:val="ListParagraph"/>
        <w:spacing w:line="360" w:lineRule="auto"/>
        <w:rPr>
          <w:rFonts w:ascii="Helvetica Neue" w:hAnsi="Helvetica Neue"/>
        </w:rPr>
      </w:pPr>
      <w:r>
        <w:rPr>
          <w:rFonts w:ascii="Helvetica Neue" w:hAnsi="Helvetica Neue"/>
          <w:noProof/>
        </w:rPr>
        <w:lastRenderedPageBreak/>
        <w:drawing>
          <wp:inline distT="0" distB="0" distL="0" distR="0" wp14:anchorId="58424059" wp14:editId="4B5A20E6">
            <wp:extent cx="5207000" cy="3835400"/>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p>
    <w:p w14:paraId="14BB4C92" w14:textId="16E4C7D0" w:rsidR="00DC13F3" w:rsidRDefault="00DC13F3" w:rsidP="00DC13F3">
      <w:pPr>
        <w:pStyle w:val="ListParagraph"/>
        <w:spacing w:line="360" w:lineRule="auto"/>
        <w:rPr>
          <w:rFonts w:ascii="Helvetica Neue" w:hAnsi="Helvetica Neue"/>
        </w:rPr>
      </w:pPr>
      <w:r>
        <w:rPr>
          <w:rFonts w:ascii="Helvetica Neue" w:hAnsi="Helvetica Neue"/>
          <w:noProof/>
        </w:rPr>
        <w:drawing>
          <wp:inline distT="0" distB="0" distL="0" distR="0" wp14:anchorId="32DF91FF" wp14:editId="3C54A904">
            <wp:extent cx="5207000" cy="3835400"/>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p>
    <w:p w14:paraId="61D2235E" w14:textId="77777777" w:rsidR="00DC13F3" w:rsidRDefault="00DC13F3" w:rsidP="00DC13F3">
      <w:pPr>
        <w:pStyle w:val="ListParagraph"/>
        <w:spacing w:line="360" w:lineRule="auto"/>
        <w:rPr>
          <w:rFonts w:ascii="Helvetica Neue" w:hAnsi="Helvetica Neue"/>
        </w:rPr>
      </w:pPr>
    </w:p>
    <w:p w14:paraId="37E54368" w14:textId="21921DAC" w:rsidR="0002757A" w:rsidRDefault="00DC13F3" w:rsidP="0002757A">
      <w:pPr>
        <w:pStyle w:val="ListParagraph"/>
        <w:spacing w:line="360" w:lineRule="auto"/>
        <w:rPr>
          <w:rFonts w:ascii="Helvetica Neue" w:hAnsi="Helvetica Neue"/>
        </w:rPr>
      </w:pPr>
      <w:r>
        <w:rPr>
          <w:rFonts w:ascii="Helvetica Neue" w:hAnsi="Helvetica Neue"/>
          <w:noProof/>
        </w:rPr>
        <w:lastRenderedPageBreak/>
        <w:drawing>
          <wp:inline distT="0" distB="0" distL="0" distR="0" wp14:anchorId="350AF597" wp14:editId="41B677F1">
            <wp:extent cx="5207000" cy="3835400"/>
            <wp:effectExtent l="0" t="0" r="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p>
    <w:p w14:paraId="7D891D7B" w14:textId="448A346E" w:rsidR="00DC13F3" w:rsidRDefault="00DC13F3" w:rsidP="0002757A">
      <w:pPr>
        <w:pStyle w:val="ListParagraph"/>
        <w:spacing w:line="360" w:lineRule="auto"/>
        <w:rPr>
          <w:rFonts w:ascii="Helvetica Neue" w:hAnsi="Helvetica Neue"/>
        </w:rPr>
      </w:pPr>
      <w:r>
        <w:rPr>
          <w:rFonts w:ascii="Helvetica Neue" w:hAnsi="Helvetica Neue"/>
          <w:noProof/>
        </w:rPr>
        <w:drawing>
          <wp:inline distT="0" distB="0" distL="0" distR="0" wp14:anchorId="49FCDFA0" wp14:editId="1AC4745E">
            <wp:extent cx="5207000" cy="3835400"/>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p>
    <w:p w14:paraId="08C99718" w14:textId="77DC8738" w:rsidR="00DC13F3" w:rsidRDefault="00DC13F3" w:rsidP="0002757A">
      <w:pPr>
        <w:pStyle w:val="ListParagraph"/>
        <w:spacing w:line="360" w:lineRule="auto"/>
        <w:rPr>
          <w:rFonts w:ascii="Helvetica Neue" w:hAnsi="Helvetica Neue"/>
        </w:rPr>
      </w:pPr>
      <w:r>
        <w:rPr>
          <w:rFonts w:ascii="Helvetica Neue" w:hAnsi="Helvetica Neue"/>
          <w:noProof/>
        </w:rPr>
        <w:lastRenderedPageBreak/>
        <w:drawing>
          <wp:inline distT="0" distB="0" distL="0" distR="0" wp14:anchorId="1DE3CD3F" wp14:editId="55E65C9E">
            <wp:extent cx="5207000" cy="38354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07000" cy="3835400"/>
                    </a:xfrm>
                    <a:prstGeom prst="rect">
                      <a:avLst/>
                    </a:prstGeom>
                  </pic:spPr>
                </pic:pic>
              </a:graphicData>
            </a:graphic>
          </wp:inline>
        </w:drawing>
      </w:r>
    </w:p>
    <w:p w14:paraId="16534C81" w14:textId="0568F07C" w:rsidR="008A30AC" w:rsidRDefault="008A30AC" w:rsidP="008A30AC">
      <w:pPr>
        <w:pStyle w:val="ListParagraph"/>
        <w:spacing w:line="360" w:lineRule="auto"/>
        <w:rPr>
          <w:rFonts w:ascii="Helvetica Neue" w:hAnsi="Helvetica Neue"/>
        </w:rPr>
      </w:pPr>
      <w:r>
        <w:rPr>
          <w:rFonts w:ascii="Helvetica Neue" w:hAnsi="Helvetica Neue"/>
        </w:rPr>
        <w:t xml:space="preserve">Overall markets viewed COVID as a bad thing. However, some companies like Zoom and </w:t>
      </w:r>
      <w:r w:rsidR="00EF29D9">
        <w:rPr>
          <w:rFonts w:ascii="Helvetica Neue" w:hAnsi="Helvetica Neue"/>
        </w:rPr>
        <w:t>Peloton</w:t>
      </w:r>
      <w:r>
        <w:rPr>
          <w:rFonts w:ascii="Helvetica Neue" w:hAnsi="Helvetica Neue"/>
        </w:rPr>
        <w:t xml:space="preserve"> did well because they made products that were useful during the pandemic. </w:t>
      </w:r>
      <w:r w:rsidR="00EF29D9">
        <w:rPr>
          <w:rFonts w:ascii="Helvetica Neue" w:hAnsi="Helvetica Neue"/>
        </w:rPr>
        <w:t>Similarly,</w:t>
      </w:r>
      <w:r>
        <w:rPr>
          <w:rFonts w:ascii="Helvetica Neue" w:hAnsi="Helvetica Neue"/>
        </w:rPr>
        <w:t xml:space="preserve"> companies like Walmart and Costco who had </w:t>
      </w:r>
      <w:r w:rsidR="00EF29D9">
        <w:rPr>
          <w:rFonts w:ascii="Helvetica Neue" w:hAnsi="Helvetica Neue"/>
        </w:rPr>
        <w:t>delivery</w:t>
      </w:r>
      <w:r>
        <w:rPr>
          <w:rFonts w:ascii="Helvetica Neue" w:hAnsi="Helvetica Neue"/>
        </w:rPr>
        <w:t xml:space="preserve"> and sold things people needed did well during the pandemic</w:t>
      </w:r>
      <w:r w:rsidR="00672A3B">
        <w:rPr>
          <w:rFonts w:ascii="Helvetica Neue" w:hAnsi="Helvetica Neue"/>
        </w:rPr>
        <w:t xml:space="preserve"> like food and laptops. </w:t>
      </w:r>
      <w:r w:rsidR="00EF29D9">
        <w:rPr>
          <w:rFonts w:ascii="Helvetica Neue" w:hAnsi="Helvetica Neue"/>
        </w:rPr>
        <w:t>Alternately</w:t>
      </w:r>
      <w:r w:rsidR="00672A3B">
        <w:rPr>
          <w:rFonts w:ascii="Helvetica Neue" w:hAnsi="Helvetica Neue"/>
        </w:rPr>
        <w:t xml:space="preserve"> </w:t>
      </w:r>
      <w:r w:rsidR="000D7FF2">
        <w:rPr>
          <w:rFonts w:ascii="Helvetica Neue" w:hAnsi="Helvetica Neue"/>
        </w:rPr>
        <w:t xml:space="preserve">restaurants </w:t>
      </w:r>
      <w:r w:rsidR="00672A3B">
        <w:rPr>
          <w:rFonts w:ascii="Helvetica Neue" w:hAnsi="Helvetica Neue"/>
        </w:rPr>
        <w:t xml:space="preserve">like Burger king and </w:t>
      </w:r>
      <w:r w:rsidR="00EF29D9">
        <w:rPr>
          <w:rFonts w:ascii="Helvetica Neue" w:hAnsi="Helvetica Neue"/>
        </w:rPr>
        <w:t>McDonalds</w:t>
      </w:r>
      <w:r w:rsidR="00672A3B">
        <w:rPr>
          <w:rFonts w:ascii="Helvetica Neue" w:hAnsi="Helvetica Neue"/>
        </w:rPr>
        <w:t xml:space="preserve"> didn’t do as well because people were cooking at home more. </w:t>
      </w:r>
      <w:r w:rsidR="002974CF">
        <w:rPr>
          <w:rFonts w:ascii="Helvetica Neue" w:hAnsi="Helvetica Neue"/>
        </w:rPr>
        <w:t xml:space="preserve">The Market broke up companies into those who could thrive under lockdown and those who were </w:t>
      </w:r>
      <w:r w:rsidR="00A4754D">
        <w:rPr>
          <w:rFonts w:ascii="Helvetica Neue" w:hAnsi="Helvetica Neue"/>
        </w:rPr>
        <w:t>severely</w:t>
      </w:r>
      <w:r w:rsidR="002974CF">
        <w:rPr>
          <w:rFonts w:ascii="Helvetica Neue" w:hAnsi="Helvetica Neue"/>
        </w:rPr>
        <w:t xml:space="preserve"> hindered during lockdown. </w:t>
      </w:r>
    </w:p>
    <w:p w14:paraId="623C7610" w14:textId="77777777" w:rsidR="008A30AC" w:rsidRPr="006B0A13" w:rsidRDefault="008A30AC" w:rsidP="0002757A">
      <w:pPr>
        <w:pStyle w:val="ListParagraph"/>
        <w:spacing w:line="360" w:lineRule="auto"/>
        <w:rPr>
          <w:rFonts w:ascii="Helvetica Neue" w:hAnsi="Helvetica Neue"/>
        </w:rPr>
      </w:pPr>
    </w:p>
    <w:sectPr w:rsidR="008A30AC" w:rsidRPr="006B0A13" w:rsidSect="0090201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5D3E"/>
    <w:multiLevelType w:val="hybridMultilevel"/>
    <w:tmpl w:val="D23E22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86252"/>
    <w:multiLevelType w:val="hybridMultilevel"/>
    <w:tmpl w:val="59C2F012"/>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09E498A"/>
    <w:multiLevelType w:val="hybridMultilevel"/>
    <w:tmpl w:val="CD12B6D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7C5B71E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95978692">
    <w:abstractNumId w:val="0"/>
  </w:num>
  <w:num w:numId="2" w16cid:durableId="935406628">
    <w:abstractNumId w:val="1"/>
  </w:num>
  <w:num w:numId="3" w16cid:durableId="1427773641">
    <w:abstractNumId w:val="3"/>
  </w:num>
  <w:num w:numId="4" w16cid:durableId="1162160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30"/>
    <w:rsid w:val="0002757A"/>
    <w:rsid w:val="00045143"/>
    <w:rsid w:val="00061A67"/>
    <w:rsid w:val="0006381C"/>
    <w:rsid w:val="00070492"/>
    <w:rsid w:val="000748CD"/>
    <w:rsid w:val="00077814"/>
    <w:rsid w:val="00094499"/>
    <w:rsid w:val="000D7FF2"/>
    <w:rsid w:val="00133F72"/>
    <w:rsid w:val="00145B30"/>
    <w:rsid w:val="00191551"/>
    <w:rsid w:val="00192B91"/>
    <w:rsid w:val="001C6D5B"/>
    <w:rsid w:val="00205EA4"/>
    <w:rsid w:val="002109BB"/>
    <w:rsid w:val="002565C7"/>
    <w:rsid w:val="00265F41"/>
    <w:rsid w:val="002974CF"/>
    <w:rsid w:val="0032310A"/>
    <w:rsid w:val="00343E3A"/>
    <w:rsid w:val="003C7AFA"/>
    <w:rsid w:val="003F6C59"/>
    <w:rsid w:val="0041236F"/>
    <w:rsid w:val="0044343A"/>
    <w:rsid w:val="00481603"/>
    <w:rsid w:val="00482AF5"/>
    <w:rsid w:val="00526628"/>
    <w:rsid w:val="005D6D16"/>
    <w:rsid w:val="005F7452"/>
    <w:rsid w:val="00666E5A"/>
    <w:rsid w:val="00672A3B"/>
    <w:rsid w:val="00682D5E"/>
    <w:rsid w:val="006B0A13"/>
    <w:rsid w:val="006B573A"/>
    <w:rsid w:val="007D6B8F"/>
    <w:rsid w:val="0082331E"/>
    <w:rsid w:val="008A30AC"/>
    <w:rsid w:val="00902018"/>
    <w:rsid w:val="00956E81"/>
    <w:rsid w:val="00963F43"/>
    <w:rsid w:val="009651B6"/>
    <w:rsid w:val="009721C7"/>
    <w:rsid w:val="00984D70"/>
    <w:rsid w:val="009A736F"/>
    <w:rsid w:val="009F1CAA"/>
    <w:rsid w:val="009F4FA8"/>
    <w:rsid w:val="00A4754D"/>
    <w:rsid w:val="00A52B3B"/>
    <w:rsid w:val="00AC7C1E"/>
    <w:rsid w:val="00B54B85"/>
    <w:rsid w:val="00B64A0A"/>
    <w:rsid w:val="00B65F17"/>
    <w:rsid w:val="00BB1FEE"/>
    <w:rsid w:val="00BF0F36"/>
    <w:rsid w:val="00C56A51"/>
    <w:rsid w:val="00CC2A1B"/>
    <w:rsid w:val="00CE6581"/>
    <w:rsid w:val="00D30D80"/>
    <w:rsid w:val="00D4626A"/>
    <w:rsid w:val="00D85928"/>
    <w:rsid w:val="00D947E0"/>
    <w:rsid w:val="00DC13F3"/>
    <w:rsid w:val="00E36842"/>
    <w:rsid w:val="00E65E36"/>
    <w:rsid w:val="00E9252F"/>
    <w:rsid w:val="00EF29D9"/>
    <w:rsid w:val="00F039D9"/>
    <w:rsid w:val="00F06249"/>
    <w:rsid w:val="00F70EB0"/>
    <w:rsid w:val="00FB6E52"/>
    <w:rsid w:val="00FC1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892CB"/>
  <w15:chartTrackingRefBased/>
  <w15:docId w15:val="{8A37E1FC-60F2-824D-BD87-EA30A0CC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B30"/>
    <w:pPr>
      <w:ind w:left="720"/>
      <w:contextualSpacing/>
    </w:pPr>
  </w:style>
  <w:style w:type="character" w:styleId="PlaceholderText">
    <w:name w:val="Placeholder Text"/>
    <w:basedOn w:val="DefaultParagraphFont"/>
    <w:uiPriority w:val="99"/>
    <w:semiHidden/>
    <w:rsid w:val="00956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8</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Nabors</dc:creator>
  <cp:keywords/>
  <dc:description/>
  <cp:lastModifiedBy>Kyle W Nabors</cp:lastModifiedBy>
  <cp:revision>59</cp:revision>
  <dcterms:created xsi:type="dcterms:W3CDTF">2022-10-14T23:00:00Z</dcterms:created>
  <dcterms:modified xsi:type="dcterms:W3CDTF">2022-10-16T22:03:00Z</dcterms:modified>
</cp:coreProperties>
</file>