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AA5E1A">
              <w:rPr>
                <w:rFonts w:ascii="Times New Roman" w:hAnsi="Times New Roman" w:cs="Times New Roman"/>
                <w:color w:val="000000"/>
              </w:rPr>
              <w:t>3100013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F2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AA5E1A">
              <w:rPr>
                <w:rFonts w:ascii="Times New Roman" w:hAnsi="Times New Roman" w:cs="Times New Roman"/>
                <w:color w:val="000000"/>
              </w:rPr>
              <w:t>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AA5E1A"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F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AA5E1A">
              <w:rPr>
                <w:rFonts w:ascii="Times New Roman" w:hAnsi="Times New Roman" w:cs="Times New Roman"/>
                <w:color w:val="000000"/>
              </w:rPr>
              <w:t>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AA5E1A"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A5E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AA5E1A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AA5E1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5627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5B4E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5E1A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2F2E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A797801-C2C9-4F47-B0AB-A0A619E9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215AF-64B6-448A-AB1A-40E5F439F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