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B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B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82B69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2B6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4588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2CB943-B0CA-48EE-9998-B10F0715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66682-451D-48EB-8A08-A054C003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