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160"/>
      </w:pPr>
      <w:r>
        <w:rPr>
          <w:b/>
          <w:bCs/>
          <w:color w:val="0369A1"/>
          <w:sz w:val="30"/>
          <w:szCs w:val="30"/>
        </w:rPr>
        <w:t xml:space="preserve">MOVE-IN CONDITION REPORT</w:t>
      </w:r>
    </w:p>
    <w:p>
      <w:pPr>
        <w:spacing w:after="240"/>
      </w:pPr>
      <w:r>
        <w:rPr>
          <w:color w:val="0F172A"/>
          <w:sz w:val="22"/>
          <w:szCs w:val="22"/>
        </w:rPr>
        <w:t xml:space="preserve">A joint inspection of the condition of the premises, to be completed with the Tenant present and signed by both. This report is the baseline against which the deposit at the end of the tenancy will be assessed.</w:t>
      </w:r>
    </w:p>
    <w:p>
      <w:pPr>
        <w:pStyle w:val="Heading2"/>
        <w:spacing w:after="120" w:before="280"/>
      </w:pPr>
      <w:r>
        <w:rPr>
          <w:b/>
          <w:bCs/>
          <w:color w:val="0F172A"/>
          <w:sz w:val="24"/>
          <w:szCs w:val="24"/>
        </w:rPr>
        <w:t xml:space="preserve">1. Particulars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19"/>
        <w:gridCol w:w="6627"/>
      </w:tblGrid>
      <w:tr>
        <w:tc>
          <w:tcPr>
            <w:tcW w:type="pct" w:w="1600"/>
          </w:tcPr>
          <w:p>
            <w:r>
              <w:rPr>
                <w:b/>
                <w:bCs/>
                <w:color w:val="0F172A"/>
                <w:sz w:val="20"/>
                <w:szCs w:val="20"/>
              </w:rPr>
              <w:t xml:space="preserve">Property</w:t>
            </w:r>
          </w:p>
        </w:tc>
        <w:tc>
          <w:tcPr>
            <w:tcW w:type="pct" w:w="3400"/>
          </w:tcPr>
          <w:p>
            <w:r>
              <w:rPr>
                <w:color w:val="0F172A"/>
                <w:sz w:val="20"/>
                <w:szCs w:val="20"/>
              </w:rPr>
              <w:t xml:space="preserve">Riverside Court, Riverside Drive, Nairobi</w:t>
            </w:r>
          </w:p>
        </w:tc>
      </w:tr>
      <w:tr>
        <w:tc>
          <w:tcPr>
            <w:tcW w:type="pct" w:w="1600"/>
          </w:tcPr>
          <w:p>
            <w:r>
              <w:rPr>
                <w:b/>
                <w:bCs/>
                <w:color w:val="0F172A"/>
                <w:sz w:val="20"/>
                <w:szCs w:val="20"/>
              </w:rPr>
              <w:t xml:space="preserve">Tenant</w:t>
            </w:r>
          </w:p>
        </w:tc>
        <w:tc>
          <w:tcPr>
            <w:tcW w:type="pct" w:w="3400"/>
          </w:tcPr>
          <w:p>
            <w:r>
              <w:rPr>
                <w:color w:val="0F172A"/>
                <w:sz w:val="20"/>
                <w:szCs w:val="20"/>
              </w:rPr>
              <w:t xml:space="preserve">Brian Mwangi</w:t>
            </w:r>
          </w:p>
        </w:tc>
      </w:tr>
      <w:tr>
        <w:tc>
          <w:tcPr>
            <w:tcW w:type="pct" w:w="1600"/>
          </w:tcPr>
          <w:p>
            <w:r>
              <w:rPr>
                <w:b/>
                <w:bCs/>
                <w:color w:val="0F172A"/>
                <w:sz w:val="20"/>
                <w:szCs w:val="20"/>
              </w:rPr>
              <w:t xml:space="preserve">Inspection date</w:t>
            </w:r>
          </w:p>
        </w:tc>
        <w:tc>
          <w:tcPr>
            <w:tcW w:type="pct" w:w="3400"/>
          </w:tcPr>
          <w:p>
            <w:r>
              <w:rPr>
                <w:color w:val="0F172A"/>
                <w:sz w:val="20"/>
                <w:szCs w:val="20"/>
              </w:rPr>
              <w:t xml:space="preserve">1 March 2026</w:t>
            </w:r>
          </w:p>
        </w:tc>
      </w:tr>
      <w:tr>
        <w:tc>
          <w:tcPr>
            <w:tcW w:type="pct" w:w="1600"/>
          </w:tcPr>
          <w:p>
            <w:r>
              <w:rPr>
                <w:b/>
                <w:bCs/>
                <w:color w:val="0F172A"/>
                <w:sz w:val="20"/>
                <w:szCs w:val="20"/>
              </w:rPr>
              <w:t xml:space="preserve">Inspection type</w:t>
            </w:r>
          </w:p>
        </w:tc>
        <w:tc>
          <w:tcPr>
            <w:tcW w:type="pct" w:w="3400"/>
          </w:tcPr>
          <w:p>
            <w:r>
              <w:rPr>
                <w:color w:val="0F172A"/>
                <w:sz w:val="20"/>
                <w:szCs w:val="20"/>
              </w:rPr>
              <w:t xml:space="preserve">Move-in</w:t>
            </w:r>
          </w:p>
        </w:tc>
      </w:tr>
      <w:tr>
        <w:tc>
          <w:tcPr>
            <w:tcW w:type="pct" w:w="1600"/>
          </w:tcPr>
          <w:p>
            <w:r>
              <w:rPr>
                <w:b/>
                <w:bCs/>
                <w:color w:val="0F172A"/>
                <w:sz w:val="20"/>
                <w:szCs w:val="20"/>
              </w:rPr>
              <w:t xml:space="preserve">Present during inspection</w:t>
            </w:r>
          </w:p>
        </w:tc>
        <w:tc>
          <w:tcPr>
            <w:tcW w:type="pct" w:w="3400"/>
          </w:tcPr>
          <w:p>
            <w:r>
              <w:rPr>
                <w:color w:val="0F172A"/>
                <w:sz w:val="20"/>
                <w:szCs w:val="20"/>
              </w:rPr>
              <w:t xml:space="preserve">☐ Tenant   ☐ Agent   ☐ Both</w:t>
            </w:r>
          </w:p>
        </w:tc>
      </w:tr>
      <w:tr>
        <w:tc>
          <w:tcPr>
            <w:tcW w:type="pct" w:w="1600"/>
          </w:tcPr>
          <w:p>
            <w:r>
              <w:rPr>
                <w:b/>
                <w:bCs/>
                <w:color w:val="0F172A"/>
                <w:sz w:val="20"/>
                <w:szCs w:val="20"/>
              </w:rPr>
              <w:t xml:space="preserve">Number of photographs taken</w:t>
            </w:r>
          </w:p>
        </w:tc>
        <w:tc>
          <w:tcPr>
            <w:tcW w:type="pct" w:w="3400"/>
          </w:tcPr>
          <w:p>
            <w:r>
              <w:rPr>
                <w:color w:val="0F172A"/>
                <w:sz w:val="20"/>
                <w:szCs w:val="20"/>
              </w:rPr>
              <w:t xml:space="preserve">________</w:t>
            </w:r>
          </w:p>
        </w:tc>
      </w:tr>
    </w:tbl>
    <w:p>
      <w:pPr>
        <w:pStyle w:val="Heading2"/>
        <w:spacing w:after="120" w:before="280"/>
      </w:pPr>
      <w:r>
        <w:rPr>
          <w:b/>
          <w:bCs/>
          <w:color w:val="0F172A"/>
          <w:sz w:val="24"/>
          <w:szCs w:val="24"/>
        </w:rPr>
        <w:t xml:space="preserve">2. Condition by area</w:t>
      </w:r>
    </w:p>
    <w:p>
      <w:pPr>
        <w:spacing w:after="140"/>
      </w:pPr>
      <w:r>
        <w:rPr>
          <w:color w:val="0F172A"/>
          <w:sz w:val="22"/>
          <w:szCs w:val="22"/>
        </w:rPr>
        <w:t xml:space="preserve">Grade each item. Good = sound and clean as new. Fair = minor wear, fully serviceable. Damaged = requires repair or replacement. Every Damaged must be described in section 4 and photographed.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14"/>
        <w:gridCol w:w="2924"/>
        <w:gridCol w:w="1559"/>
        <w:gridCol w:w="1949"/>
      </w:tblGrid>
      <w:tr>
        <w:tc>
          <w:tcPr>
            <w:tcW w:type="pct" w:w="1700"/>
            <w:shd w:fill="F1F5F9" w:color="auto" w:val="clear"/>
          </w:tcPr>
          <w:p>
            <w:r>
              <w:rPr>
                <w:b/>
                <w:bCs/>
                <w:color w:val="0F172A"/>
                <w:sz w:val="20"/>
                <w:szCs w:val="20"/>
              </w:rPr>
              <w:t xml:space="preserve">Area / item</w:t>
            </w:r>
          </w:p>
        </w:tc>
        <w:tc>
          <w:tcPr>
            <w:tcW w:type="pct" w:w="1500"/>
            <w:shd w:fill="F1F5F9" w:color="auto" w:val="clear"/>
          </w:tcPr>
          <w:p>
            <w:r>
              <w:rPr>
                <w:b/>
                <w:bCs/>
                <w:color w:val="0F172A"/>
                <w:sz w:val="20"/>
                <w:szCs w:val="20"/>
              </w:rPr>
              <w:t xml:space="preserve">Grade</w:t>
            </w:r>
          </w:p>
        </w:tc>
        <w:tc>
          <w:tcPr>
            <w:tcW w:type="pct" w:w="800"/>
            <w:shd w:fill="F1F5F9" w:color="auto" w:val="clear"/>
          </w:tcPr>
          <w:p>
            <w:r>
              <w:rPr>
                <w:b/>
                <w:bCs/>
                <w:color w:val="0F172A"/>
                <w:sz w:val="20"/>
                <w:szCs w:val="20"/>
              </w:rPr>
              <w:t xml:space="preserve">Photo ref</w:t>
            </w:r>
          </w:p>
        </w:tc>
        <w:tc>
          <w:tcPr>
            <w:tcW w:type="pct" w:w="1000"/>
            <w:shd w:fill="F1F5F9" w:color="auto" w:val="clear"/>
          </w:tcPr>
          <w:p>
            <w:r>
              <w:rPr>
                <w:b/>
                <w:bCs/>
                <w:color w:val="0F172A"/>
                <w:sz w:val="20"/>
                <w:szCs w:val="20"/>
              </w:rPr>
              <w:t xml:space="preserve">Notes</w:t>
            </w:r>
          </w:p>
        </w:tc>
      </w:tr>
      <w:tr>
        <w:tc>
          <w:tcPr>
            <w:tcW w:type="pct" w:w="1700"/>
          </w:tcPr>
          <w:p>
            <w:r>
              <w:rPr>
                <w:color w:val="0F172A"/>
                <w:sz w:val="20"/>
                <w:szCs w:val="20"/>
              </w:rPr>
              <w:t xml:space="preserve">Walls, ceiling and paintwork</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Flooring and skirting</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Windows, panes and burglar bars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Doors, frames and locks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Living room</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Kitchen units and worktops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Cooking appliances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Refrigerator</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Bedroom(s)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Wardrobes and furniture</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Bathroom — WC and cistern</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Bathroom — basin, bath and taps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Shower and drainage</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Balcony, patio or compound</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Water heater</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Washing machine</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Lighting — bulbs and fittings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Smoke or gas detectors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External walls and gate</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Fencing and gates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Parking area</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r>
        <w:tc>
          <w:tcPr>
            <w:tcW w:type="pct" w:w="1700"/>
          </w:tcPr>
          <w:p>
            <w:r>
              <w:rPr>
                <w:color w:val="0F172A"/>
                <w:sz w:val="20"/>
                <w:szCs w:val="20"/>
              </w:rPr>
              <w:t xml:space="preserve">Keys and access devices</w:t>
            </w:r>
          </w:p>
        </w:tc>
        <w:tc>
          <w:tcPr>
            <w:tcW w:type="pct" w:w="1500"/>
          </w:tcPr>
          <w:p>
            <w:r>
              <w:rPr>
                <w:color w:val="64748B"/>
                <w:sz w:val="20"/>
                <w:szCs w:val="20"/>
              </w:rPr>
              <w:t xml:space="preserve">☐ Good  ☐ Fair  ☐ Damaged</w:t>
            </w:r>
          </w:p>
        </w:tc>
        <w:tc>
          <w:tcPr>
            <w:tcW w:type="pct" w:w="800"/>
          </w:tcPr>
          <w:p>
            <w:r>
              <w:rPr>
                <w:color w:val="94A3B8"/>
                <w:sz w:val="20"/>
                <w:szCs w:val="20"/>
              </w:rPr>
              <w:t xml:space="preserve"/>
            </w:r>
          </w:p>
        </w:tc>
        <w:tc>
          <w:tcPr>
            <w:tcW w:type="pct" w:w="1000"/>
          </w:tcPr>
          <w:p>
            <w:r>
              <w:rPr>
                <w:color w:val="94A3B8"/>
                <w:sz w:val="20"/>
                <w:szCs w:val="20"/>
              </w:rPr>
              <w:t xml:space="preserve"/>
            </w:r>
          </w:p>
        </w:tc>
      </w:tr>
    </w:tbl>
    <w:p>
      <w:r>
        <w:br w:type="page"/>
      </w:r>
    </w:p>
    <w:p>
      <w:pPr>
        <w:pStyle w:val="Heading2"/>
        <w:spacing w:after="120" w:before="280"/>
      </w:pPr>
      <w:r>
        <w:rPr>
          <w:b/>
          <w:bCs/>
          <w:color w:val="0F172A"/>
          <w:sz w:val="24"/>
          <w:szCs w:val="24"/>
        </w:rPr>
        <w:t xml:space="preserve">3. Meter readings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898"/>
        <w:gridCol w:w="2924"/>
        <w:gridCol w:w="2924"/>
      </w:tblGrid>
      <w:tr>
        <w:tc>
          <w:tcPr>
            <w:tcW w:type="pct" w:w="2000"/>
            <w:shd w:fill="F1F5F9" w:color="auto" w:val="clear"/>
          </w:tcPr>
          <w:p>
            <w:r>
              <w:rPr>
                <w:b/>
                <w:bCs/>
                <w:color w:val="0F172A"/>
                <w:sz w:val="20"/>
                <w:szCs w:val="20"/>
              </w:rPr>
              <w:t xml:space="preserve">Meter</w:t>
            </w:r>
          </w:p>
        </w:tc>
        <w:tc>
          <w:tcPr>
            <w:tcW w:type="pct" w:w="1500"/>
            <w:shd w:fill="F1F5F9" w:color="auto" w:val="clear"/>
          </w:tcPr>
          <w:p>
            <w:r>
              <w:rPr>
                <w:b/>
                <w:bCs/>
                <w:color w:val="0F172A"/>
                <w:sz w:val="20"/>
                <w:szCs w:val="20"/>
              </w:rPr>
              <w:t xml:space="preserve">Reading today</w:t>
            </w:r>
          </w:p>
        </w:tc>
        <w:tc>
          <w:tcPr>
            <w:tcW w:type="pct" w:w="1500"/>
            <w:shd w:fill="F1F5F9" w:color="auto" w:val="clear"/>
          </w:tcPr>
          <w:p>
            <w:r>
              <w:rPr>
                <w:b/>
                <w:bCs/>
                <w:color w:val="0F172A"/>
                <w:sz w:val="20"/>
                <w:szCs w:val="20"/>
              </w:rPr>
              <w:t xml:space="preserve">Move-in reading</w:t>
            </w:r>
          </w:p>
        </w:tc>
      </w:tr>
      <w:tr>
        <w:tc>
          <w:tcPr>
            <w:tcW w:type="pct" w:w="2000"/>
          </w:tcPr>
          <w:p>
            <w:r>
              <w:rPr>
                <w:color w:val="0F172A"/>
                <w:sz w:val="20"/>
                <w:szCs w:val="20"/>
              </w:rPr>
              <w:t xml:space="preserve">Electricity (KWh)</w:t>
            </w:r>
          </w:p>
        </w:tc>
        <w:tc>
          <w:tcPr>
            <w:tcW w:type="pct" w:w="1500"/>
          </w:tcPr>
          <w:p>
            <w:r>
              <w:rPr>
                <w:color w:val="94A3B8"/>
                <w:sz w:val="20"/>
                <w:szCs w:val="20"/>
              </w:rPr>
              <w:t xml:space="preserve"/>
            </w:r>
          </w:p>
        </w:tc>
        <w:tc>
          <w:tcPr>
            <w:tcW w:type="pct" w:w="1500"/>
          </w:tcPr>
          <w:p>
            <w:r>
              <w:rPr>
                <w:color w:val="94A3B8"/>
                <w:sz w:val="20"/>
                <w:szCs w:val="20"/>
              </w:rPr>
              <w:t xml:space="preserve"/>
            </w:r>
          </w:p>
        </w:tc>
      </w:tr>
      <w:tr>
        <w:tc>
          <w:tcPr>
            <w:tcW w:type="pct" w:w="2000"/>
          </w:tcPr>
          <w:p>
            <w:r>
              <w:rPr>
                <w:color w:val="0F172A"/>
                <w:sz w:val="20"/>
                <w:szCs w:val="20"/>
              </w:rPr>
              <w:t xml:space="preserve">Water (m³)</w:t>
            </w:r>
          </w:p>
        </w:tc>
        <w:tc>
          <w:tcPr>
            <w:tcW w:type="pct" w:w="1500"/>
          </w:tcPr>
          <w:p>
            <w:r>
              <w:rPr>
                <w:color w:val="94A3B8"/>
                <w:sz w:val="20"/>
                <w:szCs w:val="20"/>
              </w:rPr>
              <w:t xml:space="preserve"/>
            </w:r>
          </w:p>
        </w:tc>
        <w:tc>
          <w:tcPr>
            <w:tcW w:type="pct" w:w="1500"/>
          </w:tcPr>
          <w:p>
            <w:r>
              <w:rPr>
                <w:color w:val="94A3B8"/>
                <w:sz w:val="20"/>
                <w:szCs w:val="20"/>
              </w:rPr>
              <w:t xml:space="preserve"/>
            </w:r>
          </w:p>
        </w:tc>
      </w:tr>
      <w:tr>
        <w:tc>
          <w:tcPr>
            <w:tcW w:type="pct" w:w="2000"/>
          </w:tcPr>
          <w:p>
            <w:r>
              <w:rPr>
                <w:color w:val="0F172A"/>
                <w:sz w:val="20"/>
                <w:szCs w:val="20"/>
              </w:rPr>
              <w:t xml:space="preserve">Gas</w:t>
            </w:r>
          </w:p>
        </w:tc>
        <w:tc>
          <w:tcPr>
            <w:tcW w:type="pct" w:w="1500"/>
          </w:tcPr>
          <w:p>
            <w:r>
              <w:rPr>
                <w:color w:val="94A3B8"/>
                <w:sz w:val="20"/>
                <w:szCs w:val="20"/>
              </w:rPr>
              <w:t xml:space="preserve"/>
            </w:r>
          </w:p>
        </w:tc>
        <w:tc>
          <w:tcPr>
            <w:tcW w:type="pct" w:w="1500"/>
          </w:tcPr>
          <w:p>
            <w:r>
              <w:rPr>
                <w:color w:val="94A3B8"/>
                <w:sz w:val="20"/>
                <w:szCs w:val="20"/>
              </w:rPr>
              <w:t xml:space="preserve"/>
            </w:r>
          </w:p>
        </w:tc>
      </w:tr>
    </w:tbl>
    <w:p>
      <w:pPr>
        <w:pStyle w:val="Heading2"/>
        <w:spacing w:after="120" w:before="280"/>
      </w:pPr>
      <w:r>
        <w:rPr>
          <w:b/>
          <w:bCs/>
          <w:color w:val="0F172A"/>
          <w:sz w:val="24"/>
          <w:szCs w:val="24"/>
        </w:rPr>
        <w:t xml:space="preserve">4. Existing damage and defects</w:t>
      </w:r>
    </w:p>
    <w:p>
      <w:pPr>
        <w:spacing w:after="120"/>
      </w:pPr>
      <w:r>
        <w:rPr>
          <w:color w:val="0F172A"/>
          <w:sz w:val="22"/>
          <w:szCs w:val="22"/>
        </w:rPr>
        <w:t xml:space="preserve">Describe every item graded Damaged above. Be specific — “wall behind sink stained and flaking” is usable; “wall damaged” is not.</w:t>
      </w:r>
    </w:p>
    <w:p>
      <w:pPr>
        <w:spacing w:after="140"/>
      </w:pPr>
      <w:r>
        <w:rPr>
          <w:b/>
          <w:bCs/>
          <w:color w:val="0F172A"/>
          <w:sz w:val="21"/>
          <w:szCs w:val="21"/>
        </w:rPr>
        <w:t xml:space="preserve">Item 1 </w:t>
      </w:r>
      <w:r>
        <w:rPr>
          <w:color w:val="94A3B8"/>
          <w:sz w:val="21"/>
          <w:szCs w:val="21"/>
        </w:rPr>
        <w:t xml:space="preserve">......................................................................</w:t>
      </w:r>
    </w:p>
    <w:p>
      <w:pPr>
        <w:spacing w:after="140"/>
      </w:pPr>
      <w:r>
        <w:rPr>
          <w:b/>
          <w:bCs/>
          <w:color w:val="0F172A"/>
          <w:sz w:val="21"/>
          <w:szCs w:val="21"/>
        </w:rPr>
        <w:t xml:space="preserve">Item 2 </w:t>
      </w:r>
      <w:r>
        <w:rPr>
          <w:color w:val="94A3B8"/>
          <w:sz w:val="21"/>
          <w:szCs w:val="21"/>
        </w:rPr>
        <w:t xml:space="preserve">......................................................................</w:t>
      </w:r>
    </w:p>
    <w:p>
      <w:pPr>
        <w:spacing w:after="140"/>
      </w:pPr>
      <w:r>
        <w:rPr>
          <w:b/>
          <w:bCs/>
          <w:color w:val="0F172A"/>
          <w:sz w:val="21"/>
          <w:szCs w:val="21"/>
        </w:rPr>
        <w:t xml:space="preserve">Item 3 </w:t>
      </w:r>
      <w:r>
        <w:rPr>
          <w:color w:val="94A3B8"/>
          <w:sz w:val="21"/>
          <w:szCs w:val="21"/>
        </w:rPr>
        <w:t xml:space="preserve">......................................................................</w:t>
      </w:r>
    </w:p>
    <w:p>
      <w:pPr>
        <w:pStyle w:val="Heading2"/>
        <w:spacing w:after="120" w:before="280"/>
      </w:pPr>
      <w:r>
        <w:rPr>
          <w:b/>
          <w:bCs/>
          <w:color w:val="0F172A"/>
          <w:sz w:val="24"/>
          <w:szCs w:val="24"/>
        </w:rPr>
        <w:t xml:space="preserve">5. Photographs</w:t>
      </w:r>
    </w:p>
    <w:p>
      <w:pPr>
        <w:spacing w:after="120"/>
      </w:pPr>
      <w:r>
        <w:rPr>
          <w:color w:val="0F172A"/>
          <w:sz w:val="22"/>
          <w:szCs w:val="22"/>
        </w:rPr>
        <w:t xml:space="preserve">Number every photograph and reference it in the table above. Store them with this report, not on a phone that can be lost.</w:t>
      </w:r>
    </w:p>
    <w:p>
      <w:pPr>
        <w:spacing w:after="140"/>
      </w:pPr>
      <w:r>
        <w:rPr>
          <w:b/>
          <w:bCs/>
          <w:color w:val="0F172A"/>
          <w:sz w:val="21"/>
          <w:szCs w:val="21"/>
        </w:rPr>
        <w:t xml:space="preserve">Photo numbers and storage location </w:t>
      </w:r>
      <w:r>
        <w:rPr>
          <w:color w:val="94A3B8"/>
          <w:sz w:val="21"/>
          <w:szCs w:val="21"/>
        </w:rPr>
        <w:t xml:space="preserve">......................................................................</w:t>
      </w:r>
    </w:p>
    <w:p>
      <w:pPr>
        <w:pStyle w:val="Heading2"/>
        <w:spacing w:after="120" w:before="280"/>
      </w:pPr>
      <w:r>
        <w:rPr>
          <w:b/>
          <w:bCs/>
          <w:color w:val="0F172A"/>
          <w:sz w:val="24"/>
          <w:szCs w:val="24"/>
        </w:rPr>
        <w:t xml:space="preserve">6. Acknowledgement</w:t>
      </w:r>
    </w:p>
    <w:p>
      <w:pPr>
        <w:spacing w:after="120"/>
        <w:ind w:left="720" w:hanging="720"/>
      </w:pPr>
      <w:r>
        <w:rPr>
          <w:b/>
          <w:bCs/>
          <w:color w:val="0F172A"/>
          <w:sz w:val="21"/>
          <w:szCs w:val="21"/>
        </w:rPr>
        <w:t xml:space="preserve">6.1  </w:t>
      </w:r>
      <w:r>
        <w:rPr>
          <w:color w:val="0F172A"/>
          <w:sz w:val="21"/>
          <w:szCs w:val="21"/>
        </w:rPr>
        <w:t xml:space="preserve">The parties have inspected the premises together and agree that this report accurately records their condition at the date shown.</w:t>
      </w:r>
    </w:p>
    <w:p>
      <w:pPr>
        <w:spacing w:after="120"/>
        <w:ind w:left="720" w:hanging="720"/>
      </w:pPr>
      <w:r>
        <w:rPr>
          <w:b/>
          <w:bCs/>
          <w:color w:val="0F172A"/>
          <w:sz w:val="21"/>
          <w:szCs w:val="21"/>
        </w:rPr>
        <w:t xml:space="preserve">6.2  </w:t>
      </w:r>
      <w:r>
        <w:rPr>
          <w:color w:val="0F172A"/>
          <w:sz w:val="21"/>
          <w:szCs w:val="21"/>
        </w:rPr>
        <w:t xml:space="preserve">The Tenant acknowledges the condition recorded above and undertakes to return the premises in that condition, fair wear and tear excepted.</w:t>
      </w:r>
    </w:p>
    <w:p>
      <w:pPr>
        <w:spacing w:after="120"/>
        <w:ind w:left="720" w:hanging="720"/>
      </w:pPr>
      <w:r>
        <w:rPr>
          <w:b/>
          <w:bCs/>
          <w:color w:val="0F172A"/>
          <w:sz w:val="21"/>
          <w:szCs w:val="21"/>
        </w:rPr>
        <w:t xml:space="preserve">6.3  </w:t>
      </w:r>
      <w:r>
        <w:rPr>
          <w:color w:val="0F172A"/>
          <w:sz w:val="21"/>
          <w:szCs w:val="21"/>
        </w:rPr>
        <w:t xml:space="preserve">Neither party may rely on damage not recorded in this report as being caused by the other party's period of occupation, save in the case of concealed damage that could not reasonably have been observed.</w:t>
      </w:r>
    </w:p>
    <w:p>
      <w:pPr>
        <w:pBdr>
          <w:top w:val="single" w:color="CBD5E1" w:sz="6" w:space="6"/>
        </w:pBdr>
        <w:spacing w:after="60" w:before="200"/>
      </w:pPr>
      <w:r>
        <w:rPr>
          <w:b/>
          <w:bCs/>
          <w:color w:val="0F172A"/>
          <w:sz w:val="20"/>
          <w:szCs w:val="20"/>
        </w:rPr>
        <w:t xml:space="preserve">WHY THIS DOCUMENT MATTERS</w:t>
      </w:r>
    </w:p>
    <w:p>
      <w:pPr>
        <w:spacing w:after="60"/>
      </w:pPr>
      <w:r>
        <w:rPr>
          <w:color w:val="64748B"/>
          <w:sz w:val="19"/>
          <w:szCs w:val="19"/>
        </w:rPr>
        <w:t xml:space="preserve">Damage that is not recorded here is, in practice, damage the landlord cannot charge for.</w:t>
      </w:r>
    </w:p>
    <w:p>
      <w:pPr>
        <w:spacing w:after="60"/>
      </w:pPr>
      <w:r>
        <w:rPr>
          <w:color w:val="64748B"/>
          <w:sz w:val="19"/>
          <w:szCs w:val="19"/>
        </w:rPr>
        <w:t xml:space="preserve">Take photographs of every defect on move-in, even minor ones. The move-out comparison is worthless without a baseline.</w:t>
      </w:r>
    </w:p>
    <w:p>
      <w:pPr>
        <w:spacing w:after="60"/>
      </w:pPr>
      <w:r>
        <w:rPr>
          <w:color w:val="64748B"/>
          <w:sz w:val="19"/>
          <w:szCs w:val="19"/>
        </w:rPr>
        <w:t xml:space="preserve">Both signatures matter. An unsigned report is a private note, not an agreed record.</w:t>
      </w:r>
    </w:p>
    <w:p>
      <w:pPr>
        <w:spacing w:after="60"/>
      </w:pPr>
      <w:r>
        <w:rPr>
          <w:color w:val="64748B"/>
          <w:sz w:val="19"/>
          <w:szCs w:val="19"/>
        </w:rPr>
        <w:t xml:space="preserve">If the Tenant is not present and cannot be, note that in section 1 and take photographs the same day.</w:t>
      </w:r>
    </w:p>
    <w:p>
      <w:pPr>
        <w:pBdr>
          <w:bottom w:val="single" w:color="CBD5E1" w:sz="6" w:space="6"/>
        </w:pBdr>
        <w:spacing w:after="160"/>
      </w:pPr>
      <w:r>
        <w:rPr>
          <w:sz w:val="2"/>
          <w:szCs w:val="2"/>
        </w:rPr>
        <w:t xml:space="preserve"/>
      </w:r>
    </w:p>
    <w:p>
      <w:pPr>
        <w:spacing w:after="300"/>
      </w:pPr>
      <w:r>
        <w:rPr>
          <w:color w:val="0F172A"/>
          <w:sz w:val="22"/>
          <w:szCs w:val="22"/>
        </w:rPr>
        <w:t xml:space="preserve"> </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pct" w:w="2500"/>
          </w:tcPr>
          <w:p>
            <w:pPr>
              <w:spacing w:before="320"/>
            </w:pPr>
            <w:r>
              <w:rPr>
                <w:sz w:val="22"/>
                <w:szCs w:val="22"/>
              </w:rPr>
              <w:t xml:space="preserve">_______________________________</w:t>
            </w:r>
          </w:p>
          <w:p>
            <w:r>
              <w:rPr>
                <w:color w:val="64748B"/>
                <w:sz w:val="18"/>
                <w:szCs w:val="18"/>
              </w:rPr>
              <w:t xml:space="preserve">Landlord / agent — signature and date</w:t>
            </w:r>
          </w:p>
        </w:tc>
        <w:tc>
          <w:tcPr>
            <w:tcW w:type="pct" w:w="2500"/>
          </w:tcPr>
          <w:p>
            <w:pPr>
              <w:spacing w:before="320"/>
            </w:pPr>
            <w:r>
              <w:rPr>
                <w:sz w:val="22"/>
                <w:szCs w:val="22"/>
              </w:rPr>
              <w:t xml:space="preserve">_______________________________</w:t>
            </w:r>
          </w:p>
          <w:p>
            <w:r>
              <w:rPr>
                <w:color w:val="64748B"/>
                <w:sz w:val="18"/>
                <w:szCs w:val="18"/>
              </w:rPr>
              <w:t xml:space="preserve">Tenant — signature and date</w:t>
            </w:r>
          </w:p>
        </w:tc>
      </w:tr>
    </w:tbl>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Generated by PropDesk Africa · bknglabs.dev@gmail.com · 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color w:val="0369A1"/>
        <w:sz w:val="20"/>
        <w:szCs w:val="20"/>
      </w:rPr>
      <w:t xml:space="preserve">PropDesk Africa</w:t>
    </w:r>
    <w:r>
      <w:rPr>
        <w:color w:val="64748B"/>
        <w:sz w:val="16"/>
        <w:szCs w:val="16"/>
      </w:rPr>
      <w:t xml:space="preserve">  ·  by Siemax Ltd</w:t>
    </w:r>
  </w:p>
  <w:p>
    <w:pPr>
      <w:spacing w:after="160"/>
      <w:jc w:val="right"/>
    </w:pPr>
    <w:r>
      <w:rPr>
        <w:i/>
        <w:iCs/>
        <w:color w:val="94A3B8"/>
        <w:sz w:val="16"/>
        <w:szCs w:val="16"/>
      </w:rPr>
      <w:t xml:space="preserve">Move-in Condition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Move-in Condition Report</dc:title>
  <dc:creator>PropDesk Africa</dc:creator>
  <dc:description>Move-in Condition Report</dc:description>
  <cp:lastModifiedBy>Un-named</cp:lastModifiedBy>
  <cp:revision>1</cp:revision>
  <dcterms:created xsi:type="dcterms:W3CDTF">2026-10-09T21:00:27.559Z</dcterms:created>
  <dcterms:modified xsi:type="dcterms:W3CDTF">2026-10-09T21:00:27.559Z</dcterms:modified>
</cp:coreProperties>
</file>

<file path=docProps/custom.xml><?xml version="1.0" encoding="utf-8"?>
<Properties xmlns="http://schemas.openxmlformats.org/officeDocument/2006/custom-properties" xmlns:vt="http://schemas.openxmlformats.org/officeDocument/2006/docPropsVTypes"/>
</file>