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160"/>
      </w:pPr>
      <w:r>
        <w:rPr>
          <w:b/>
          <w:bCs/>
          <w:color w:val="0369A1"/>
          <w:sz w:val="30"/>
          <w:szCs w:val="30"/>
        </w:rPr>
        <w:t xml:space="preserve">KEY AND ACCESS HANDOVER RECORD</w:t>
      </w:r>
    </w:p>
    <w:p>
      <w:pPr>
        <w:spacing w:after="240"/>
      </w:pPr>
      <w:r>
        <w:rPr>
          <w:color w:val="0F172A"/>
          <w:sz w:val="22"/>
          <w:szCs w:val="22"/>
        </w:rPr>
        <w:t xml:space="preserve">Complete this at the point of handing over or returning possession. It fixes the date from which responsibility for the premises passes, and closes the open question of which keys exist.</w:t>
      </w:r>
    </w:p>
    <w:p>
      <w:pPr>
        <w:pStyle w:val="Heading2"/>
        <w:spacing w:after="120" w:before="280"/>
      </w:pPr>
      <w:r>
        <w:rPr>
          <w:b/>
          <w:bCs/>
          <w:color w:val="0F172A"/>
          <w:sz w:val="24"/>
          <w:szCs w:val="24"/>
        </w:rPr>
        <w:t xml:space="preserve">1. Particulars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119"/>
        <w:gridCol w:w="6627"/>
      </w:tblGrid>
      <w:tr>
        <w:tc>
          <w:tcPr>
            <w:tcW w:type="pct" w:w="1600"/>
          </w:tcPr>
          <w:p>
            <w:r>
              <w:rPr>
                <w:b/>
                <w:bCs/>
                <w:color w:val="0F172A"/>
                <w:sz w:val="20"/>
                <w:szCs w:val="20"/>
              </w:rPr>
              <w:t xml:space="preserve">Property / unit</w:t>
            </w:r>
          </w:p>
        </w:tc>
        <w:tc>
          <w:tcPr>
            <w:tcW w:type="pct" w:w="3400"/>
          </w:tcPr>
          <w:p>
            <w:r>
              <w:rPr>
                <w:color w:val="0F172A"/>
                <w:sz w:val="20"/>
                <w:szCs w:val="20"/>
              </w:rPr>
              <w:t xml:space="preserve">Riverside Court, Riverside Drive, Nairobi</w:t>
            </w:r>
          </w:p>
        </w:tc>
      </w:tr>
      <w:tr>
        <w:tc>
          <w:tcPr>
            <w:tcW w:type="pct" w:w="1600"/>
          </w:tcPr>
          <w:p>
            <w:r>
              <w:rPr>
                <w:b/>
                <w:bCs/>
                <w:color w:val="0F172A"/>
                <w:sz w:val="20"/>
                <w:szCs w:val="20"/>
              </w:rPr>
              <w:t xml:space="preserve">Tenant</w:t>
            </w:r>
          </w:p>
        </w:tc>
        <w:tc>
          <w:tcPr>
            <w:tcW w:type="pct" w:w="3400"/>
          </w:tcPr>
          <w:p>
            <w:r>
              <w:rPr>
                <w:color w:val="0F172A"/>
                <w:sz w:val="20"/>
                <w:szCs w:val="20"/>
              </w:rPr>
              <w:t xml:space="preserve">Brian Mwangi</w:t>
            </w:r>
          </w:p>
        </w:tc>
      </w:tr>
      <w:tr>
        <w:tc>
          <w:tcPr>
            <w:tcW w:type="pct" w:w="1600"/>
          </w:tcPr>
          <w:p>
            <w:r>
              <w:rPr>
                <w:b/>
                <w:bCs/>
                <w:color w:val="0F172A"/>
                <w:sz w:val="20"/>
                <w:szCs w:val="20"/>
              </w:rPr>
              <w:t xml:space="preserve">Landlord / agent</w:t>
            </w:r>
          </w:p>
        </w:tc>
        <w:tc>
          <w:tcPr>
            <w:tcW w:type="pct" w:w="3400"/>
          </w:tcPr>
          <w:p>
            <w:r>
              <w:rPr>
                <w:color w:val="0F172A"/>
                <w:sz w:val="20"/>
                <w:szCs w:val="20"/>
              </w:rPr>
              <w:t xml:space="preserve">Achieng Odhiambo</w:t>
            </w:r>
          </w:p>
        </w:tc>
      </w:tr>
      <w:tr>
        <w:tc>
          <w:tcPr>
            <w:tcW w:type="pct" w:w="1600"/>
          </w:tcPr>
          <w:p>
            <w:r>
              <w:rPr>
                <w:b/>
                <w:bCs/>
                <w:color w:val="0F172A"/>
                <w:sz w:val="20"/>
                <w:szCs w:val="20"/>
              </w:rPr>
              <w:t xml:space="preserve">Handover date</w:t>
            </w:r>
          </w:p>
        </w:tc>
        <w:tc>
          <w:tcPr>
            <w:tcW w:type="pct" w:w="3400"/>
          </w:tcPr>
          <w:p>
            <w:r>
              <w:rPr>
                <w:color w:val="0F172A"/>
                <w:sz w:val="20"/>
                <w:szCs w:val="20"/>
              </w:rPr>
              <w:t xml:space="preserve">1 March 2026</w:t>
            </w:r>
          </w:p>
        </w:tc>
      </w:tr>
      <w:tr>
        <w:tc>
          <w:tcPr>
            <w:tcW w:type="pct" w:w="1600"/>
          </w:tcPr>
          <w:p>
            <w:r>
              <w:rPr>
                <w:b/>
                <w:bCs/>
                <w:color w:val="0F172A"/>
                <w:sz w:val="20"/>
                <w:szCs w:val="20"/>
              </w:rPr>
              <w:t xml:space="preserve">Return date (if applicable)</w:t>
            </w:r>
          </w:p>
        </w:tc>
        <w:tc>
          <w:tcPr>
            <w:tcW w:type="pct" w:w="3400"/>
          </w:tcPr>
          <w:p>
            <w:r>
              <w:rPr>
                <w:color w:val="0F172A"/>
                <w:sz w:val="20"/>
                <w:szCs w:val="20"/>
              </w:rPr>
              <w:t xml:space="preserve">______________</w:t>
            </w:r>
          </w:p>
        </w:tc>
      </w:tr>
      <w:tr>
        <w:tc>
          <w:tcPr>
            <w:tcW w:type="pct" w:w="1600"/>
          </w:tcPr>
          <w:p>
            <w:r>
              <w:rPr>
                <w:b/>
                <w:bCs/>
                <w:color w:val="0F172A"/>
                <w:sz w:val="20"/>
                <w:szCs w:val="20"/>
              </w:rPr>
              <w:t xml:space="preserve">Purpose</w:t>
            </w:r>
          </w:p>
        </w:tc>
        <w:tc>
          <w:tcPr>
            <w:tcW w:type="pct" w:w="3400"/>
          </w:tcPr>
          <w:p>
            <w:r>
              <w:rPr>
                <w:color w:val="0F172A"/>
                <w:sz w:val="20"/>
                <w:szCs w:val="20"/>
              </w:rPr>
              <w:t xml:space="preserve">☐ Move-in handover   ☐ Move-out return   ☐ Replacement keys</w:t>
            </w:r>
          </w:p>
        </w:tc>
      </w:tr>
    </w:tbl>
    <w:p>
      <w:pPr>
        <w:pStyle w:val="Heading2"/>
        <w:spacing w:after="120" w:before="280"/>
      </w:pPr>
      <w:r>
        <w:rPr>
          <w:b/>
          <w:bCs/>
          <w:color w:val="0F172A"/>
          <w:sz w:val="24"/>
          <w:szCs w:val="24"/>
        </w:rPr>
        <w:t xml:space="preserve">2. Items issued or returned</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483"/>
        <w:gridCol w:w="1754"/>
        <w:gridCol w:w="1754"/>
        <w:gridCol w:w="1754"/>
      </w:tblGrid>
      <w:tr>
        <w:tc>
          <w:tcPr>
            <w:tcW w:type="pct" w:w="2300"/>
            <w:shd w:fill="F1F5F9" w:color="auto" w:val="clear"/>
          </w:tcPr>
          <w:p>
            <w:r>
              <w:rPr>
                <w:b/>
                <w:bCs/>
                <w:color w:val="0F172A"/>
                <w:sz w:val="20"/>
                <w:szCs w:val="20"/>
              </w:rPr>
              <w:t xml:space="preserve">Item</w:t>
            </w:r>
          </w:p>
        </w:tc>
        <w:tc>
          <w:tcPr>
            <w:tcW w:type="pct" w:w="900"/>
            <w:shd w:fill="F1F5F9" w:color="auto" w:val="clear"/>
          </w:tcPr>
          <w:p>
            <w:r>
              <w:rPr>
                <w:b/>
                <w:bCs/>
                <w:color w:val="0F172A"/>
                <w:sz w:val="20"/>
                <w:szCs w:val="20"/>
              </w:rPr>
              <w:t xml:space="preserve">Qty issued</w:t>
            </w:r>
          </w:p>
        </w:tc>
        <w:tc>
          <w:tcPr>
            <w:tcW w:type="pct" w:w="900"/>
            <w:shd w:fill="F1F5F9" w:color="auto" w:val="clear"/>
          </w:tcPr>
          <w:p>
            <w:r>
              <w:rPr>
                <w:b/>
                <w:bCs/>
                <w:color w:val="0F172A"/>
                <w:sz w:val="20"/>
                <w:szCs w:val="20"/>
              </w:rPr>
              <w:t xml:space="preserve">Qty returned</w:t>
            </w:r>
          </w:p>
        </w:tc>
        <w:tc>
          <w:tcPr>
            <w:tcW w:type="pct" w:w="900"/>
            <w:shd w:fill="F1F5F9" w:color="auto" w:val="clear"/>
          </w:tcPr>
          <w:p>
            <w:r>
              <w:rPr>
                <w:b/>
                <w:bCs/>
                <w:color w:val="0F172A"/>
                <w:sz w:val="20"/>
                <w:szCs w:val="20"/>
              </w:rPr>
              <w:t xml:space="preserve">Condition</w:t>
            </w:r>
          </w:p>
        </w:tc>
      </w:tr>
      <w:tr>
        <w:tc>
          <w:tcPr>
            <w:tcW w:type="pct" w:w="2300"/>
          </w:tcPr>
          <w:p>
            <w:r>
              <w:rPr>
                <w:color w:val="0F172A"/>
                <w:sz w:val="20"/>
                <w:szCs w:val="20"/>
              </w:rPr>
              <w:t xml:space="preserve">Front door key</w:t>
            </w:r>
          </w:p>
        </w:tc>
        <w:tc>
          <w:tcPr>
            <w:tcW w:type="pct" w:w="900"/>
          </w:tcPr>
          <w:p>
            <w:r>
              <w:rPr>
                <w:color w:val="94A3B8"/>
                <w:sz w:val="20"/>
                <w:szCs w:val="20"/>
              </w:rPr>
              <w:t xml:space="preserve"/>
            </w:r>
          </w:p>
        </w:tc>
        <w:tc>
          <w:tcPr>
            <w:tcW w:type="pct" w:w="900"/>
          </w:tcPr>
          <w:p>
            <w:r>
              <w:rPr>
                <w:color w:val="94A3B8"/>
                <w:sz w:val="20"/>
                <w:szCs w:val="20"/>
              </w:rPr>
              <w:t xml:space="preserve"/>
            </w:r>
          </w:p>
        </w:tc>
        <w:tc>
          <w:tcPr>
            <w:tcW w:type="pct" w:w="900"/>
          </w:tcPr>
          <w:p>
            <w:r>
              <w:rPr>
                <w:color w:val="0F172A"/>
                <w:sz w:val="20"/>
                <w:szCs w:val="20"/>
              </w:rPr>
              <w:t xml:space="preserve">☐ Good
☐ Fair</w:t>
            </w:r>
          </w:p>
        </w:tc>
      </w:tr>
      <w:tr>
        <w:tc>
          <w:tcPr>
            <w:tcW w:type="pct" w:w="2300"/>
          </w:tcPr>
          <w:p>
            <w:r>
              <w:rPr>
                <w:color w:val="0F172A"/>
                <w:sz w:val="20"/>
                <w:szCs w:val="20"/>
              </w:rPr>
              <w:t xml:space="preserve">Back / inner door key</w:t>
            </w:r>
          </w:p>
        </w:tc>
        <w:tc>
          <w:tcPr>
            <w:tcW w:type="pct" w:w="900"/>
          </w:tcPr>
          <w:p>
            <w:r>
              <w:rPr>
                <w:color w:val="94A3B8"/>
                <w:sz w:val="20"/>
                <w:szCs w:val="20"/>
              </w:rPr>
              <w:t xml:space="preserve"/>
            </w:r>
          </w:p>
        </w:tc>
        <w:tc>
          <w:tcPr>
            <w:tcW w:type="pct" w:w="900"/>
          </w:tcPr>
          <w:p>
            <w:r>
              <w:rPr>
                <w:color w:val="94A3B8"/>
                <w:sz w:val="20"/>
                <w:szCs w:val="20"/>
              </w:rPr>
              <w:t xml:space="preserve"/>
            </w:r>
          </w:p>
        </w:tc>
        <w:tc>
          <w:tcPr>
            <w:tcW w:type="pct" w:w="900"/>
          </w:tcPr>
          <w:p>
            <w:r>
              <w:rPr>
                <w:color w:val="0F172A"/>
                <w:sz w:val="20"/>
                <w:szCs w:val="20"/>
              </w:rPr>
              <w:t xml:space="preserve">☐ Good
☐ Fair</w:t>
            </w:r>
          </w:p>
        </w:tc>
      </w:tr>
      <w:tr>
        <w:tc>
          <w:tcPr>
            <w:tcW w:type="pct" w:w="2300"/>
          </w:tcPr>
          <w:p>
            <w:r>
              <w:rPr>
                <w:color w:val="0F172A"/>
                <w:sz w:val="20"/>
                <w:szCs w:val="20"/>
              </w:rPr>
              <w:t xml:space="preserve">Gate remote or access card</w:t>
            </w:r>
          </w:p>
        </w:tc>
        <w:tc>
          <w:tcPr>
            <w:tcW w:type="pct" w:w="900"/>
          </w:tcPr>
          <w:p>
            <w:r>
              <w:rPr>
                <w:color w:val="94A3B8"/>
                <w:sz w:val="20"/>
                <w:szCs w:val="20"/>
              </w:rPr>
              <w:t xml:space="preserve"/>
            </w:r>
          </w:p>
        </w:tc>
        <w:tc>
          <w:tcPr>
            <w:tcW w:type="pct" w:w="900"/>
          </w:tcPr>
          <w:p>
            <w:r>
              <w:rPr>
                <w:color w:val="94A3B8"/>
                <w:sz w:val="20"/>
                <w:szCs w:val="20"/>
              </w:rPr>
              <w:t xml:space="preserve"/>
            </w:r>
          </w:p>
        </w:tc>
        <w:tc>
          <w:tcPr>
            <w:tcW w:type="pct" w:w="900"/>
          </w:tcPr>
          <w:p>
            <w:r>
              <w:rPr>
                <w:color w:val="0F172A"/>
                <w:sz w:val="20"/>
                <w:szCs w:val="20"/>
              </w:rPr>
              <w:t xml:space="preserve">☐ Good
☐ Fair</w:t>
            </w:r>
          </w:p>
        </w:tc>
      </w:tr>
      <w:tr>
        <w:tc>
          <w:tcPr>
            <w:tcW w:type="pct" w:w="2300"/>
          </w:tcPr>
          <w:p>
            <w:r>
              <w:rPr>
                <w:color w:val="0F172A"/>
                <w:sz w:val="20"/>
                <w:szCs w:val="20"/>
              </w:rPr>
              <w:t xml:space="preserve">Mailbox key</w:t>
            </w:r>
          </w:p>
        </w:tc>
        <w:tc>
          <w:tcPr>
            <w:tcW w:type="pct" w:w="900"/>
          </w:tcPr>
          <w:p>
            <w:r>
              <w:rPr>
                <w:color w:val="94A3B8"/>
                <w:sz w:val="20"/>
                <w:szCs w:val="20"/>
              </w:rPr>
              <w:t xml:space="preserve"/>
            </w:r>
          </w:p>
        </w:tc>
        <w:tc>
          <w:tcPr>
            <w:tcW w:type="pct" w:w="900"/>
          </w:tcPr>
          <w:p>
            <w:r>
              <w:rPr>
                <w:color w:val="94A3B8"/>
                <w:sz w:val="20"/>
                <w:szCs w:val="20"/>
              </w:rPr>
              <w:t xml:space="preserve"/>
            </w:r>
          </w:p>
        </w:tc>
        <w:tc>
          <w:tcPr>
            <w:tcW w:type="pct" w:w="900"/>
          </w:tcPr>
          <w:p>
            <w:r>
              <w:rPr>
                <w:color w:val="0F172A"/>
                <w:sz w:val="20"/>
                <w:szCs w:val="20"/>
              </w:rPr>
              <w:t xml:space="preserve">☐ Good
☐ Fair</w:t>
            </w:r>
          </w:p>
        </w:tc>
      </w:tr>
      <w:tr>
        <w:tc>
          <w:tcPr>
            <w:tcW w:type="pct" w:w="2300"/>
          </w:tcPr>
          <w:p>
            <w:r>
              <w:rPr>
                <w:color w:val="0F172A"/>
                <w:sz w:val="20"/>
                <w:szCs w:val="20"/>
              </w:rPr>
              <w:t xml:space="preserve">Water meter key</w:t>
            </w:r>
          </w:p>
        </w:tc>
        <w:tc>
          <w:tcPr>
            <w:tcW w:type="pct" w:w="900"/>
          </w:tcPr>
          <w:p>
            <w:r>
              <w:rPr>
                <w:color w:val="94A3B8"/>
                <w:sz w:val="20"/>
                <w:szCs w:val="20"/>
              </w:rPr>
              <w:t xml:space="preserve"/>
            </w:r>
          </w:p>
        </w:tc>
        <w:tc>
          <w:tcPr>
            <w:tcW w:type="pct" w:w="900"/>
          </w:tcPr>
          <w:p>
            <w:r>
              <w:rPr>
                <w:color w:val="94A3B8"/>
                <w:sz w:val="20"/>
                <w:szCs w:val="20"/>
              </w:rPr>
              <w:t xml:space="preserve"/>
            </w:r>
          </w:p>
        </w:tc>
        <w:tc>
          <w:tcPr>
            <w:tcW w:type="pct" w:w="900"/>
          </w:tcPr>
          <w:p>
            <w:r>
              <w:rPr>
                <w:color w:val="0F172A"/>
                <w:sz w:val="20"/>
                <w:szCs w:val="20"/>
              </w:rPr>
              <w:t xml:space="preserve">☐ Good
☐ Fair</w:t>
            </w:r>
          </w:p>
        </w:tc>
      </w:tr>
      <w:tr>
        <w:tc>
          <w:tcPr>
            <w:tcW w:type="pct" w:w="2300"/>
          </w:tcPr>
          <w:p>
            <w:r>
              <w:rPr>
                <w:color w:val="0F172A"/>
                <w:sz w:val="20"/>
                <w:szCs w:val="20"/>
              </w:rPr>
              <w:t xml:space="preserve">Store room key</w:t>
            </w:r>
          </w:p>
        </w:tc>
        <w:tc>
          <w:tcPr>
            <w:tcW w:type="pct" w:w="900"/>
          </w:tcPr>
          <w:p>
            <w:r>
              <w:rPr>
                <w:color w:val="94A3B8"/>
                <w:sz w:val="20"/>
                <w:szCs w:val="20"/>
              </w:rPr>
              <w:t xml:space="preserve"/>
            </w:r>
          </w:p>
        </w:tc>
        <w:tc>
          <w:tcPr>
            <w:tcW w:type="pct" w:w="900"/>
          </w:tcPr>
          <w:p>
            <w:r>
              <w:rPr>
                <w:color w:val="94A3B8"/>
                <w:sz w:val="20"/>
                <w:szCs w:val="20"/>
              </w:rPr>
              <w:t xml:space="preserve"/>
            </w:r>
          </w:p>
        </w:tc>
        <w:tc>
          <w:tcPr>
            <w:tcW w:type="pct" w:w="900"/>
          </w:tcPr>
          <w:p>
            <w:r>
              <w:rPr>
                <w:color w:val="0F172A"/>
                <w:sz w:val="20"/>
                <w:szCs w:val="20"/>
              </w:rPr>
              <w:t xml:space="preserve">☐ Good
☐ Fair</w:t>
            </w:r>
          </w:p>
        </w:tc>
      </w:tr>
      <w:tr>
        <w:tc>
          <w:tcPr>
            <w:tcW w:type="pct" w:w="2300"/>
          </w:tcPr>
          <w:p>
            <w:r>
              <w:rPr>
                <w:color w:val="0F172A"/>
                <w:sz w:val="20"/>
                <w:szCs w:val="20"/>
              </w:rPr>
              <w:t xml:space="preserve">Spare key held by agent</w:t>
            </w:r>
          </w:p>
        </w:tc>
        <w:tc>
          <w:tcPr>
            <w:tcW w:type="pct" w:w="900"/>
          </w:tcPr>
          <w:p>
            <w:r>
              <w:rPr>
                <w:color w:val="94A3B8"/>
                <w:sz w:val="20"/>
                <w:szCs w:val="20"/>
              </w:rPr>
              <w:t xml:space="preserve"/>
            </w:r>
          </w:p>
        </w:tc>
        <w:tc>
          <w:tcPr>
            <w:tcW w:type="pct" w:w="900"/>
          </w:tcPr>
          <w:p>
            <w:r>
              <w:rPr>
                <w:color w:val="94A3B8"/>
                <w:sz w:val="20"/>
                <w:szCs w:val="20"/>
              </w:rPr>
              <w:t xml:space="preserve"/>
            </w:r>
          </w:p>
        </w:tc>
        <w:tc>
          <w:tcPr>
            <w:tcW w:type="pct" w:w="900"/>
          </w:tcPr>
          <w:p>
            <w:r>
              <w:rPr>
                <w:color w:val="0F172A"/>
                <w:sz w:val="20"/>
                <w:szCs w:val="20"/>
              </w:rPr>
              <w:t xml:space="preserve">☐ Good
☐ Fair</w:t>
            </w:r>
          </w:p>
        </w:tc>
      </w:tr>
      <w:tr>
        <w:tc>
          <w:tcPr>
            <w:tcW w:type="pct" w:w="2300"/>
          </w:tcPr>
          <w:p>
            <w:r>
              <w:rPr>
                <w:color w:val="0F172A"/>
                <w:sz w:val="20"/>
                <w:szCs w:val="20"/>
              </w:rPr>
              <w:t xml:space="preserve">Other (specify)</w:t>
            </w:r>
          </w:p>
        </w:tc>
        <w:tc>
          <w:tcPr>
            <w:tcW w:type="pct" w:w="900"/>
          </w:tcPr>
          <w:p>
            <w:r>
              <w:rPr>
                <w:color w:val="94A3B8"/>
                <w:sz w:val="20"/>
                <w:szCs w:val="20"/>
              </w:rPr>
              <w:t xml:space="preserve"/>
            </w:r>
          </w:p>
        </w:tc>
        <w:tc>
          <w:tcPr>
            <w:tcW w:type="pct" w:w="900"/>
          </w:tcPr>
          <w:p>
            <w:r>
              <w:rPr>
                <w:color w:val="94A3B8"/>
                <w:sz w:val="20"/>
                <w:szCs w:val="20"/>
              </w:rPr>
              <w:t xml:space="preserve"/>
            </w:r>
          </w:p>
        </w:tc>
        <w:tc>
          <w:tcPr>
            <w:tcW w:type="pct" w:w="900"/>
          </w:tcPr>
          <w:p>
            <w:r>
              <w:rPr>
                <w:color w:val="0F172A"/>
                <w:sz w:val="20"/>
                <w:szCs w:val="20"/>
              </w:rPr>
              <w:t xml:space="preserve">☐ Good
☐ Fair</w:t>
            </w:r>
          </w:p>
        </w:tc>
      </w:tr>
    </w:tbl>
    <w:p>
      <w:pPr>
        <w:pStyle w:val="Heading2"/>
        <w:spacing w:after="120" w:before="280"/>
      </w:pPr>
      <w:r>
        <w:rPr>
          <w:b/>
          <w:bCs/>
          <w:color w:val="0F172A"/>
          <w:sz w:val="24"/>
          <w:szCs w:val="24"/>
        </w:rPr>
        <w:t xml:space="preserve">3. Meter readings at handover</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898"/>
        <w:gridCol w:w="2924"/>
        <w:gridCol w:w="2924"/>
      </w:tblGrid>
      <w:tr>
        <w:tc>
          <w:tcPr>
            <w:tcW w:type="pct" w:w="2000"/>
            <w:shd w:fill="F1F5F9" w:color="auto" w:val="clear"/>
          </w:tcPr>
          <w:p>
            <w:r>
              <w:rPr>
                <w:b/>
                <w:bCs/>
                <w:color w:val="0F172A"/>
                <w:sz w:val="20"/>
                <w:szCs w:val="20"/>
              </w:rPr>
              <w:t xml:space="preserve">Meter</w:t>
            </w:r>
          </w:p>
        </w:tc>
        <w:tc>
          <w:tcPr>
            <w:tcW w:type="pct" w:w="1500"/>
            <w:shd w:fill="F1F5F9" w:color="auto" w:val="clear"/>
          </w:tcPr>
          <w:p>
            <w:r>
              <w:rPr>
                <w:b/>
                <w:bCs/>
                <w:color w:val="0F172A"/>
                <w:sz w:val="20"/>
                <w:szCs w:val="20"/>
              </w:rPr>
              <w:t xml:space="preserve">Reading</w:t>
            </w:r>
          </w:p>
        </w:tc>
        <w:tc>
          <w:tcPr>
            <w:tcW w:type="pct" w:w="1500"/>
            <w:shd w:fill="F1F5F9" w:color="auto" w:val="clear"/>
          </w:tcPr>
          <w:p>
            <w:r>
              <w:rPr>
                <w:b/>
                <w:bCs/>
                <w:color w:val="0F172A"/>
                <w:sz w:val="20"/>
                <w:szCs w:val="20"/>
              </w:rPr>
              <w:t xml:space="preserve">Account / meter no.</w:t>
            </w:r>
          </w:p>
        </w:tc>
      </w:tr>
      <w:tr>
        <w:tc>
          <w:tcPr>
            <w:tcW w:type="pct" w:w="2000"/>
          </w:tcPr>
          <w:p>
            <w:r>
              <w:rPr>
                <w:color w:val="0F172A"/>
                <w:sz w:val="20"/>
                <w:szCs w:val="20"/>
              </w:rPr>
              <w:t xml:space="preserve">Electricity (KWh)</w:t>
            </w:r>
          </w:p>
        </w:tc>
        <w:tc>
          <w:tcPr>
            <w:tcW w:type="pct" w:w="1500"/>
          </w:tcPr>
          <w:p>
            <w:r>
              <w:rPr>
                <w:color w:val="94A3B8"/>
                <w:sz w:val="20"/>
                <w:szCs w:val="20"/>
              </w:rPr>
              <w:t xml:space="preserve"/>
            </w:r>
          </w:p>
        </w:tc>
        <w:tc>
          <w:tcPr>
            <w:tcW w:type="pct" w:w="1500"/>
          </w:tcPr>
          <w:p>
            <w:r>
              <w:rPr>
                <w:color w:val="94A3B8"/>
                <w:sz w:val="20"/>
                <w:szCs w:val="20"/>
              </w:rPr>
              <w:t xml:space="preserve"/>
            </w:r>
          </w:p>
        </w:tc>
      </w:tr>
      <w:tr>
        <w:tc>
          <w:tcPr>
            <w:tcW w:type="pct" w:w="2000"/>
          </w:tcPr>
          <w:p>
            <w:r>
              <w:rPr>
                <w:color w:val="0F172A"/>
                <w:sz w:val="20"/>
                <w:szCs w:val="20"/>
              </w:rPr>
              <w:t xml:space="preserve">Water (m³)</w:t>
            </w:r>
          </w:p>
        </w:tc>
        <w:tc>
          <w:tcPr>
            <w:tcW w:type="pct" w:w="1500"/>
          </w:tcPr>
          <w:p>
            <w:r>
              <w:rPr>
                <w:color w:val="94A3B8"/>
                <w:sz w:val="20"/>
                <w:szCs w:val="20"/>
              </w:rPr>
              <w:t xml:space="preserve"/>
            </w:r>
          </w:p>
        </w:tc>
        <w:tc>
          <w:tcPr>
            <w:tcW w:type="pct" w:w="1500"/>
          </w:tcPr>
          <w:p>
            <w:r>
              <w:rPr>
                <w:color w:val="94A3B8"/>
                <w:sz w:val="20"/>
                <w:szCs w:val="20"/>
              </w:rPr>
              <w:t xml:space="preserve"/>
            </w:r>
          </w:p>
        </w:tc>
      </w:tr>
      <w:tr>
        <w:tc>
          <w:tcPr>
            <w:tcW w:type="pct" w:w="2000"/>
          </w:tcPr>
          <w:p>
            <w:r>
              <w:rPr>
                <w:color w:val="0F172A"/>
                <w:sz w:val="20"/>
                <w:szCs w:val="20"/>
              </w:rPr>
              <w:t xml:space="preserve">Gas</w:t>
            </w:r>
          </w:p>
        </w:tc>
        <w:tc>
          <w:tcPr>
            <w:tcW w:type="pct" w:w="1500"/>
          </w:tcPr>
          <w:p>
            <w:r>
              <w:rPr>
                <w:color w:val="94A3B8"/>
                <w:sz w:val="20"/>
                <w:szCs w:val="20"/>
              </w:rPr>
              <w:t xml:space="preserve"/>
            </w:r>
          </w:p>
        </w:tc>
        <w:tc>
          <w:tcPr>
            <w:tcW w:type="pct" w:w="1500"/>
          </w:tcPr>
          <w:p>
            <w:r>
              <w:rPr>
                <w:color w:val="94A3B8"/>
                <w:sz w:val="20"/>
                <w:szCs w:val="20"/>
              </w:rPr>
              <w:t xml:space="preserve"/>
            </w:r>
          </w:p>
        </w:tc>
      </w:tr>
      <w:tr>
        <w:tc>
          <w:tcPr>
            <w:tcW w:type="pct" w:w="2000"/>
          </w:tcPr>
          <w:p>
            <w:r>
              <w:rPr>
                <w:color w:val="0F172A"/>
                <w:sz w:val="20"/>
                <w:szCs w:val="20"/>
              </w:rPr>
              <w:t xml:space="preserve">Other</w:t>
            </w:r>
          </w:p>
        </w:tc>
        <w:tc>
          <w:tcPr>
            <w:tcW w:type="pct" w:w="1500"/>
          </w:tcPr>
          <w:p>
            <w:r>
              <w:rPr>
                <w:color w:val="94A3B8"/>
                <w:sz w:val="20"/>
                <w:szCs w:val="20"/>
              </w:rPr>
              <w:t xml:space="preserve"/>
            </w:r>
          </w:p>
        </w:tc>
        <w:tc>
          <w:tcPr>
            <w:tcW w:type="pct" w:w="1500"/>
          </w:tcPr>
          <w:p>
            <w:r>
              <w:rPr>
                <w:color w:val="94A3B8"/>
                <w:sz w:val="20"/>
                <w:szCs w:val="20"/>
              </w:rPr>
              <w:t xml:space="preserve"/>
            </w:r>
          </w:p>
        </w:tc>
      </w:tr>
    </w:tbl>
    <w:p>
      <w:pPr>
        <w:spacing w:after="120"/>
      </w:pPr>
      <w:r>
        <w:rPr>
          <w:i/>
          <w:iCs/>
          <w:color w:val="64748B"/>
          <w:sz w:val="18"/>
          <w:szCs w:val="18"/>
        </w:rPr>
        <w:t xml:space="preserve">These readings are what settle the utility question at the end of the tenancy. A blank here is an argument waiting to happen.</w:t>
      </w:r>
    </w:p>
    <w:p>
      <w:pPr>
        <w:pStyle w:val="Heading2"/>
        <w:spacing w:after="120" w:before="280"/>
      </w:pPr>
      <w:r>
        <w:rPr>
          <w:b/>
          <w:bCs/>
          <w:color w:val="0F172A"/>
          <w:sz w:val="24"/>
          <w:szCs w:val="24"/>
        </w:rPr>
        <w:t xml:space="preserve">4. Acknowledgement</w:t>
      </w:r>
    </w:p>
    <w:p>
      <w:pPr>
        <w:spacing w:after="120"/>
        <w:ind w:left="720" w:hanging="720"/>
      </w:pPr>
      <w:r>
        <w:rPr>
          <w:b/>
          <w:bCs/>
          <w:color w:val="0F172A"/>
          <w:sz w:val="21"/>
          <w:szCs w:val="21"/>
        </w:rPr>
        <w:t xml:space="preserve">4.1  </w:t>
      </w:r>
      <w:r>
        <w:rPr>
          <w:color w:val="0F172A"/>
          <w:sz w:val="21"/>
          <w:szCs w:val="21"/>
        </w:rPr>
        <w:t xml:space="preserve">The Tenant confirms the items listed above were received in working order, and accepts responsibility for their secure custody from the date of this handover.</w:t>
      </w:r>
    </w:p>
    <w:p>
      <w:pPr>
        <w:spacing w:after="120"/>
        <w:ind w:left="720" w:hanging="720"/>
      </w:pPr>
      <w:r>
        <w:rPr>
          <w:b/>
          <w:bCs/>
          <w:color w:val="0F172A"/>
          <w:sz w:val="21"/>
          <w:szCs w:val="21"/>
        </w:rPr>
        <w:t xml:space="preserve">4.2  </w:t>
      </w:r>
      <w:r>
        <w:rPr>
          <w:color w:val="0F172A"/>
          <w:sz w:val="21"/>
          <w:szCs w:val="21"/>
        </w:rPr>
        <w:t xml:space="preserve">The Tenant will not duplicate, lend or dispose of any key or access device without the Landlord's written consent.</w:t>
      </w:r>
    </w:p>
    <w:p>
      <w:pPr>
        <w:spacing w:after="120"/>
        <w:ind w:left="720" w:hanging="720"/>
      </w:pPr>
      <w:r>
        <w:rPr>
          <w:b/>
          <w:bCs/>
          <w:color w:val="0F172A"/>
          <w:sz w:val="21"/>
          <w:szCs w:val="21"/>
        </w:rPr>
        <w:t xml:space="preserve">4.3  </w:t>
      </w:r>
      <w:r>
        <w:rPr>
          <w:color w:val="0F172A"/>
          <w:sz w:val="21"/>
          <w:szCs w:val="21"/>
        </w:rPr>
        <w:t xml:space="preserve">The Tenant will report lost or stolen keys immediately, and will bear the cost of replacement and of any loss arising from delay in reporting.</w:t>
      </w:r>
    </w:p>
    <w:p>
      <w:pPr>
        <w:spacing w:after="120"/>
        <w:ind w:left="720" w:hanging="720"/>
      </w:pPr>
      <w:r>
        <w:rPr>
          <w:b/>
          <w:bCs/>
          <w:color w:val="0F172A"/>
          <w:sz w:val="21"/>
          <w:szCs w:val="21"/>
        </w:rPr>
        <w:t xml:space="preserve">4.4  </w:t>
      </w:r>
      <w:r>
        <w:rPr>
          <w:color w:val="0F172A"/>
          <w:sz w:val="21"/>
          <w:szCs w:val="21"/>
        </w:rPr>
        <w:t xml:space="preserve">All items are to be returned on the move-out date or on termination of the tenancy, whichever is earlier.</w:t>
      </w:r>
    </w:p>
    <w:p>
      <w:pPr>
        <w:pBdr>
          <w:top w:val="single" w:color="CBD5E1" w:sz="6" w:space="6"/>
        </w:pBdr>
        <w:spacing w:after="60" w:before="200"/>
      </w:pPr>
      <w:r>
        <w:rPr>
          <w:b/>
          <w:bCs/>
          <w:color w:val="0F172A"/>
          <w:sz w:val="20"/>
          <w:szCs w:val="20"/>
        </w:rPr>
        <w:t xml:space="preserve">AT MOVE-OUT</w:t>
      </w:r>
    </w:p>
    <w:p>
      <w:pPr>
        <w:spacing w:after="60"/>
      </w:pPr>
      <w:r>
        <w:rPr>
          <w:color w:val="64748B"/>
          <w:sz w:val="19"/>
          <w:szCs w:val="19"/>
        </w:rPr>
        <w:t xml:space="preserve">Read the meters again and record them next to the move-in readings.</w:t>
      </w:r>
    </w:p>
    <w:p>
      <w:pPr>
        <w:spacing w:after="60"/>
      </w:pPr>
      <w:r>
        <w:rPr>
          <w:color w:val="64748B"/>
          <w:sz w:val="19"/>
          <w:szCs w:val="19"/>
        </w:rPr>
        <w:t xml:space="preserve">Photograph every key returned and every lock.</w:t>
      </w:r>
    </w:p>
    <w:p>
      <w:pPr>
        <w:spacing w:after="60"/>
      </w:pPr>
      <w:r>
        <w:rPr>
          <w:color w:val="64748B"/>
          <w:sz w:val="19"/>
          <w:szCs w:val="19"/>
        </w:rPr>
        <w:t xml:space="preserve">Do not accept a verbal handover — the signature is the whole point of the form.</w:t>
      </w:r>
    </w:p>
    <w:p>
      <w:pPr>
        <w:pBdr>
          <w:bottom w:val="single" w:color="CBD5E1" w:sz="6" w:space="6"/>
        </w:pBdr>
        <w:spacing w:after="160"/>
      </w:pPr>
      <w:r>
        <w:rPr>
          <w:sz w:val="2"/>
          <w:szCs w:val="2"/>
        </w:rPr>
        <w:t xml:space="preserve"/>
      </w:r>
    </w:p>
    <w:p>
      <w:pPr>
        <w:spacing w:after="300"/>
      </w:pPr>
      <w:r>
        <w:rPr>
          <w:color w:val="0F172A"/>
          <w:sz w:val="22"/>
          <w:szCs w:val="22"/>
        </w:rPr>
        <w:t xml:space="preserve"> </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4873"/>
        <w:gridCol w:w="4873"/>
      </w:tblGrid>
      <w:tr>
        <w:tc>
          <w:tcPr>
            <w:tcW w:type="pct" w:w="2500"/>
          </w:tcPr>
          <w:p>
            <w:pPr>
              <w:spacing w:before="320"/>
            </w:pPr>
            <w:r>
              <w:rPr>
                <w:sz w:val="22"/>
                <w:szCs w:val="22"/>
              </w:rPr>
              <w:t xml:space="preserve">_______________________________</w:t>
            </w:r>
          </w:p>
          <w:p>
            <w:r>
              <w:rPr>
                <w:color w:val="64748B"/>
                <w:sz w:val="18"/>
                <w:szCs w:val="18"/>
              </w:rPr>
              <w:t xml:space="preserve">Issued by (landlord / agent)</w:t>
            </w:r>
          </w:p>
        </w:tc>
        <w:tc>
          <w:tcPr>
            <w:tcW w:type="pct" w:w="2500"/>
          </w:tcPr>
          <w:p>
            <w:pPr>
              <w:spacing w:before="320"/>
            </w:pPr>
            <w:r>
              <w:rPr>
                <w:sz w:val="22"/>
                <w:szCs w:val="22"/>
              </w:rPr>
              <w:t xml:space="preserve">_______________________________</w:t>
            </w:r>
          </w:p>
          <w:p>
            <w:r>
              <w:rPr>
                <w:color w:val="64748B"/>
                <w:sz w:val="18"/>
                <w:szCs w:val="18"/>
              </w:rPr>
              <w:t xml:space="preserve">Received by (tenant)</w:t>
            </w:r>
          </w:p>
        </w:tc>
      </w:tr>
    </w:tbl>
    <w:sectPr>
      <w:headerReference w:type="default" r:id="rId6"/>
      <w:footerReference w:type="default" r:id="rId7"/>
      <w:pgSz w:w="11906" w:h="16838"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6"/>
        <w:szCs w:val="16"/>
      </w:rPr>
      <w:t xml:space="preserve">Generated by PropDesk Africa · bknglabs.dev@gmail.com · Page </w:t>
    </w:r>
    <w:r>
      <w:rPr>
        <w:color w:val="94A3B8"/>
        <w:sz w:val="16"/>
        <w:szCs w:val="16"/>
      </w:rPr>
      <w:fldChar w:fldCharType="begin"/>
      <w:instrText xml:space="preserve">PAGE</w:instrText>
      <w:fldChar w:fldCharType="separate"/>
      <w:fldChar w:fldCharType="end"/>
    </w:r>
    <w:r>
      <w:rPr>
        <w:color w:val="94A3B8"/>
        <w:sz w:val="16"/>
        <w:szCs w:val="16"/>
      </w:rPr>
      <w:t xml:space="preserve"> of </w:t>
    </w:r>
    <w:r>
      <w:rPr>
        <w:color w:val="94A3B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b/>
        <w:bCs/>
        <w:color w:val="0369A1"/>
        <w:sz w:val="20"/>
        <w:szCs w:val="20"/>
      </w:rPr>
      <w:t xml:space="preserve">PropDesk Africa</w:t>
    </w:r>
    <w:r>
      <w:rPr>
        <w:color w:val="64748B"/>
        <w:sz w:val="16"/>
        <w:szCs w:val="16"/>
      </w:rPr>
      <w:t xml:space="preserve">  ·  by Siemax Ltd</w:t>
    </w:r>
  </w:p>
  <w:p>
    <w:pPr>
      <w:spacing w:after="160"/>
      <w:jc w:val="right"/>
    </w:pPr>
    <w:r>
      <w:rPr>
        <w:i/>
        <w:iCs/>
        <w:color w:val="94A3B8"/>
        <w:sz w:val="16"/>
        <w:szCs w:val="16"/>
      </w:rPr>
      <w:t xml:space="preserve">Key Handover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Key and Access Handover Record</dc:title>
  <dc:creator>PropDesk Africa</dc:creator>
  <dc:description>Key and Access Handover Record</dc:description>
  <cp:lastModifiedBy>Un-named</cp:lastModifiedBy>
  <cp:revision>1</cp:revision>
  <dcterms:created xsi:type="dcterms:W3CDTF">2026-10-09T21:00:27.495Z</dcterms:created>
  <dcterms:modified xsi:type="dcterms:W3CDTF">2026-10-09T21:00:27.495Z</dcterms:modified>
</cp:coreProperties>
</file>

<file path=docProps/custom.xml><?xml version="1.0" encoding="utf-8"?>
<Properties xmlns="http://schemas.openxmlformats.org/officeDocument/2006/custom-properties" xmlns:vt="http://schemas.openxmlformats.org/officeDocument/2006/docPropsVTypes"/>
</file>