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60"/>
      </w:pPr>
      <w:r>
        <w:rPr>
          <w:b/>
          <w:bCs/>
          <w:color w:val="0369A1"/>
          <w:sz w:val="30"/>
          <w:szCs w:val="30"/>
        </w:rPr>
        <w:t xml:space="preserve">RESIDENTIAL TENANCY AGREEMENT</w:t>
      </w:r>
    </w:p>
    <w:p>
      <w:pPr>
        <w:spacing w:after="160"/>
      </w:pPr>
      <w:r>
        <w:rPr>
          <w:color w:val="0F172A"/>
          <w:sz w:val="22"/>
          <w:szCs w:val="22"/>
        </w:rPr>
        <w:t xml:space="preserve">This Agreement is made on 09 October 2026 BETWEEN:</w:t>
      </w:r>
    </w:p>
    <w:p>
      <w:pPr>
        <w:spacing w:after="80"/>
      </w:pPr>
      <w:r>
        <w:rPr>
          <w:b/>
          <w:bCs/>
          <w:color w:val="0F172A"/>
          <w:sz w:val="22"/>
          <w:szCs w:val="22"/>
        </w:rPr>
        <w:t xml:space="preserve">Landlord: </w:t>
      </w:r>
      <w:r>
        <w:rPr>
          <w:color w:val="0F172A"/>
          <w:sz w:val="22"/>
          <w:szCs w:val="22"/>
        </w:rPr>
        <w:t xml:space="preserve">Achieng Odhiambo</w:t>
      </w:r>
    </w:p>
    <w:p>
      <w:pPr>
        <w:spacing w:after="80"/>
      </w:pPr>
      <w:r>
        <w:rPr>
          <w:b/>
          <w:bCs/>
          <w:color w:val="0F172A"/>
          <w:sz w:val="22"/>
          <w:szCs w:val="22"/>
        </w:rPr>
        <w:t xml:space="preserve">of: </w:t>
      </w:r>
      <w:r>
        <w:rPr>
          <w:color w:val="0F172A"/>
          <w:sz w:val="22"/>
          <w:szCs w:val="22"/>
        </w:rPr>
        <w:t xml:space="preserve">Kileleshwa, Nairobi</w:t>
      </w:r>
    </w:p>
    <w:p>
      <w:pPr>
        <w:spacing w:after="80"/>
      </w:pPr>
      <w:r>
        <w:rPr>
          <w:b/>
          <w:bCs/>
          <w:color w:val="0F172A"/>
          <w:sz w:val="22"/>
          <w:szCs w:val="22"/>
        </w:rPr>
        <w:t xml:space="preserve">National ID / Company Reg. No.: </w:t>
      </w:r>
      <w:r>
        <w:rPr>
          <w:color w:val="0F172A"/>
          <w:sz w:val="22"/>
          <w:szCs w:val="22"/>
        </w:rPr>
        <w:t xml:space="preserve">29****41</w:t>
      </w:r>
    </w:p>
    <w:p>
      <w:pPr>
        <w:spacing w:after="160"/>
      </w:pPr>
      <w:r>
        <w:rPr>
          <w:color w:val="0F172A"/>
          <w:sz w:val="22"/>
          <w:szCs w:val="22"/>
        </w:rPr>
        <w:t xml:space="preserve">(hereinafter referred to as the “Landlord”)</w:t>
      </w:r>
    </w:p>
    <w:p>
      <w:pPr>
        <w:spacing w:after="160"/>
      </w:pPr>
      <w:r>
        <w:rPr>
          <w:b/>
          <w:bCs/>
          <w:color w:val="0F172A"/>
          <w:sz w:val="22"/>
          <w:szCs w:val="22"/>
        </w:rPr>
        <w:t xml:space="preserve">AND</w:t>
      </w:r>
    </w:p>
    <w:p>
      <w:pPr>
        <w:spacing w:after="80"/>
      </w:pPr>
      <w:r>
        <w:rPr>
          <w:b/>
          <w:bCs/>
          <w:color w:val="0F172A"/>
          <w:sz w:val="22"/>
          <w:szCs w:val="22"/>
        </w:rPr>
        <w:t xml:space="preserve">Tenant: </w:t>
      </w:r>
      <w:r>
        <w:rPr>
          <w:color w:val="0F172A"/>
          <w:sz w:val="22"/>
          <w:szCs w:val="22"/>
        </w:rPr>
        <w:t xml:space="preserve">Brian Mwangi</w:t>
      </w:r>
    </w:p>
    <w:p>
      <w:pPr>
        <w:spacing w:after="80"/>
      </w:pPr>
      <w:r>
        <w:rPr>
          <w:b/>
          <w:bCs/>
          <w:color w:val="0F172A"/>
          <w:sz w:val="22"/>
          <w:szCs w:val="22"/>
        </w:rPr>
        <w:t xml:space="preserve">National ID No.: </w:t>
      </w:r>
      <w:r>
        <w:rPr>
          <w:color w:val="0F172A"/>
          <w:sz w:val="22"/>
          <w:szCs w:val="22"/>
        </w:rPr>
        <w:t xml:space="preserve">35****88</w:t>
      </w:r>
    </w:p>
    <w:p>
      <w:pPr>
        <w:spacing w:after="80"/>
      </w:pPr>
      <w:r>
        <w:rPr>
          <w:b/>
          <w:bCs/>
          <w:color w:val="0F172A"/>
          <w:sz w:val="22"/>
          <w:szCs w:val="22"/>
        </w:rPr>
        <w:t xml:space="preserve">Telephone: </w:t>
      </w:r>
      <w:r>
        <w:rPr>
          <w:color w:val="0F172A"/>
          <w:sz w:val="22"/>
          <w:szCs w:val="22"/>
        </w:rPr>
        <w:t xml:space="preserve">07XX XXX XXX</w:t>
      </w:r>
    </w:p>
    <w:p>
      <w:pPr>
        <w:spacing w:after="240"/>
      </w:pPr>
      <w:r>
        <w:rPr>
          <w:color w:val="0F172A"/>
          <w:sz w:val="22"/>
          <w:szCs w:val="22"/>
        </w:rPr>
        <w:t xml:space="preserve">(hereinafter referred to as the “Tenant”)</w:t>
      </w:r>
    </w:p>
    <w:p>
      <w:pPr>
        <w:pStyle w:val="Heading2"/>
        <w:spacing w:after="120" w:before="280"/>
      </w:pPr>
      <w:r>
        <w:rPr>
          <w:b/>
          <w:bCs/>
          <w:color w:val="0F172A"/>
          <w:sz w:val="24"/>
          <w:szCs w:val="24"/>
        </w:rPr>
        <w:t xml:space="preserve">1. THE PREMISES</w:t>
      </w:r>
    </w:p>
    <w:p>
      <w:pPr>
        <w:spacing w:after="120"/>
        <w:ind w:left="720" w:hanging="720"/>
      </w:pPr>
      <w:r>
        <w:rPr>
          <w:b/>
          <w:bCs/>
          <w:color w:val="0F172A"/>
          <w:sz w:val="21"/>
          <w:szCs w:val="21"/>
        </w:rPr>
        <w:t xml:space="preserve">1.1  </w:t>
      </w:r>
      <w:r>
        <w:rPr>
          <w:color w:val="0F172A"/>
          <w:sz w:val="21"/>
          <w:szCs w:val="21"/>
        </w:rPr>
        <w:t xml:space="preserve">The Landlord lets to the Tenant the residential premises known as Apartment 4B, Riverside Court, situated at Riverside Court, Riverside Drive, Nairobi, together with all fixtures, fittings, appliances and appurtenances supplied at the date of handover.</w:t>
      </w:r>
    </w:p>
    <w:p>
      <w:pPr>
        <w:spacing w:after="120"/>
        <w:ind w:left="720" w:hanging="720"/>
      </w:pPr>
      <w:r>
        <w:rPr>
          <w:b/>
          <w:bCs/>
          <w:color w:val="0F172A"/>
          <w:sz w:val="21"/>
          <w:szCs w:val="21"/>
        </w:rPr>
        <w:t xml:space="preserve">1.2  </w:t>
      </w:r>
      <w:r>
        <w:rPr>
          <w:color w:val="0F172A"/>
          <w:sz w:val="21"/>
          <w:szCs w:val="21"/>
        </w:rPr>
        <w:t xml:space="preserve">The premises are let for residential occupation only. Brian Mwangi accepts the premises in the condition recorded in the signed move-in condition report, which forms part of this Agreement.</w:t>
      </w:r>
    </w:p>
    <w:p>
      <w:pPr>
        <w:spacing w:after="120"/>
        <w:ind w:left="720" w:hanging="720"/>
      </w:pPr>
      <w:r>
        <w:rPr>
          <w:b/>
          <w:bCs/>
          <w:color w:val="0F172A"/>
          <w:sz w:val="21"/>
          <w:szCs w:val="21"/>
        </w:rPr>
        <w:t xml:space="preserve">1.3  </w:t>
      </w:r>
      <w:r>
        <w:rPr>
          <w:color w:val="0F172A"/>
          <w:sz w:val="21"/>
          <w:szCs w:val="21"/>
        </w:rPr>
        <w:t xml:space="preserve">The Landlord confirms that the Landlord has full legal authority to let these premises and that no other person holds a conflicting right to possession.</w:t>
      </w:r>
    </w:p>
    <w:p>
      <w:pPr>
        <w:pStyle w:val="Heading2"/>
        <w:spacing w:after="120" w:before="280"/>
      </w:pPr>
      <w:r>
        <w:rPr>
          <w:b/>
          <w:bCs/>
          <w:color w:val="0F172A"/>
          <w:sz w:val="24"/>
          <w:szCs w:val="24"/>
        </w:rPr>
        <w:t xml:space="preserve">2. TERM</w:t>
      </w:r>
    </w:p>
    <w:p>
      <w:pPr>
        <w:spacing w:after="80"/>
      </w:pPr>
      <w:r>
        <w:rPr>
          <w:b/>
          <w:bCs/>
          <w:color w:val="0F172A"/>
          <w:sz w:val="22"/>
          <w:szCs w:val="22"/>
        </w:rPr>
        <w:t xml:space="preserve">Commencement date: </w:t>
      </w:r>
      <w:r>
        <w:rPr>
          <w:color w:val="0F172A"/>
          <w:sz w:val="22"/>
          <w:szCs w:val="22"/>
        </w:rPr>
        <w:t xml:space="preserve">1 March 2026</w:t>
      </w:r>
    </w:p>
    <w:p>
      <w:pPr>
        <w:spacing w:after="80"/>
      </w:pPr>
      <w:r>
        <w:rPr>
          <w:b/>
          <w:bCs/>
          <w:color w:val="0F172A"/>
          <w:sz w:val="22"/>
          <w:szCs w:val="22"/>
        </w:rPr>
        <w:t xml:space="preserve">Expiry date: </w:t>
      </w:r>
      <w:r>
        <w:rPr>
          <w:color w:val="0F172A"/>
          <w:sz w:val="22"/>
          <w:szCs w:val="22"/>
        </w:rPr>
        <w:t xml:space="preserve">28 February 2027</w:t>
      </w:r>
    </w:p>
    <w:p>
      <w:pPr>
        <w:spacing w:after="120"/>
        <w:ind w:left="720" w:hanging="720"/>
      </w:pPr>
      <w:r>
        <w:rPr>
          <w:b/>
          <w:bCs/>
          <w:color w:val="0F172A"/>
          <w:sz w:val="21"/>
          <w:szCs w:val="21"/>
        </w:rPr>
        <w:t xml:space="preserve">2.1  </w:t>
      </w:r>
      <w:r>
        <w:rPr>
          <w:color w:val="0F172A"/>
          <w:sz w:val="21"/>
          <w:szCs w:val="21"/>
        </w:rPr>
        <w:t xml:space="preserve">The tenancy runs for the term stated above. Either party may terminate early only as provided in clause 12.</w:t>
      </w:r>
    </w:p>
    <w:p>
      <w:pPr>
        <w:spacing w:after="120"/>
        <w:ind w:left="720" w:hanging="720"/>
      </w:pPr>
      <w:r>
        <w:rPr>
          <w:b/>
          <w:bCs/>
          <w:color w:val="0F172A"/>
          <w:sz w:val="21"/>
          <w:szCs w:val="21"/>
        </w:rPr>
        <w:t xml:space="preserve">2.2  </w:t>
      </w:r>
      <w:r>
        <w:rPr>
          <w:color w:val="0F172A"/>
          <w:sz w:val="21"/>
          <w:szCs w:val="21"/>
        </w:rPr>
        <w:t xml:space="preserve">If the Tenant remains in occupation after the expiry date with the Landlord's consent, the tenancy becomes a periodic tenancy on the same period as the rent then being paid, and either party may end it by one period's written notice (Land Act, section 57).</w:t>
      </w:r>
    </w:p>
    <w:p>
      <w:pPr>
        <w:spacing w:after="120"/>
        <w:ind w:left="720" w:hanging="720"/>
      </w:pPr>
      <w:r>
        <w:rPr>
          <w:b/>
          <w:bCs/>
          <w:color w:val="0F172A"/>
          <w:sz w:val="21"/>
          <w:szCs w:val="21"/>
        </w:rPr>
        <w:t xml:space="preserve">2.3  </w:t>
      </w:r>
      <w:r>
        <w:rPr>
          <w:color w:val="0F172A"/>
          <w:sz w:val="21"/>
          <w:szCs w:val="21"/>
        </w:rPr>
        <w:t xml:space="preserve">The Tenant shall vacate and return the keys on the expiry date without further notice being required.</w:t>
      </w:r>
    </w:p>
    <w:p>
      <w:pPr>
        <w:pStyle w:val="Heading2"/>
        <w:spacing w:after="120" w:before="280"/>
      </w:pPr>
      <w:r>
        <w:rPr>
          <w:b/>
          <w:bCs/>
          <w:color w:val="0F172A"/>
          <w:sz w:val="24"/>
          <w:szCs w:val="24"/>
        </w:rPr>
        <w:t xml:space="preserve">3. RENT AND PAYMENT</w:t>
      </w:r>
    </w:p>
    <w:p>
      <w:pPr>
        <w:spacing w:after="80"/>
      </w:pPr>
      <w:r>
        <w:rPr>
          <w:b/>
          <w:bCs/>
          <w:color w:val="0F172A"/>
          <w:sz w:val="22"/>
          <w:szCs w:val="22"/>
        </w:rPr>
        <w:t xml:space="preserve">Monthly rent: </w:t>
      </w:r>
      <w:r>
        <w:rPr>
          <w:color w:val="0F172A"/>
          <w:sz w:val="22"/>
          <w:szCs w:val="22"/>
        </w:rPr>
        <w:t xml:space="preserve">KES 85,000</w:t>
      </w:r>
    </w:p>
    <w:p>
      <w:pPr>
        <w:spacing w:after="80"/>
      </w:pPr>
      <w:r>
        <w:rPr>
          <w:b/>
          <w:bCs/>
          <w:color w:val="0F172A"/>
          <w:sz w:val="22"/>
          <w:szCs w:val="22"/>
        </w:rPr>
        <w:t xml:space="preserve">Due date: </w:t>
      </w:r>
      <w:r>
        <w:rPr>
          <w:color w:val="0F172A"/>
          <w:sz w:val="22"/>
          <w:szCs w:val="22"/>
        </w:rPr>
        <w:t xml:space="preserve">1st day of each calendar month</w:t>
      </w:r>
    </w:p>
    <w:p>
      <w:pPr>
        <w:spacing w:after="80"/>
      </w:pPr>
      <w:r>
        <w:rPr>
          <w:b/>
          <w:bCs/>
          <w:color w:val="0F172A"/>
          <w:sz w:val="22"/>
          <w:szCs w:val="22"/>
        </w:rPr>
        <w:t xml:space="preserve">Payable to: </w:t>
      </w:r>
      <w:r>
        <w:rPr>
          <w:color w:val="0F172A"/>
          <w:sz w:val="22"/>
          <w:szCs w:val="22"/>
        </w:rPr>
        <w:t xml:space="preserve">M-Pesa paybill / bank account stated in the handover record</w:t>
      </w:r>
    </w:p>
    <w:p>
      <w:pPr>
        <w:spacing w:after="120"/>
        <w:ind w:left="720" w:hanging="720"/>
      </w:pPr>
      <w:r>
        <w:rPr>
          <w:b/>
          <w:bCs/>
          <w:color w:val="0F172A"/>
          <w:sz w:val="21"/>
          <w:szCs w:val="21"/>
        </w:rPr>
        <w:t xml:space="preserve">3.1  </w:t>
      </w:r>
      <w:r>
        <w:rPr>
          <w:color w:val="0F172A"/>
          <w:sz w:val="21"/>
          <w:szCs w:val="21"/>
        </w:rPr>
        <w:t xml:space="preserve">Rent shall be paid in full and in advance on or before the due date.</w:t>
      </w:r>
    </w:p>
    <w:p>
      <w:pPr>
        <w:spacing w:after="120"/>
        <w:ind w:left="720" w:hanging="720"/>
      </w:pPr>
      <w:r>
        <w:rPr>
          <w:b/>
          <w:bCs/>
          <w:color w:val="0F172A"/>
          <w:sz w:val="21"/>
          <w:szCs w:val="21"/>
        </w:rPr>
        <w:t xml:space="preserve">3.2  </w:t>
      </w:r>
      <w:r>
        <w:rPr>
          <w:color w:val="0F172A"/>
          <w:sz w:val="21"/>
          <w:szCs w:val="21"/>
        </w:rPr>
        <w:t xml:space="preserve">Payment is treated as made on the date the funds are received, not the date the Tenant initiates them. The Landlord shall issue a receipt for every payment received.</w:t>
      </w:r>
    </w:p>
    <w:p>
      <w:pPr>
        <w:spacing w:after="120"/>
        <w:ind w:left="720" w:hanging="720"/>
      </w:pPr>
      <w:r>
        <w:rPr>
          <w:b/>
          <w:bCs/>
          <w:color w:val="0F172A"/>
          <w:sz w:val="21"/>
          <w:szCs w:val="21"/>
        </w:rPr>
        <w:t xml:space="preserve">3.3  </w:t>
      </w:r>
      <w:r>
        <w:rPr>
          <w:color w:val="0F172A"/>
          <w:sz w:val="21"/>
          <w:szCs w:val="21"/>
        </w:rPr>
        <w:t xml:space="preserve">Where rent remains unpaid 14 days after the due date, the Landlord may recover the actual cost of financing the shortfall. The Landlord agrees to keep a record of that cost and to provide it to the Tenant on request. This clause does not authorise any penalty, fine or charge that a tribunal would regard as punitive.</w:t>
      </w:r>
    </w:p>
    <w:p>
      <w:pPr>
        <w:spacing w:after="120"/>
      </w:pPr>
      <w:r>
        <w:rPr>
          <w:i/>
          <w:iCs/>
          <w:color w:val="64748B"/>
          <w:sz w:val="18"/>
          <w:szCs w:val="18"/>
        </w:rPr>
        <w:t xml:space="preserve">Flat late fees of the kind once common in Kenyan leases have been struck down by tribunals as unlawful and punitive. Tribunal Reference E153 of 2023 is the leading example. This clause is drafted to stay on the right side of that line.</w:t>
      </w:r>
    </w:p>
    <w:p>
      <w:pPr>
        <w:pStyle w:val="Heading2"/>
        <w:spacing w:after="120" w:before="280"/>
      </w:pPr>
      <w:r>
        <w:rPr>
          <w:b/>
          <w:bCs/>
          <w:color w:val="0F172A"/>
          <w:sz w:val="24"/>
          <w:szCs w:val="24"/>
        </w:rPr>
        <w:t xml:space="preserve">4. SECURITY DEPOSIT</w:t>
      </w:r>
    </w:p>
    <w:p>
      <w:pPr>
        <w:spacing w:after="80"/>
      </w:pPr>
      <w:r>
        <w:rPr>
          <w:b/>
          <w:bCs/>
          <w:color w:val="0F172A"/>
          <w:sz w:val="22"/>
          <w:szCs w:val="22"/>
        </w:rPr>
        <w:t xml:space="preserve">Deposit taken: </w:t>
      </w:r>
      <w:r>
        <w:rPr>
          <w:color w:val="0F172A"/>
          <w:sz w:val="22"/>
          <w:szCs w:val="22"/>
        </w:rPr>
        <w:t xml:space="preserve">KES 170,000</w:t>
      </w:r>
    </w:p>
    <w:p>
      <w:pPr>
        <w:spacing w:after="120"/>
        <w:ind w:left="720" w:hanging="720"/>
      </w:pPr>
      <w:r>
        <w:rPr>
          <w:b/>
          <w:bCs/>
          <w:color w:val="0F172A"/>
          <w:sz w:val="21"/>
          <w:szCs w:val="21"/>
        </w:rPr>
        <w:t xml:space="preserve">4.1  </w:t>
      </w:r>
      <w:r>
        <w:rPr>
          <w:color w:val="0F172A"/>
          <w:sz w:val="21"/>
          <w:szCs w:val="21"/>
        </w:rPr>
        <w:t xml:space="preserve">The Tenant has paid a security deposit of KES 170,000. The deposit is held as security for the Tenant's performance of this Agreement. It is not advance rent and does not discharge the first month's rent.</w:t>
      </w:r>
    </w:p>
    <w:p>
      <w:pPr>
        <w:spacing w:after="120"/>
        <w:ind w:left="720" w:hanging="720"/>
      </w:pPr>
      <w:r>
        <w:rPr>
          <w:b/>
          <w:bCs/>
          <w:color w:val="0F172A"/>
          <w:sz w:val="21"/>
          <w:szCs w:val="21"/>
        </w:rPr>
        <w:t xml:space="preserve">4.2  </w:t>
      </w:r>
      <w:r>
        <w:rPr>
          <w:color w:val="0F172A"/>
          <w:sz w:val="21"/>
          <w:szCs w:val="21"/>
        </w:rPr>
        <w:t xml:space="preserve">No interest accrues on the deposit in the Landlord's favour.</w:t>
      </w:r>
    </w:p>
    <w:p>
      <w:pPr>
        <w:spacing w:after="120"/>
        <w:ind w:left="720" w:hanging="720"/>
      </w:pPr>
      <w:r>
        <w:rPr>
          <w:b/>
          <w:bCs/>
          <w:color w:val="0F172A"/>
          <w:sz w:val="21"/>
          <w:szCs w:val="21"/>
        </w:rPr>
        <w:t xml:space="preserve">4.3  </w:t>
      </w:r>
      <w:r>
        <w:rPr>
          <w:color w:val="0F172A"/>
          <w:sz w:val="21"/>
          <w:szCs w:val="21"/>
        </w:rPr>
        <w:t xml:space="preserve">The Landlord may deduct from the deposit only for: (a) rent properly due and unpaid; (b) utility charges outstanding and evidenced by a bill or M-Pesa statement; and (c) damage beyond fair wear and tear, supported by a before-and-after comparison against the move-in condition report.</w:t>
      </w:r>
    </w:p>
    <w:p>
      <w:pPr>
        <w:spacing w:after="120"/>
        <w:ind w:left="720" w:hanging="720"/>
      </w:pPr>
      <w:r>
        <w:rPr>
          <w:b/>
          <w:bCs/>
          <w:color w:val="0F172A"/>
          <w:sz w:val="21"/>
          <w:szCs w:val="21"/>
        </w:rPr>
        <w:t xml:space="preserve">4.4  </w:t>
      </w:r>
      <w:r>
        <w:rPr>
          <w:color w:val="0F172A"/>
          <w:sz w:val="21"/>
          <w:szCs w:val="21"/>
        </w:rPr>
        <w:t xml:space="preserve">The balance, if any, shall be refunded within 30 days of the Tenant vacating and returning the keys, together with a written itemised statement of any deductions and supporting evidence. Fair wear and tear — faded paint, worn flooring from normal use, minor scuffing — is not chargeable.</w:t>
      </w:r>
    </w:p>
    <w:p>
      <w:pPr>
        <w:spacing w:after="120"/>
      </w:pPr>
      <w:r>
        <w:rPr>
          <w:i/>
          <w:iCs/>
          <w:color w:val="64748B"/>
          <w:sz w:val="18"/>
          <w:szCs w:val="18"/>
        </w:rPr>
        <w:t xml:space="preserve">Kenyan law sets no statutory maximum for a residential security deposit; one to two months' rent is normal practice, and a deposit far beyond that risks being challenged as unconscionable. Record the amount actually taken.</w:t>
      </w:r>
    </w:p>
    <w:p>
      <w:pPr>
        <w:pStyle w:val="Heading2"/>
        <w:spacing w:after="120" w:before="280"/>
      </w:pPr>
      <w:r>
        <w:rPr>
          <w:b/>
          <w:bCs/>
          <w:color w:val="0F172A"/>
          <w:sz w:val="24"/>
          <w:szCs w:val="24"/>
        </w:rPr>
        <w:t xml:space="preserve">5. RATES, UTILITIES AND SERVICES</w:t>
      </w:r>
    </w:p>
    <w:p>
      <w:pPr>
        <w:spacing w:after="120"/>
        <w:ind w:left="720" w:hanging="720"/>
      </w:pPr>
      <w:r>
        <w:rPr>
          <w:b/>
          <w:bCs/>
          <w:color w:val="0F172A"/>
          <w:sz w:val="21"/>
          <w:szCs w:val="21"/>
        </w:rPr>
        <w:t xml:space="preserve">5.1  </w:t>
      </w:r>
      <w:r>
        <w:rPr>
          <w:color w:val="0F172A"/>
          <w:sz w:val="21"/>
          <w:szCs w:val="21"/>
        </w:rPr>
        <w:t xml:space="preserve">The Tenant is responsible for electricity, water, gas, internet, refuse collection, and any other charge arising from the Tenant's own consumption at the premises.</w:t>
      </w:r>
    </w:p>
    <w:p>
      <w:pPr>
        <w:spacing w:after="120"/>
        <w:ind w:left="720" w:hanging="720"/>
      </w:pPr>
      <w:r>
        <w:rPr>
          <w:b/>
          <w:bCs/>
          <w:color w:val="0F172A"/>
          <w:sz w:val="21"/>
          <w:szCs w:val="21"/>
        </w:rPr>
        <w:t xml:space="preserve">5.2  </w:t>
      </w:r>
      <w:r>
        <w:rPr>
          <w:color w:val="0F172A"/>
          <w:sz w:val="21"/>
          <w:szCs w:val="21"/>
        </w:rPr>
        <w:t xml:space="preserve">The Landlord is responsible for property rates, water bills charged to the landlord's account, and any building-wide service levies agreed with the Landlord in writing.</w:t>
      </w:r>
    </w:p>
    <w:p>
      <w:pPr>
        <w:spacing w:after="120"/>
        <w:ind w:left="720" w:hanging="720"/>
      </w:pPr>
      <w:r>
        <w:rPr>
          <w:b/>
          <w:bCs/>
          <w:color w:val="0F172A"/>
          <w:sz w:val="21"/>
          <w:szCs w:val="21"/>
        </w:rPr>
        <w:t xml:space="preserve">5.3  </w:t>
      </w:r>
      <w:r>
        <w:rPr>
          <w:color w:val="0F172A"/>
          <w:sz w:val="21"/>
          <w:szCs w:val="21"/>
        </w:rPr>
        <w:t xml:space="preserve">The Landlord shall not disconnect or withhold water, electricity, lighting, refuse collection or any other service in order to compel the Tenant to pay, leave, or accept a higher rent. It is unlawful for a landlord to do so, and it is a criminal offence to deprive a tenant of a service except with the leave of the Tribunal.</w:t>
      </w:r>
    </w:p>
    <w:p>
      <w:pPr>
        <w:spacing w:after="120"/>
        <w:ind w:left="720" w:hanging="720"/>
      </w:pPr>
      <w:r>
        <w:rPr>
          <w:b/>
          <w:bCs/>
          <w:color w:val="0F172A"/>
          <w:sz w:val="21"/>
          <w:szCs w:val="21"/>
        </w:rPr>
        <w:t xml:space="preserve">5.4  </w:t>
      </w:r>
      <w:r>
        <w:rPr>
          <w:color w:val="0F172A"/>
          <w:sz w:val="21"/>
          <w:szCs w:val="21"/>
        </w:rPr>
        <w:t xml:space="preserve">The Tenant shall not tamper with, or permit the tampering with, any utility meter.</w:t>
      </w:r>
    </w:p>
    <w:p>
      <w:pPr>
        <w:pStyle w:val="Heading2"/>
        <w:spacing w:after="120" w:before="280"/>
      </w:pPr>
      <w:r>
        <w:rPr>
          <w:b/>
          <w:bCs/>
          <w:color w:val="0F172A"/>
          <w:sz w:val="24"/>
          <w:szCs w:val="24"/>
        </w:rPr>
        <w:t xml:space="preserve">6. REPAIRS AND MAINTENANCE</w:t>
      </w:r>
    </w:p>
    <w:p>
      <w:pPr>
        <w:spacing w:after="120"/>
        <w:ind w:left="720" w:hanging="720"/>
      </w:pPr>
      <w:r>
        <w:rPr>
          <w:b/>
          <w:bCs/>
          <w:color w:val="0F172A"/>
          <w:sz w:val="21"/>
          <w:szCs w:val="21"/>
        </w:rPr>
        <w:t xml:space="preserve">6.1  </w:t>
      </w:r>
      <w:r>
        <w:rPr>
          <w:color w:val="0F172A"/>
          <w:sz w:val="21"/>
          <w:szCs w:val="21"/>
        </w:rPr>
        <w:t xml:space="preserve">The Landlord shall keep in good repair the structure and exterior of the premises, including the roof, walls, ceiling, floor structure, drainage, gutters, and the main services of water, electricity and sanitation, and shall remedy defects within a reasonable time of becoming aware of them.</w:t>
      </w:r>
    </w:p>
    <w:p>
      <w:pPr>
        <w:spacing w:after="120"/>
        <w:ind w:left="720" w:hanging="720"/>
      </w:pPr>
      <w:r>
        <w:rPr>
          <w:b/>
          <w:bCs/>
          <w:color w:val="0F172A"/>
          <w:sz w:val="21"/>
          <w:szCs w:val="21"/>
        </w:rPr>
        <w:t xml:space="preserve">6.2  </w:t>
      </w:r>
      <w:r>
        <w:rPr>
          <w:color w:val="0F172A"/>
          <w:sz w:val="21"/>
          <w:szCs w:val="21"/>
        </w:rPr>
        <w:t xml:space="preserve">The Tenant shall keep the interior of the premises in a clean, sanitary and good condition, including the garden and any parking area, and shall be responsible for minor repairs, replacement of bulbs and consumables, and for clearing blockages caused by the Tenant's own use.</w:t>
      </w:r>
    </w:p>
    <w:p>
      <w:pPr>
        <w:spacing w:after="120"/>
        <w:ind w:left="720" w:hanging="720"/>
      </w:pPr>
      <w:r>
        <w:rPr>
          <w:b/>
          <w:bCs/>
          <w:color w:val="0F172A"/>
          <w:sz w:val="21"/>
          <w:szCs w:val="21"/>
        </w:rPr>
        <w:t xml:space="preserve">6.3  </w:t>
      </w:r>
      <w:r>
        <w:rPr>
          <w:color w:val="0F172A"/>
          <w:sz w:val="21"/>
          <w:szCs w:val="21"/>
        </w:rPr>
        <w:t xml:space="preserve">The Tenant shall report any defect to the Landlord in writing, through the PropDesk Africa maintenance request or by any written means, as soon as reasonably practicable and in any event within 48 hours of becoming aware of it. A claim for costs arising from a defect that was not reported within that window may be resisted.</w:t>
      </w:r>
    </w:p>
    <w:p>
      <w:pPr>
        <w:spacing w:after="120"/>
        <w:ind w:left="720" w:hanging="720"/>
      </w:pPr>
      <w:r>
        <w:rPr>
          <w:b/>
          <w:bCs/>
          <w:color w:val="0F172A"/>
          <w:sz w:val="21"/>
          <w:szCs w:val="21"/>
        </w:rPr>
        <w:t xml:space="preserve">6.4  </w:t>
      </w:r>
      <w:r>
        <w:rPr>
          <w:color w:val="0F172A"/>
          <w:sz w:val="21"/>
          <w:szCs w:val="21"/>
        </w:rPr>
        <w:t xml:space="preserve">Where a defect threatens health or safety — a burst pipe, an exposed live cable, a failed lock — the Tenant shall report it immediately by telephone as well as in writing.</w:t>
      </w:r>
    </w:p>
    <w:p>
      <w:pPr>
        <w:pStyle w:val="Heading2"/>
        <w:spacing w:after="120" w:before="280"/>
      </w:pPr>
      <w:r>
        <w:rPr>
          <w:b/>
          <w:bCs/>
          <w:color w:val="0F172A"/>
          <w:sz w:val="24"/>
          <w:szCs w:val="24"/>
        </w:rPr>
        <w:t xml:space="preserve">7. LANDLORD'S UNDERTAKINGS</w:t>
      </w:r>
    </w:p>
    <w:p>
      <w:pPr>
        <w:spacing w:after="120"/>
        <w:ind w:left="720" w:hanging="720"/>
      </w:pPr>
      <w:r>
        <w:rPr>
          <w:b/>
          <w:bCs/>
          <w:color w:val="0F172A"/>
          <w:sz w:val="21"/>
          <w:szCs w:val="21"/>
        </w:rPr>
        <w:t xml:space="preserve">7.1  </w:t>
      </w:r>
      <w:r>
        <w:rPr>
          <w:color w:val="0F172A"/>
          <w:sz w:val="21"/>
          <w:szCs w:val="21"/>
        </w:rPr>
        <w:t xml:space="preserve">The Landlord shall not enter the premises without the Tenant's consent, except where the Tenant has previously agreed in writing to scheduled access, or where there is a genuine emergency such as fire, flooding or an immediate risk to life or property. Except in an emergency, the Landlord shall give at least 24 hours' written notice of any inspection or visit.</w:t>
      </w:r>
    </w:p>
    <w:p>
      <w:pPr>
        <w:spacing w:after="120"/>
        <w:ind w:left="720" w:hanging="720"/>
      </w:pPr>
      <w:r>
        <w:rPr>
          <w:b/>
          <w:bCs/>
          <w:color w:val="0F172A"/>
          <w:sz w:val="21"/>
          <w:szCs w:val="21"/>
        </w:rPr>
        <w:t xml:space="preserve">7.2  </w:t>
      </w:r>
      <w:r>
        <w:rPr>
          <w:color w:val="0F172A"/>
          <w:sz w:val="21"/>
          <w:szCs w:val="21"/>
        </w:rPr>
        <w:t xml:space="preserve">The Tenant shall enjoy quiet enjoyment of the premises. The Landlord shall not harass, intimidate, or repeatedly contact the Tenant with the intention of compelling the Tenant to vacate or to pay a higher rent.</w:t>
      </w:r>
    </w:p>
    <w:p>
      <w:pPr>
        <w:spacing w:after="120"/>
        <w:ind w:left="720" w:hanging="720"/>
      </w:pPr>
      <w:r>
        <w:rPr>
          <w:b/>
          <w:bCs/>
          <w:color w:val="0F172A"/>
          <w:sz w:val="21"/>
          <w:szCs w:val="21"/>
        </w:rPr>
        <w:t xml:space="preserve">7.3  </w:t>
      </w:r>
      <w:r>
        <w:rPr>
          <w:color w:val="0F172A"/>
          <w:sz w:val="21"/>
          <w:szCs w:val="21"/>
        </w:rPr>
        <w:t xml:space="preserve">The Landlord shall not carry out works on the premises that unreasonably disturb the Tenant's occupation, and shall give reasonable notice of any planned works.</w:t>
      </w:r>
    </w:p>
    <w:p>
      <w:pPr>
        <w:pStyle w:val="Heading2"/>
        <w:spacing w:after="120" w:before="280"/>
      </w:pPr>
      <w:r>
        <w:rPr>
          <w:b/>
          <w:bCs/>
          <w:color w:val="0F172A"/>
          <w:sz w:val="24"/>
          <w:szCs w:val="24"/>
        </w:rPr>
        <w:t xml:space="preserve">8. THE TENANT'S UNDERTAKINGS</w:t>
      </w:r>
    </w:p>
    <w:p>
      <w:pPr>
        <w:spacing w:after="120"/>
        <w:ind w:left="720" w:hanging="720"/>
      </w:pPr>
      <w:r>
        <w:rPr>
          <w:b/>
          <w:bCs/>
          <w:color w:val="0F172A"/>
          <w:sz w:val="21"/>
          <w:szCs w:val="21"/>
        </w:rPr>
        <w:t xml:space="preserve">8.1  </w:t>
      </w:r>
      <w:r>
        <w:rPr>
          <w:color w:val="0F172A"/>
          <w:sz w:val="21"/>
          <w:szCs w:val="21"/>
        </w:rPr>
        <w:t xml:space="preserve">The Tenant shall use the premises as a private residence only. The Tenant shall not carry on any trade or business, keep any animal, or sublet, assign or part with the premises, without the Landlord's prior written consent.</w:t>
      </w:r>
    </w:p>
    <w:p>
      <w:pPr>
        <w:spacing w:after="120"/>
        <w:ind w:left="720" w:hanging="720"/>
      </w:pPr>
      <w:r>
        <w:rPr>
          <w:b/>
          <w:bCs/>
          <w:color w:val="0F172A"/>
          <w:sz w:val="21"/>
          <w:szCs w:val="21"/>
        </w:rPr>
        <w:t xml:space="preserve">8.2  </w:t>
      </w:r>
      <w:r>
        <w:rPr>
          <w:color w:val="0F172A"/>
          <w:sz w:val="21"/>
          <w:szCs w:val="21"/>
        </w:rPr>
        <w:t xml:space="preserve">The Tenant shall not do anything that causes a nuisance or annoyance to neighbouring occupiers, or that breaches any law, and shall comply with the terms of any applicable lease or estate management requirement.</w:t>
      </w:r>
    </w:p>
    <w:p>
      <w:pPr>
        <w:spacing w:after="120"/>
        <w:ind w:left="720" w:hanging="720"/>
      </w:pPr>
      <w:r>
        <w:rPr>
          <w:b/>
          <w:bCs/>
          <w:color w:val="0F172A"/>
          <w:sz w:val="21"/>
          <w:szCs w:val="21"/>
        </w:rPr>
        <w:t xml:space="preserve">8.3  </w:t>
      </w:r>
      <w:r>
        <w:rPr>
          <w:color w:val="0F172A"/>
          <w:sz w:val="21"/>
          <w:szCs w:val="21"/>
        </w:rPr>
        <w:t xml:space="preserve">The Tenant shall take reasonable care of the premises and its contents, and shall not cause or permit damage beyond ordinary use.</w:t>
      </w:r>
    </w:p>
    <w:p>
      <w:pPr>
        <w:pStyle w:val="Heading2"/>
        <w:spacing w:after="120" w:before="280"/>
      </w:pPr>
      <w:r>
        <w:rPr>
          <w:b/>
          <w:bCs/>
          <w:color w:val="0F172A"/>
          <w:sz w:val="24"/>
          <w:szCs w:val="24"/>
        </w:rPr>
        <w:t xml:space="preserve">9. INSURANCE AND SAFETY</w:t>
      </w:r>
    </w:p>
    <w:p>
      <w:pPr>
        <w:spacing w:after="120"/>
        <w:ind w:left="720" w:hanging="720"/>
      </w:pPr>
      <w:r>
        <w:rPr>
          <w:b/>
          <w:bCs/>
          <w:color w:val="0F172A"/>
          <w:sz w:val="21"/>
          <w:szCs w:val="21"/>
        </w:rPr>
        <w:t xml:space="preserve">9.1  </w:t>
      </w:r>
      <w:r>
        <w:rPr>
          <w:color w:val="0F172A"/>
          <w:sz w:val="21"/>
          <w:szCs w:val="21"/>
        </w:rPr>
        <w:t xml:space="preserve">The Tenant is strongly advised to maintain personal cover, and the Landlord is strongly advised to maintain buildings and contents cover, throughout the term.</w:t>
      </w:r>
    </w:p>
    <w:p>
      <w:pPr>
        <w:pStyle w:val="Heading2"/>
        <w:spacing w:after="120" w:before="280"/>
      </w:pPr>
      <w:r>
        <w:rPr>
          <w:b/>
          <w:bCs/>
          <w:color w:val="0F172A"/>
          <w:sz w:val="24"/>
          <w:szCs w:val="24"/>
        </w:rPr>
        <w:t xml:space="preserve">10. RENT REVIEW</w:t>
      </w:r>
    </w:p>
    <w:p>
      <w:pPr>
        <w:spacing w:after="120"/>
        <w:ind w:left="720" w:hanging="720"/>
      </w:pPr>
      <w:r>
        <w:rPr>
          <w:b/>
          <w:bCs/>
          <w:color w:val="0F172A"/>
          <w:sz w:val="21"/>
          <w:szCs w:val="21"/>
        </w:rPr>
        <w:t xml:space="preserve">10.1  </w:t>
      </w:r>
      <w:r>
        <w:rPr>
          <w:color w:val="0F172A"/>
          <w:sz w:val="21"/>
          <w:szCs w:val="21"/>
        </w:rPr>
        <w:t xml:space="preserve">The rent is fixed for the term stated in clause 2. The Landlord may review it once in any 12-month period, on not less than 30 days' written notice, and not during a fixed term unless this Agreement expressly allows it.</w:t>
      </w:r>
    </w:p>
    <w:p>
      <w:pPr>
        <w:spacing w:after="120"/>
        <w:ind w:left="720" w:hanging="720"/>
      </w:pPr>
      <w:r>
        <w:rPr>
          <w:b/>
          <w:bCs/>
          <w:color w:val="0F172A"/>
          <w:sz w:val="21"/>
          <w:szCs w:val="21"/>
        </w:rPr>
        <w:t xml:space="preserve">10.2  </w:t>
      </w:r>
      <w:r>
        <w:rPr>
          <w:color w:val="0F172A"/>
          <w:sz w:val="21"/>
          <w:szCs w:val="21"/>
        </w:rPr>
        <w:t xml:space="preserve">Where the premises are a controlled tenancy under the Rent Restriction Act, Cap 296, an increase is not due or recoverable until a valid written notice of intention to increase has been served on the Tenant, and the increase must be one the Act permits. Where the premises are not a controlled tenancy, this Agreement governs the review, subject to the principle that a tenant may challenge an increase that is unreasonable or unconscionable.</w:t>
      </w:r>
    </w:p>
    <w:p>
      <w:pPr>
        <w:spacing w:after="120"/>
        <w:ind w:left="720" w:hanging="720"/>
      </w:pPr>
      <w:r>
        <w:rPr>
          <w:b/>
          <w:bCs/>
          <w:color w:val="0F172A"/>
          <w:sz w:val="21"/>
          <w:szCs w:val="21"/>
        </w:rPr>
        <w:t xml:space="preserve">10.3  </w:t>
      </w:r>
      <w:r>
        <w:rPr>
          <w:color w:val="0F172A"/>
          <w:sz w:val="21"/>
          <w:szCs w:val="21"/>
        </w:rPr>
        <w:t xml:space="preserve">The Tenant may terminate on notice under clause 12 if the Tenant does not accept a proposed increase, and shall not be penalised for doing so.</w:t>
      </w:r>
    </w:p>
    <w:p>
      <w:pPr>
        <w:pStyle w:val="Heading2"/>
        <w:spacing w:after="120" w:before="280"/>
      </w:pPr>
      <w:r>
        <w:rPr>
          <w:b/>
          <w:bCs/>
          <w:color w:val="0F172A"/>
          <w:sz w:val="24"/>
          <w:szCs w:val="24"/>
        </w:rPr>
        <w:t xml:space="preserve">11. DEFAULT</w:t>
      </w:r>
    </w:p>
    <w:p>
      <w:pPr>
        <w:spacing w:after="120"/>
        <w:ind w:left="720" w:hanging="720"/>
      </w:pPr>
      <w:r>
        <w:rPr>
          <w:b/>
          <w:bCs/>
          <w:color w:val="0F172A"/>
          <w:sz w:val="21"/>
          <w:szCs w:val="21"/>
        </w:rPr>
        <w:t xml:space="preserve">11.1  </w:t>
      </w:r>
      <w:r>
        <w:rPr>
          <w:color w:val="0F172A"/>
          <w:sz w:val="21"/>
          <w:szCs w:val="21"/>
        </w:rPr>
        <w:t xml:space="preserve">If the Tenant fails to pay rent or materially breaches this Agreement, the Landlord shall first give written notice specifying the breach and requiring it to be remedied, and shall allow a reasonable time to remedy before taking any further step.</w:t>
      </w:r>
    </w:p>
    <w:p>
      <w:pPr>
        <w:spacing w:after="120"/>
        <w:ind w:left="720" w:hanging="720"/>
      </w:pPr>
      <w:r>
        <w:rPr>
          <w:b/>
          <w:bCs/>
          <w:color w:val="0F172A"/>
          <w:sz w:val="21"/>
          <w:szCs w:val="21"/>
        </w:rPr>
        <w:t xml:space="preserve">11.2  </w:t>
      </w:r>
      <w:r>
        <w:rPr>
          <w:color w:val="0F172A"/>
          <w:sz w:val="21"/>
          <w:szCs w:val="21"/>
        </w:rPr>
        <w:t xml:space="preserve">The Landlord shall recover possession of the premises only by an order of the Rent Restriction Tribunal or the court, executed by a bailiff. The Landlord shall not remove the Tenant, change the locks, or remove the Tenant's goods without such an order.</w:t>
      </w:r>
    </w:p>
    <w:p>
      <w:pPr>
        <w:spacing w:after="120"/>
        <w:ind w:left="720" w:hanging="720"/>
      </w:pPr>
      <w:r>
        <w:rPr>
          <w:b/>
          <w:bCs/>
          <w:color w:val="0F172A"/>
          <w:sz w:val="21"/>
          <w:szCs w:val="21"/>
        </w:rPr>
        <w:t xml:space="preserve">11.3  </w:t>
      </w:r>
      <w:r>
        <w:rPr>
          <w:color w:val="0F172A"/>
          <w:sz w:val="21"/>
          <w:szCs w:val="21"/>
        </w:rPr>
        <w:t xml:space="preserve">Distress for rent, where ordered, shall be levied only by a licensed auctioneer under the Distress for Rent Act, Cap 293, and never by the Landlord, the Landlord's agent or a caretaker.</w:t>
      </w:r>
    </w:p>
    <w:p>
      <w:pPr>
        <w:pStyle w:val="Heading2"/>
        <w:spacing w:after="120" w:before="280"/>
      </w:pPr>
      <w:r>
        <w:rPr>
          <w:b/>
          <w:bCs/>
          <w:color w:val="0F172A"/>
          <w:sz w:val="24"/>
          <w:szCs w:val="24"/>
        </w:rPr>
        <w:t xml:space="preserve">12. TERMINATION AND NOTICE</w:t>
      </w:r>
    </w:p>
    <w:p>
      <w:pPr>
        <w:spacing w:after="120"/>
        <w:ind w:left="720" w:hanging="720"/>
      </w:pPr>
      <w:r>
        <w:rPr>
          <w:b/>
          <w:bCs/>
          <w:color w:val="0F172A"/>
          <w:sz w:val="21"/>
          <w:szCs w:val="21"/>
        </w:rPr>
        <w:t xml:space="preserve">12.1  </w:t>
      </w:r>
      <w:r>
        <w:rPr>
          <w:color w:val="0F172A"/>
          <w:sz w:val="21"/>
          <w:szCs w:val="21"/>
        </w:rPr>
        <w:t xml:space="preserve">Either party may terminate a periodic tenancy by giving at least one calendar month's written notice, expiring at the end of a tenancy month. A shorter or longer period agreed in writing between the parties applies instead.</w:t>
      </w:r>
    </w:p>
    <w:p>
      <w:pPr>
        <w:spacing w:after="120"/>
        <w:ind w:left="720" w:hanging="720"/>
      </w:pPr>
      <w:r>
        <w:rPr>
          <w:b/>
          <w:bCs/>
          <w:color w:val="0F172A"/>
          <w:sz w:val="21"/>
          <w:szCs w:val="21"/>
        </w:rPr>
        <w:t xml:space="preserve">12.2  </w:t>
      </w:r>
      <w:r>
        <w:rPr>
          <w:color w:val="0F172A"/>
          <w:sz w:val="21"/>
          <w:szCs w:val="21"/>
        </w:rPr>
        <w:t xml:space="preserve">Every notice under this Agreement shall be in writing and shall be delivered by hand, by registered post, or by email to the address most recently notified, or to the address set out above. A notice is treated as given when delivered or, for email, when sent to the correct address without a delivery failure.</w:t>
      </w:r>
    </w:p>
    <w:p>
      <w:pPr>
        <w:spacing w:after="120"/>
        <w:ind w:left="720" w:hanging="720"/>
      </w:pPr>
      <w:r>
        <w:rPr>
          <w:b/>
          <w:bCs/>
          <w:color w:val="0F172A"/>
          <w:sz w:val="21"/>
          <w:szCs w:val="21"/>
        </w:rPr>
        <w:t xml:space="preserve">12.3  </w:t>
      </w:r>
      <w:r>
        <w:rPr>
          <w:color w:val="0F172A"/>
          <w:sz w:val="21"/>
          <w:szCs w:val="21"/>
        </w:rPr>
        <w:t xml:space="preserve">On termination the Tenant shall vacate, return all keys and access devices, leave the premises clean and in the condition recorded at move-in fair wear and tear excepted, and settle any rent, utility or damage charge lawfully due.</w:t>
      </w:r>
    </w:p>
    <w:p>
      <w:pPr>
        <w:spacing w:after="120"/>
        <w:ind w:left="720" w:hanging="720"/>
      </w:pPr>
      <w:r>
        <w:rPr>
          <w:b/>
          <w:bCs/>
          <w:color w:val="0F172A"/>
          <w:sz w:val="21"/>
          <w:szCs w:val="21"/>
        </w:rPr>
        <w:t xml:space="preserve">12.4  </w:t>
      </w:r>
      <w:r>
        <w:rPr>
          <w:color w:val="0F172A"/>
          <w:sz w:val="21"/>
          <w:szCs w:val="21"/>
        </w:rPr>
        <w:t xml:space="preserve">A Tenant who ends a fixed term early does so at the Tenant's own cost, save where the Landlord has consented in writing or the Agreement provides otherwise.</w:t>
      </w:r>
    </w:p>
    <w:p>
      <w:pPr>
        <w:pStyle w:val="Heading2"/>
        <w:spacing w:after="120" w:before="280"/>
      </w:pPr>
      <w:r>
        <w:rPr>
          <w:b/>
          <w:bCs/>
          <w:color w:val="0F172A"/>
          <w:sz w:val="24"/>
          <w:szCs w:val="24"/>
        </w:rPr>
        <w:t xml:space="preserve">13. DISPUTES</w:t>
      </w:r>
    </w:p>
    <w:p>
      <w:pPr>
        <w:spacing w:after="120"/>
        <w:ind w:left="720" w:hanging="720"/>
      </w:pPr>
      <w:r>
        <w:rPr>
          <w:b/>
          <w:bCs/>
          <w:color w:val="0F172A"/>
          <w:sz w:val="21"/>
          <w:szCs w:val="21"/>
        </w:rPr>
        <w:t xml:space="preserve">13.1  </w:t>
      </w:r>
      <w:r>
        <w:rPr>
          <w:color w:val="0F172A"/>
          <w:sz w:val="21"/>
          <w:szCs w:val="21"/>
        </w:rPr>
        <w:t xml:space="preserve">The parties shall first attempt to resolve any dispute between themselves in good faith, in writing.</w:t>
      </w:r>
    </w:p>
    <w:p>
      <w:pPr>
        <w:spacing w:after="120"/>
        <w:ind w:left="720" w:hanging="720"/>
      </w:pPr>
      <w:r>
        <w:rPr>
          <w:b/>
          <w:bCs/>
          <w:color w:val="0F172A"/>
          <w:sz w:val="21"/>
          <w:szCs w:val="21"/>
        </w:rPr>
        <w:t xml:space="preserve">13.2  </w:t>
      </w:r>
      <w:r>
        <w:rPr>
          <w:color w:val="0F172A"/>
          <w:sz w:val="21"/>
          <w:szCs w:val="21"/>
        </w:rPr>
        <w:t xml:space="preserve">A dispute arising out of a residential tenancy may be referred to the Rent Restriction Tribunal for the area where the premises are situated, or to the Small Claims Court where the claim is within its monetary jurisdiction. The Tribunal may require a copy of any notice of intended increase of rent.</w:t>
      </w:r>
    </w:p>
    <w:p>
      <w:pPr>
        <w:pStyle w:val="Heading2"/>
        <w:spacing w:after="120" w:before="280"/>
      </w:pPr>
      <w:r>
        <w:rPr>
          <w:b/>
          <w:bCs/>
          <w:color w:val="0F172A"/>
          <w:sz w:val="24"/>
          <w:szCs w:val="24"/>
        </w:rPr>
        <w:t xml:space="preserve">14. PERSONAL DATA</w:t>
      </w:r>
    </w:p>
    <w:p>
      <w:pPr>
        <w:spacing w:after="120"/>
        <w:ind w:left="720" w:hanging="720"/>
      </w:pPr>
      <w:r>
        <w:rPr>
          <w:b/>
          <w:bCs/>
          <w:color w:val="0F172A"/>
          <w:sz w:val="21"/>
          <w:szCs w:val="21"/>
        </w:rPr>
        <w:t xml:space="preserve">14.1  </w:t>
      </w:r>
      <w:r>
        <w:rPr>
          <w:color w:val="0F172A"/>
          <w:sz w:val="21"/>
          <w:szCs w:val="21"/>
        </w:rPr>
        <w:t xml:space="preserve">The parties acknowledge that the Landlord processes the Tenant's personal data, including the national ID number, name, telephone number and payment records, for the purposes of administering this tenancy, issuing receipts and keeping proof of payments.</w:t>
      </w:r>
    </w:p>
    <w:p>
      <w:pPr>
        <w:spacing w:after="120"/>
        <w:ind w:left="720" w:hanging="720"/>
      </w:pPr>
      <w:r>
        <w:rPr>
          <w:b/>
          <w:bCs/>
          <w:color w:val="0F172A"/>
          <w:sz w:val="21"/>
          <w:szCs w:val="21"/>
        </w:rPr>
        <w:t xml:space="preserve">14.2  </w:t>
      </w:r>
      <w:r>
        <w:rPr>
          <w:color w:val="0F172A"/>
          <w:sz w:val="21"/>
          <w:szCs w:val="21"/>
        </w:rPr>
        <w:t xml:space="preserve">The Landlord shall keep that data only as long as is reasonably necessary for those purposes, shall secure it against unauthorised access, and shall not disclose it to a third party except where required by law or necessary to enforce this Agreement.</w:t>
      </w:r>
    </w:p>
    <w:p>
      <w:pPr>
        <w:spacing w:after="120"/>
        <w:ind w:left="720" w:hanging="720"/>
      </w:pPr>
      <w:r>
        <w:rPr>
          <w:b/>
          <w:bCs/>
          <w:color w:val="0F172A"/>
          <w:sz w:val="21"/>
          <w:szCs w:val="21"/>
        </w:rPr>
        <w:t xml:space="preserve">14.3  </w:t>
      </w:r>
      <w:r>
        <w:rPr>
          <w:color w:val="0F172A"/>
          <w:sz w:val="21"/>
          <w:szCs w:val="21"/>
        </w:rPr>
        <w:t xml:space="preserve">The Tenant may ask the Landlord to confirm what personal data is held, to correct anything inaccurate, and to delete or anonymise it once it is no longer necessary, in accordance with the Data Protection Act, 2019.</w:t>
      </w:r>
    </w:p>
    <w:p>
      <w:pPr>
        <w:pStyle w:val="Heading2"/>
        <w:spacing w:after="120" w:before="280"/>
      </w:pPr>
      <w:r>
        <w:rPr>
          <w:b/>
          <w:bCs/>
          <w:color w:val="0F172A"/>
          <w:sz w:val="24"/>
          <w:szCs w:val="24"/>
        </w:rPr>
        <w:t xml:space="preserve">15. GENERAL</w:t>
      </w:r>
    </w:p>
    <w:p>
      <w:pPr>
        <w:spacing w:after="120"/>
        <w:ind w:left="720" w:hanging="720"/>
      </w:pPr>
      <w:r>
        <w:rPr>
          <w:b/>
          <w:bCs/>
          <w:color w:val="0F172A"/>
          <w:sz w:val="21"/>
          <w:szCs w:val="21"/>
        </w:rPr>
        <w:t xml:space="preserve">15.1  </w:t>
      </w:r>
      <w:r>
        <w:rPr>
          <w:color w:val="0F172A"/>
          <w:sz w:val="21"/>
          <w:szCs w:val="21"/>
        </w:rPr>
        <w:t xml:space="preserve">This Agreement is the entire agreement between the parties and replaces any earlier discussion or arrangement.</w:t>
      </w:r>
    </w:p>
    <w:p>
      <w:pPr>
        <w:spacing w:after="120"/>
        <w:ind w:left="720" w:hanging="720"/>
      </w:pPr>
      <w:r>
        <w:rPr>
          <w:b/>
          <w:bCs/>
          <w:color w:val="0F172A"/>
          <w:sz w:val="21"/>
          <w:szCs w:val="21"/>
        </w:rPr>
        <w:t xml:space="preserve">15.2  </w:t>
      </w:r>
      <w:r>
        <w:rPr>
          <w:color w:val="0F172A"/>
          <w:sz w:val="21"/>
          <w:szCs w:val="21"/>
        </w:rPr>
        <w:t xml:space="preserve">No change to this Agreement is valid unless it is in writing and signed by both parties.</w:t>
      </w:r>
    </w:p>
    <w:p>
      <w:pPr>
        <w:spacing w:after="120"/>
        <w:ind w:left="720" w:hanging="720"/>
      </w:pPr>
      <w:r>
        <w:rPr>
          <w:b/>
          <w:bCs/>
          <w:color w:val="0F172A"/>
          <w:sz w:val="21"/>
          <w:szCs w:val="21"/>
        </w:rPr>
        <w:t xml:space="preserve">15.3  </w:t>
      </w:r>
      <w:r>
        <w:rPr>
          <w:color w:val="0F172A"/>
          <w:sz w:val="21"/>
          <w:szCs w:val="21"/>
        </w:rPr>
        <w:t xml:space="preserve">If any clause is held to be unenforceable, the remaining clauses continue in full force.</w:t>
      </w:r>
    </w:p>
    <w:p>
      <w:pPr>
        <w:spacing w:after="120"/>
        <w:ind w:left="720" w:hanging="720"/>
      </w:pPr>
      <w:r>
        <w:rPr>
          <w:b/>
          <w:bCs/>
          <w:color w:val="0F172A"/>
          <w:sz w:val="21"/>
          <w:szCs w:val="21"/>
        </w:rPr>
        <w:t xml:space="preserve">15.4  </w:t>
      </w:r>
      <w:r>
        <w:rPr>
          <w:color w:val="0F172A"/>
          <w:sz w:val="21"/>
          <w:szCs w:val="21"/>
        </w:rPr>
        <w:t xml:space="preserve">This Agreement is governed by the laws of the Republic of Kenya. For a residential tenancy the relevant sources are the Rent Restriction Act, Cap 296, the Law of Contract Act, Cap 23, the Distress for Rent Act, Cap 293, and the Land Act. The Landlord and Tenant (Shops, Hotels and Catering Establishments) Act, Cap 301, applies to shops, hotels and catering premises and not to this residential tenancy.</w:t>
      </w:r>
    </w:p>
    <w:p>
      <w:pPr>
        <w:pStyle w:val="Heading2"/>
        <w:spacing w:after="120" w:before="280"/>
      </w:pPr>
      <w:r>
        <w:rPr>
          <w:b/>
          <w:bCs/>
          <w:color w:val="0F172A"/>
          <w:sz w:val="24"/>
          <w:szCs w:val="24"/>
        </w:rPr>
        <w:t xml:space="preserve">16. SIGNATURES</w:t>
      </w:r>
    </w:p>
    <w:p>
      <w:pPr>
        <w:spacing w:after="200"/>
      </w:pPr>
      <w:r>
        <w:rPr>
          <w:color w:val="0F172A"/>
          <w:sz w:val="22"/>
          <w:szCs w:val="22"/>
        </w:rPr>
        <w:t xml:space="preserve">The parties have signed this Agreement on the dates written below.</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pct" w:w="2500"/>
          </w:tcPr>
          <w:p>
            <w:pPr>
              <w:spacing w:before="320"/>
            </w:pPr>
            <w:r>
              <w:rPr>
                <w:sz w:val="22"/>
                <w:szCs w:val="22"/>
              </w:rPr>
              <w:t xml:space="preserve">_______________________________</w:t>
            </w:r>
          </w:p>
          <w:p>
            <w:r>
              <w:rPr>
                <w:color w:val="64748B"/>
                <w:sz w:val="18"/>
                <w:szCs w:val="18"/>
              </w:rPr>
              <w:t xml:space="preserve">Landlord — signature and date</w:t>
            </w:r>
          </w:p>
        </w:tc>
        <w:tc>
          <w:tcPr>
            <w:tcW w:type="pct" w:w="2500"/>
          </w:tcPr>
          <w:p>
            <w:pPr>
              <w:spacing w:before="320"/>
            </w:pPr>
            <w:r>
              <w:rPr>
                <w:sz w:val="22"/>
                <w:szCs w:val="22"/>
              </w:rPr>
              <w:t xml:space="preserve">_______________________________</w:t>
            </w:r>
          </w:p>
          <w:p>
            <w:r>
              <w:rPr>
                <w:color w:val="64748B"/>
                <w:sz w:val="18"/>
                <w:szCs w:val="18"/>
              </w:rPr>
              <w:t xml:space="preserve">Tenant — signature and date</w:t>
            </w:r>
          </w:p>
        </w:tc>
      </w:tr>
    </w:tbl>
    <w:p>
      <w:pPr>
        <w:spacing w:after="240"/>
      </w:pPr>
      <w:r>
        <w:rPr>
          <w:color w:val="0F172A"/>
          <w:sz w:val="22"/>
          <w:szCs w:val="22"/>
        </w:rPr>
        <w:t xml:space="preserve"> </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pct" w:w="2500"/>
          </w:tcPr>
          <w:p>
            <w:pPr>
              <w:spacing w:before="320"/>
            </w:pPr>
            <w:r>
              <w:rPr>
                <w:sz w:val="22"/>
                <w:szCs w:val="22"/>
              </w:rPr>
              <w:t xml:space="preserve">_______________________________</w:t>
            </w:r>
          </w:p>
          <w:p>
            <w:r>
              <w:rPr>
                <w:color w:val="64748B"/>
                <w:sz w:val="18"/>
                <w:szCs w:val="18"/>
              </w:rPr>
              <w:t xml:space="preserve">Witness — name, signature and date</w:t>
            </w:r>
          </w:p>
        </w:tc>
        <w:tc>
          <w:tcPr>
            <w:tcW w:type="pct" w:w="2500"/>
          </w:tcPr>
          <w:p>
            <w:pPr>
              <w:spacing w:before="320"/>
            </w:pPr>
            <w:r>
              <w:rPr>
                <w:sz w:val="22"/>
                <w:szCs w:val="22"/>
              </w:rPr>
              <w:t xml:space="preserve">_______________________________</w:t>
            </w:r>
          </w:p>
          <w:p>
            <w:r>
              <w:rPr>
                <w:color w:val="64748B"/>
                <w:sz w:val="18"/>
                <w:szCs w:val="18"/>
              </w:rPr>
              <w:t xml:space="preserve">Witness — name, signature and date</w:t>
            </w:r>
          </w:p>
        </w:tc>
      </w:tr>
    </w:tbl>
    <w:p>
      <w:pPr>
        <w:pBdr>
          <w:top w:val="single" w:color="CBD5E1" w:sz="6" w:space="6"/>
        </w:pBdr>
        <w:spacing w:after="60" w:before="200"/>
      </w:pPr>
      <w:r>
        <w:rPr>
          <w:b/>
          <w:bCs/>
          <w:color w:val="0F172A"/>
          <w:sz w:val="20"/>
          <w:szCs w:val="20"/>
        </w:rPr>
        <w:t xml:space="preserve">BEFORE YOU SIGN</w:t>
      </w:r>
    </w:p>
    <w:p>
      <w:pPr>
        <w:spacing w:after="60"/>
      </w:pPr>
      <w:r>
        <w:rPr>
          <w:color w:val="64748B"/>
          <w:sz w:val="19"/>
          <w:szCs w:val="19"/>
        </w:rPr>
        <w:t xml:space="preserve">Attach the signed move-in condition report and dated photographs. They decide who pays for damage at the end of the term.</w:t>
      </w:r>
    </w:p>
    <w:p>
      <w:pPr>
        <w:spacing w:after="60"/>
      </w:pPr>
      <w:r>
        <w:rPr>
          <w:color w:val="64748B"/>
          <w:sz w:val="19"/>
          <w:szCs w:val="19"/>
        </w:rPr>
        <w:t xml:space="preserve">Read the figures back: rent, due date, deposit amount, and the notice period in clause 12.</w:t>
      </w:r>
    </w:p>
    <w:p>
      <w:pPr>
        <w:spacing w:after="60"/>
      </w:pPr>
      <w:r>
        <w:rPr>
          <w:color w:val="64748B"/>
          <w:sz w:val="19"/>
          <w:szCs w:val="19"/>
        </w:rPr>
        <w:t xml:space="preserve">Have the agreement reviewed by a Kenyan advocate if the term is long, the rent is high, or any clause has been amended by hand.</w:t>
      </w:r>
    </w:p>
    <w:p>
      <w:pPr>
        <w:spacing w:after="60"/>
      </w:pPr>
      <w:r>
        <w:rPr>
          <w:color w:val="64748B"/>
          <w:sz w:val="19"/>
          <w:szCs w:val="19"/>
        </w:rPr>
        <w:t xml:space="preserve">This template is a drafting aid, not legal advice. It reflects Kenyan law as understood at the date of generation and is not a substitute for advice on your facts.</w:t>
      </w:r>
    </w:p>
    <w:p>
      <w:pPr>
        <w:pBdr>
          <w:bottom w:val="single" w:color="CBD5E1" w:sz="6" w:space="6"/>
        </w:pBdr>
        <w:spacing w:after="160"/>
      </w:pPr>
      <w:r>
        <w:rPr>
          <w:sz w:val="2"/>
          <w:szCs w:val="2"/>
        </w:rPr>
        <w:t xml:space="preserve"/>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Generated by PropDesk Africa · bknglabs.dev@gmail.com · 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0369A1"/>
        <w:sz w:val="20"/>
        <w:szCs w:val="20"/>
      </w:rPr>
      <w:t xml:space="preserve">PropDesk Africa</w:t>
    </w:r>
    <w:r>
      <w:rPr>
        <w:color w:val="64748B"/>
        <w:sz w:val="16"/>
        <w:szCs w:val="16"/>
      </w:rPr>
      <w:t xml:space="preserve">  ·  by Siemax Ltd</w:t>
    </w:r>
  </w:p>
  <w:p>
    <w:pPr>
      <w:spacing w:after="160"/>
      <w:jc w:val="right"/>
    </w:pPr>
    <w:r>
      <w:rPr>
        <w:i/>
        <w:iCs/>
        <w:color w:val="94A3B8"/>
        <w:sz w:val="16"/>
        <w:szCs w:val="16"/>
      </w:rPr>
      <w:t xml:space="preserve">Residential Tenancy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Tenancy Agreement</dc:title>
  <dc:creator>PropDesk Africa</dc:creator>
  <dc:description>Residential Tenancy Agreement</dc:description>
  <cp:lastModifiedBy>Un-named</cp:lastModifiedBy>
  <cp:revision>1</cp:revision>
  <dcterms:created xsi:type="dcterms:W3CDTF">2026-10-09T21:00:27.208Z</dcterms:created>
  <dcterms:modified xsi:type="dcterms:W3CDTF">2026-10-09T21:00:27.208Z</dcterms:modified>
</cp:coreProperties>
</file>

<file path=docProps/custom.xml><?xml version="1.0" encoding="utf-8"?>
<Properties xmlns="http://schemas.openxmlformats.org/officeDocument/2006/custom-properties" xmlns:vt="http://schemas.openxmlformats.org/officeDocument/2006/docPropsVTypes"/>
</file>