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160"/>
      </w:pPr>
      <w:r>
        <w:rPr>
          <w:b/>
          <w:bCs/>
          <w:color w:val="0369A1"/>
          <w:sz w:val="30"/>
          <w:szCs w:val="30"/>
        </w:rPr>
        <w:t xml:space="preserve">RENT REVIEW NOTICE</w:t>
      </w:r>
    </w:p>
    <w:p>
      <w:pPr>
        <w:spacing w:after="200"/>
      </w:pPr>
      <w:r>
        <w:rPr>
          <w:color w:val="0F172A"/>
          <w:sz w:val="22"/>
          <w:szCs w:val="22"/>
        </w:rPr>
        <w:t xml:space="preserve">This is written notice of an intended change to the rent. Under Kenyan law an increase is not due or recoverable until valid written notice has been served on the tenant, so this document has to be served properly and kept.</w:t>
      </w:r>
    </w:p>
    <w:p>
      <w:pPr>
        <w:pStyle w:val="Heading2"/>
        <w:spacing w:after="120" w:before="280"/>
      </w:pPr>
      <w:r>
        <w:rPr>
          <w:b/>
          <w:bCs/>
          <w:color w:val="0F172A"/>
          <w:sz w:val="24"/>
          <w:szCs w:val="24"/>
        </w:rPr>
        <w:t xml:space="preserve">1. Addressee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19"/>
        <w:gridCol w:w="6627"/>
      </w:tblGrid>
      <w:tr>
        <w:tc>
          <w:tcPr>
            <w:tcW w:type="pct" w:w="1600"/>
          </w:tcPr>
          <w:p>
            <w:r>
              <w:rPr>
                <w:b/>
                <w:bCs/>
                <w:color w:val="0F172A"/>
                <w:sz w:val="20"/>
                <w:szCs w:val="20"/>
              </w:rPr>
              <w:t xml:space="preserve">To (Tenant)</w:t>
            </w:r>
          </w:p>
        </w:tc>
        <w:tc>
          <w:tcPr>
            <w:tcW w:type="pct" w:w="3400"/>
          </w:tcPr>
          <w:p>
            <w:r>
              <w:rPr>
                <w:color w:val="0F172A"/>
                <w:sz w:val="20"/>
                <w:szCs w:val="20"/>
              </w:rPr>
              <w:t xml:space="preserve">Brian Mwangi</w:t>
            </w:r>
          </w:p>
        </w:tc>
      </w:tr>
      <w:tr>
        <w:tc>
          <w:tcPr>
            <w:tcW w:type="pct" w:w="1600"/>
          </w:tcPr>
          <w:p>
            <w:r>
              <w:rPr>
                <w:b/>
                <w:bCs/>
                <w:color w:val="0F172A"/>
                <w:sz w:val="20"/>
                <w:szCs w:val="20"/>
              </w:rPr>
              <w:t xml:space="preserve">Property</w:t>
            </w:r>
          </w:p>
        </w:tc>
        <w:tc>
          <w:tcPr>
            <w:tcW w:type="pct" w:w="3400"/>
          </w:tcPr>
          <w:p>
            <w:r>
              <w:rPr>
                <w:color w:val="0F172A"/>
                <w:sz w:val="20"/>
                <w:szCs w:val="20"/>
              </w:rPr>
              <w:t xml:space="preserve">Riverside Court, Riverside Drive, Nairobi</w:t>
            </w:r>
          </w:p>
        </w:tc>
      </w:tr>
      <w:tr>
        <w:tc>
          <w:tcPr>
            <w:tcW w:type="pct" w:w="1600"/>
          </w:tcPr>
          <w:p>
            <w:r>
              <w:rPr>
                <w:b/>
                <w:bCs/>
                <w:color w:val="0F172A"/>
                <w:sz w:val="20"/>
                <w:szCs w:val="20"/>
              </w:rPr>
              <w:t xml:space="preserve">Date of this notice</w:t>
            </w:r>
          </w:p>
        </w:tc>
        <w:tc>
          <w:tcPr>
            <w:tcW w:type="pct" w:w="3400"/>
          </w:tcPr>
          <w:p>
            <w:r>
              <w:rPr>
                <w:color w:val="0F172A"/>
                <w:sz w:val="20"/>
                <w:szCs w:val="20"/>
              </w:rPr>
              <w:t xml:space="preserve">09 October 2026</w:t>
            </w:r>
          </w:p>
        </w:tc>
      </w:tr>
      <w:tr>
        <w:tc>
          <w:tcPr>
            <w:tcW w:type="pct" w:w="1600"/>
          </w:tcPr>
          <w:p>
            <w:r>
              <w:rPr>
                <w:b/>
                <w:bCs/>
                <w:color w:val="0F172A"/>
                <w:sz w:val="20"/>
                <w:szCs w:val="20"/>
              </w:rPr>
              <w:t xml:space="preserve">Date of last review</w:t>
            </w:r>
          </w:p>
        </w:tc>
        <w:tc>
          <w:tcPr>
            <w:tcW w:type="pct" w:w="3400"/>
          </w:tcPr>
          <w:p>
            <w:r>
              <w:rPr>
                <w:color w:val="0F172A"/>
                <w:sz w:val="20"/>
                <w:szCs w:val="20"/>
              </w:rPr>
              <w:t xml:space="preserve">______________</w:t>
            </w:r>
          </w:p>
        </w:tc>
      </w:tr>
    </w:tbl>
    <w:p>
      <w:pPr>
        <w:pStyle w:val="Heading2"/>
        <w:spacing w:after="120" w:before="280"/>
      </w:pPr>
      <w:r>
        <w:rPr>
          <w:b/>
          <w:bCs/>
          <w:color w:val="0F172A"/>
          <w:sz w:val="24"/>
          <w:szCs w:val="24"/>
        </w:rPr>
        <w:t xml:space="preserve">2. The change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19"/>
        <w:gridCol w:w="6627"/>
      </w:tblGrid>
      <w:tr>
        <w:tc>
          <w:tcPr>
            <w:tcW w:type="pct" w:w="1600"/>
          </w:tcPr>
          <w:p>
            <w:r>
              <w:rPr>
                <w:b/>
                <w:bCs/>
                <w:color w:val="0F172A"/>
                <w:sz w:val="20"/>
                <w:szCs w:val="20"/>
              </w:rPr>
              <w:t xml:space="preserve">Current monthly rent</w:t>
            </w:r>
          </w:p>
        </w:tc>
        <w:tc>
          <w:tcPr>
            <w:tcW w:type="pct" w:w="3400"/>
          </w:tcPr>
          <w:p>
            <w:r>
              <w:rPr>
                <w:color w:val="0F172A"/>
                <w:sz w:val="20"/>
                <w:szCs w:val="20"/>
              </w:rPr>
              <w:t xml:space="preserve">KES 85,000</w:t>
            </w:r>
          </w:p>
        </w:tc>
      </w:tr>
      <w:tr>
        <w:tc>
          <w:tcPr>
            <w:tcW w:type="pct" w:w="1600"/>
          </w:tcPr>
          <w:p>
            <w:r>
              <w:rPr>
                <w:b/>
                <w:bCs/>
                <w:color w:val="0F172A"/>
                <w:sz w:val="20"/>
                <w:szCs w:val="20"/>
              </w:rPr>
              <w:t xml:space="preserve">Revised monthly rent</w:t>
            </w:r>
          </w:p>
        </w:tc>
        <w:tc>
          <w:tcPr>
            <w:tcW w:type="pct" w:w="3400"/>
          </w:tcPr>
          <w:p>
            <w:r>
              <w:rPr>
                <w:color w:val="0F172A"/>
                <w:sz w:val="20"/>
                <w:szCs w:val="20"/>
              </w:rPr>
              <w:t xml:space="preserve">KES 92,000</w:t>
            </w:r>
          </w:p>
        </w:tc>
      </w:tr>
      <w:tr>
        <w:tc>
          <w:tcPr>
            <w:tcW w:type="pct" w:w="1600"/>
          </w:tcPr>
          <w:p>
            <w:r>
              <w:rPr>
                <w:b/>
                <w:bCs/>
                <w:color w:val="0F172A"/>
                <w:sz w:val="20"/>
                <w:szCs w:val="20"/>
              </w:rPr>
              <w:t xml:space="preserve">Effective from</w:t>
            </w:r>
          </w:p>
        </w:tc>
        <w:tc>
          <w:tcPr>
            <w:tcW w:type="pct" w:w="3400"/>
          </w:tcPr>
          <w:p>
            <w:r>
              <w:rPr>
                <w:color w:val="0F172A"/>
                <w:sz w:val="20"/>
                <w:szCs w:val="20"/>
              </w:rPr>
              <w:t xml:space="preserve">1 July 2026</w:t>
            </w:r>
          </w:p>
        </w:tc>
      </w:tr>
      <w:tr>
        <w:tc>
          <w:tcPr>
            <w:tcW w:type="pct" w:w="1600"/>
          </w:tcPr>
          <w:p>
            <w:r>
              <w:rPr>
                <w:b/>
                <w:bCs/>
                <w:color w:val="0F172A"/>
                <w:sz w:val="20"/>
                <w:szCs w:val="20"/>
              </w:rPr>
              <w:t xml:space="preserve">Notice period given</w:t>
            </w:r>
          </w:p>
        </w:tc>
        <w:tc>
          <w:tcPr>
            <w:tcW w:type="pct" w:w="3400"/>
          </w:tcPr>
          <w:p>
            <w:r>
              <w:rPr>
                <w:color w:val="0F172A"/>
                <w:sz w:val="20"/>
                <w:szCs w:val="20"/>
              </w:rPr>
              <w:t xml:space="preserve">______________ days</w:t>
            </w:r>
          </w:p>
        </w:tc>
      </w:tr>
      <w:tr>
        <w:tc>
          <w:tcPr>
            <w:tcW w:type="pct" w:w="1600"/>
          </w:tcPr>
          <w:p>
            <w:r>
              <w:rPr>
                <w:b/>
                <w:bCs/>
                <w:color w:val="0F172A"/>
                <w:sz w:val="20"/>
                <w:szCs w:val="20"/>
              </w:rPr>
              <w:t xml:space="preserve">Payable on</w:t>
            </w:r>
          </w:p>
        </w:tc>
        <w:tc>
          <w:tcPr>
            <w:tcW w:type="pct" w:w="3400"/>
          </w:tcPr>
          <w:p>
            <w:r>
              <w:rPr>
                <w:color w:val="0F172A"/>
                <w:sz w:val="20"/>
                <w:szCs w:val="20"/>
              </w:rPr>
              <w:t xml:space="preserve">1st day of each calendar month</w:t>
            </w:r>
          </w:p>
        </w:tc>
      </w:tr>
      <w:tr>
        <w:tc>
          <w:tcPr>
            <w:tcW w:type="pct" w:w="1600"/>
          </w:tcPr>
          <w:p>
            <w:r>
              <w:rPr>
                <w:b/>
                <w:bCs/>
                <w:color w:val="0F172A"/>
                <w:sz w:val="20"/>
                <w:szCs w:val="20"/>
              </w:rPr>
              <w:t xml:space="preserve">Payable to</w:t>
            </w:r>
          </w:p>
        </w:tc>
        <w:tc>
          <w:tcPr>
            <w:tcW w:type="pct" w:w="3400"/>
          </w:tcPr>
          <w:p>
            <w:r>
              <w:rPr>
                <w:color w:val="0F172A"/>
                <w:sz w:val="20"/>
                <w:szCs w:val="20"/>
              </w:rPr>
              <w:t xml:space="preserve">M-Pesa paybill / bank account stated in the handover record</w:t>
            </w:r>
          </w:p>
        </w:tc>
      </w:tr>
    </w:tbl>
    <w:p>
      <w:pPr>
        <w:pStyle w:val="Heading2"/>
        <w:spacing w:after="120" w:before="280"/>
      </w:pPr>
      <w:r>
        <w:rPr>
          <w:b/>
          <w:bCs/>
          <w:color w:val="0F172A"/>
          <w:sz w:val="24"/>
          <w:szCs w:val="24"/>
        </w:rPr>
        <w:t xml:space="preserve">3. Basis for the review</w:t>
      </w:r>
    </w:p>
    <w:p>
      <w:pPr>
        <w:spacing w:after="100"/>
      </w:pPr>
      <w:r>
        <w:rPr>
          <w:color w:val="0F172A"/>
          <w:sz w:val="22"/>
          <w:szCs w:val="22"/>
        </w:rPr>
        <w:t xml:space="preserve">State why the rent is being reviewed. If the premises are a controlled tenancy under the Rent Restriction Act, Cap 296, the increase must be one the Act permits and a copy of this notice must be delivered to the Tribunal.</w:t>
      </w:r>
    </w:p>
    <w:p>
      <w:pPr>
        <w:spacing w:after="140"/>
      </w:pPr>
      <w:r>
        <w:rPr>
          <w:b/>
          <w:bCs/>
          <w:color w:val="0F172A"/>
          <w:sz w:val="21"/>
          <w:szCs w:val="21"/>
        </w:rPr>
        <w:t xml:space="preserve">Basis for the increase </w:t>
      </w:r>
      <w:r>
        <w:rPr>
          <w:color w:val="94A3B8"/>
          <w:sz w:val="21"/>
          <w:szCs w:val="21"/>
        </w:rPr>
        <w:t xml:space="preserve">......................................................................</w:t>
      </w:r>
    </w:p>
    <w:p>
      <w:pPr>
        <w:pStyle w:val="Heading2"/>
        <w:spacing w:after="120" w:before="280"/>
      </w:pPr>
      <w:r>
        <w:rPr>
          <w:b/>
          <w:bCs/>
          <w:color w:val="0F172A"/>
          <w:sz w:val="24"/>
          <w:szCs w:val="24"/>
        </w:rPr>
        <w:t xml:space="preserve">4. Your rights</w:t>
      </w:r>
    </w:p>
    <w:p>
      <w:pPr>
        <w:spacing w:after="80"/>
        <w:ind w:left="720" w:hanging="360"/>
      </w:pPr>
      <w:r>
        <w:rPr>
          <w:b/>
          <w:bCs/>
          <w:color w:val="64748B"/>
          <w:sz w:val="21"/>
          <w:szCs w:val="21"/>
        </w:rPr>
        <w:t xml:space="preserve">•  </w:t>
      </w:r>
      <w:r>
        <w:rPr>
          <w:color w:val="0F172A"/>
          <w:sz w:val="21"/>
          <w:szCs w:val="21"/>
        </w:rPr>
        <w:t xml:space="preserve">You may respond in writing within 14 days of receiving this notice, and your response does not affect your right to continue paying the current rent until the effective date shown above.</w:t>
      </w:r>
    </w:p>
    <w:p>
      <w:pPr>
        <w:spacing w:after="80"/>
        <w:ind w:left="720" w:hanging="360"/>
      </w:pPr>
      <w:r>
        <w:rPr>
          <w:b/>
          <w:bCs/>
          <w:color w:val="64748B"/>
          <w:sz w:val="21"/>
          <w:szCs w:val="21"/>
        </w:rPr>
        <w:t xml:space="preserve">•  </w:t>
      </w:r>
      <w:r>
        <w:rPr>
          <w:color w:val="0F172A"/>
          <w:sz w:val="21"/>
          <w:szCs w:val="21"/>
        </w:rPr>
        <w:t xml:space="preserve">If you do not accept the revised rent, you may end the tenancy by giving the notice required under the Tenancy Agreement. You will not be penalised for doing so.</w:t>
      </w:r>
    </w:p>
    <w:p>
      <w:pPr>
        <w:spacing w:after="80"/>
        <w:ind w:left="720" w:hanging="360"/>
      </w:pPr>
      <w:r>
        <w:rPr>
          <w:b/>
          <w:bCs/>
          <w:color w:val="64748B"/>
          <w:sz w:val="21"/>
          <w:szCs w:val="21"/>
        </w:rPr>
        <w:t xml:space="preserve">•  </w:t>
      </w:r>
      <w:r>
        <w:rPr>
          <w:color w:val="0F172A"/>
          <w:sz w:val="21"/>
          <w:szCs w:val="21"/>
        </w:rPr>
        <w:t xml:space="preserve">An increase that is unreasonable or unconscionable may be challenged before the Rent Restriction Tribunal or the court.</w:t>
      </w:r>
    </w:p>
    <w:p>
      <w:pPr>
        <w:spacing w:after="80"/>
        <w:ind w:left="720" w:hanging="360"/>
      </w:pPr>
      <w:r>
        <w:rPr>
          <w:b/>
          <w:bCs/>
          <w:color w:val="64748B"/>
          <w:sz w:val="21"/>
          <w:szCs w:val="21"/>
        </w:rPr>
        <w:t xml:space="preserve">•  </w:t>
      </w:r>
      <w:r>
        <w:rPr>
          <w:color w:val="0F172A"/>
          <w:sz w:val="21"/>
          <w:szCs w:val="21"/>
        </w:rPr>
        <w:t xml:space="preserve">Rent already paid at the previous rate will be credited against the revised rent if this notice is later found to be ineffective.</w:t>
      </w:r>
    </w:p>
    <w:p>
      <w:pPr>
        <w:pBdr>
          <w:top w:val="single" w:color="CBD5E1" w:sz="6" w:space="6"/>
        </w:pBdr>
        <w:spacing w:after="60" w:before="200"/>
      </w:pPr>
      <w:r>
        <w:rPr>
          <w:b/>
          <w:bCs/>
          <w:color w:val="0F172A"/>
          <w:sz w:val="20"/>
          <w:szCs w:val="20"/>
        </w:rPr>
        <w:t xml:space="preserve">SERVING THIS NOTICE</w:t>
      </w:r>
    </w:p>
    <w:p>
      <w:pPr>
        <w:spacing w:after="60"/>
      </w:pPr>
      <w:r>
        <w:rPr>
          <w:color w:val="64748B"/>
          <w:sz w:val="19"/>
          <w:szCs w:val="19"/>
        </w:rPr>
        <w:t xml:space="preserve">Give at least 30 days between service and the effective date. More is better in a rising market — it is the single most common reason a review is challenged.</w:t>
      </w:r>
    </w:p>
    <w:p>
      <w:pPr>
        <w:spacing w:after="60"/>
      </w:pPr>
      <w:r>
        <w:rPr>
          <w:color w:val="64748B"/>
          <w:sz w:val="19"/>
          <w:szCs w:val="19"/>
        </w:rPr>
        <w:t xml:space="preserve">Serve in writing and keep proof of service: hand delivery, registered post, or email to the address most recently notified.</w:t>
      </w:r>
    </w:p>
    <w:p>
      <w:pPr>
        <w:spacing w:after="60"/>
      </w:pPr>
      <w:r>
        <w:rPr>
          <w:color w:val="64748B"/>
          <w:sz w:val="19"/>
          <w:szCs w:val="19"/>
        </w:rPr>
        <w:t xml:space="preserve">If the premises fall within the Rent Restriction Act, Cap 296, deliver a copy of this notice to the Rent Restriction Tribunal for the area.</w:t>
      </w:r>
    </w:p>
    <w:p>
      <w:pPr>
        <w:spacing w:after="60"/>
      </w:pPr>
      <w:r>
        <w:rPr>
          <w:color w:val="64748B"/>
          <w:sz w:val="19"/>
          <w:szCs w:val="19"/>
        </w:rPr>
        <w:t xml:space="preserve">Do not treat the revised rent as payable before the effective date, and do not disconnect any service to press for it.</w:t>
      </w:r>
    </w:p>
    <w:p>
      <w:pPr>
        <w:pBdr>
          <w:bottom w:val="single" w:color="CBD5E1" w:sz="6" w:space="6"/>
        </w:pBdr>
        <w:spacing w:after="160"/>
      </w:pPr>
      <w:r>
        <w:rPr>
          <w:sz w:val="2"/>
          <w:szCs w:val="2"/>
        </w:rPr>
        <w:t xml:space="preserve"/>
      </w:r>
    </w:p>
    <w:p>
      <w:pPr>
        <w:spacing w:after="300"/>
      </w:pPr>
      <w:r>
        <w:rPr>
          <w:color w:val="0F172A"/>
          <w:sz w:val="22"/>
          <w:szCs w:val="22"/>
        </w:rPr>
        <w:t xml:space="preserve"> </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pct" w:w="2500"/>
          </w:tcPr>
          <w:p>
            <w:pPr>
              <w:spacing w:before="320"/>
            </w:pPr>
            <w:r>
              <w:rPr>
                <w:sz w:val="22"/>
                <w:szCs w:val="22"/>
              </w:rPr>
              <w:t xml:space="preserve">_______________________________</w:t>
            </w:r>
          </w:p>
          <w:p>
            <w:r>
              <w:rPr>
                <w:color w:val="64748B"/>
                <w:sz w:val="18"/>
                <w:szCs w:val="18"/>
              </w:rPr>
              <w:t xml:space="preserve">Landlord / agent — signature and date</w:t>
            </w:r>
          </w:p>
        </w:tc>
        <w:tc>
          <w:tcPr>
            <w:tcW w:type="pct" w:w="2500"/>
          </w:tcPr>
          <w:p>
            <w:pPr>
              <w:spacing w:before="320"/>
            </w:pPr>
            <w:r>
              <w:rPr>
                <w:sz w:val="22"/>
                <w:szCs w:val="22"/>
              </w:rPr>
              <w:t xml:space="preserve">_______________________________</w:t>
            </w:r>
          </w:p>
          <w:p>
            <w:r>
              <w:rPr>
                <w:color w:val="64748B"/>
                <w:sz w:val="18"/>
                <w:szCs w:val="18"/>
              </w:rPr>
              <w:t xml:space="preserve">Tenant — receipt acknowledged (optional)</w:t>
            </w:r>
          </w:p>
        </w:tc>
      </w:tr>
    </w:tbl>
    <w:p>
      <w:pPr>
        <w:spacing w:after="160"/>
      </w:pPr>
      <w:r>
        <w:rPr>
          <w:color w:val="0F172A"/>
          <w:sz w:val="22"/>
          <w:szCs w:val="22"/>
        </w:rPr>
        <w:t xml:space="preserve"> </w:t>
      </w:r>
    </w:p>
    <w:p>
      <w:pPr>
        <w:spacing w:after="80"/>
      </w:pPr>
      <w:r>
        <w:rPr>
          <w:b/>
          <w:bCs/>
          <w:color w:val="0F172A"/>
          <w:sz w:val="22"/>
          <w:szCs w:val="22"/>
        </w:rPr>
        <w:t xml:space="preserve">Served on the Tenant by (method): </w:t>
      </w:r>
      <w:r>
        <w:rPr>
          <w:color w:val="0F172A"/>
          <w:sz w:val="22"/>
          <w:szCs w:val="22"/>
        </w:rPr>
        <w:t xml:space="preserve">☐ Hand    ☐ Registered post    ☐ Email</w:t>
      </w:r>
    </w:p>
    <w:p>
      <w:pPr>
        <w:spacing w:after="80"/>
      </w:pPr>
      <w:r>
        <w:rPr>
          <w:b/>
          <w:bCs/>
          <w:color w:val="0F172A"/>
          <w:sz w:val="22"/>
          <w:szCs w:val="22"/>
        </w:rPr>
        <w:t xml:space="preserve">Date of service: </w:t>
      </w:r>
      <w:r>
        <w:rPr>
          <w:color w:val="0F172A"/>
          <w:sz w:val="22"/>
          <w:szCs w:val="22"/>
        </w:rPr>
        <w:t xml:space="preserve">______________</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Generated by PropDesk Africa · bknglabs.dev@gmail.com · Page </w:t>
    </w:r>
    <w:r>
      <w:rPr>
        <w:color w:val="94A3B8"/>
        <w:sz w:val="16"/>
        <w:szCs w:val="16"/>
      </w:rPr>
      <w:fldChar w:fldCharType="begin"/>
      <w:instrText xml:space="preserve">PAGE</w:instrText>
      <w:fldChar w:fldCharType="separate"/>
      <w:fldChar w:fldCharType="end"/>
    </w:r>
    <w:r>
      <w:rPr>
        <w:color w:val="94A3B8"/>
        <w:sz w:val="16"/>
        <w:szCs w:val="16"/>
      </w:rPr>
      <w:t xml:space="preserve"> of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color w:val="0369A1"/>
        <w:sz w:val="20"/>
        <w:szCs w:val="20"/>
      </w:rPr>
      <w:t xml:space="preserve">PropDesk Africa</w:t>
    </w:r>
    <w:r>
      <w:rPr>
        <w:color w:val="64748B"/>
        <w:sz w:val="16"/>
        <w:szCs w:val="16"/>
      </w:rPr>
      <w:t xml:space="preserve">  ·  by Siemax Ltd</w:t>
    </w:r>
  </w:p>
  <w:p>
    <w:pPr>
      <w:spacing w:after="160"/>
      <w:jc w:val="right"/>
    </w:pPr>
    <w:r>
      <w:rPr>
        <w:i/>
        <w:iCs/>
        <w:color w:val="94A3B8"/>
        <w:sz w:val="16"/>
        <w:szCs w:val="16"/>
      </w:rPr>
      <w:t xml:space="preserve">Rent Review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Review Notice</dc:title>
  <dc:creator>PropDesk Africa</dc:creator>
  <dc:description>Rent Review Notice</dc:description>
  <cp:lastModifiedBy>Un-named</cp:lastModifiedBy>
  <cp:revision>1</cp:revision>
  <dcterms:created xsi:type="dcterms:W3CDTF">2026-10-09T21:00:27.681Z</dcterms:created>
  <dcterms:modified xsi:type="dcterms:W3CDTF">2026-10-09T21:00:27.681Z</dcterms:modified>
</cp:coreProperties>
</file>

<file path=docProps/custom.xml><?xml version="1.0" encoding="utf-8"?>
<Properties xmlns="http://schemas.openxmlformats.org/officeDocument/2006/custom-properties" xmlns:vt="http://schemas.openxmlformats.org/officeDocument/2006/docPropsVTypes"/>
</file>