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160"/>
      </w:pPr>
      <w:r>
        <w:rPr>
          <w:b/>
          <w:bCs/>
          <w:color w:val="0369A1"/>
          <w:sz w:val="30"/>
          <w:szCs w:val="30"/>
        </w:rPr>
        <w:t xml:space="preserve">NOTICE TO QUIT</w:t>
      </w:r>
    </w:p>
    <w:p>
      <w:pPr>
        <w:spacing w:after="200"/>
      </w:pPr>
      <w:r>
        <w:rPr>
          <w:color w:val="0F172A"/>
          <w:sz w:val="22"/>
          <w:szCs w:val="22"/>
        </w:rPr>
        <w:t xml:space="preserve">This is a formal notice to end a tenancy. It is not a demand for rent and it is not a warning. Read clause 3 before serving it.</w:t>
      </w:r>
    </w:p>
    <w:p>
      <w:pPr>
        <w:pStyle w:val="Heading2"/>
        <w:spacing w:after="120" w:before="280"/>
      </w:pPr>
      <w:r>
        <w:rPr>
          <w:b/>
          <w:bCs/>
          <w:color w:val="0F172A"/>
          <w:sz w:val="24"/>
          <w:szCs w:val="24"/>
        </w:rPr>
        <w:t xml:space="preserve">1. Addressee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9"/>
        <w:gridCol w:w="6627"/>
      </w:tblGrid>
      <w:tr>
        <w:tc>
          <w:tcPr>
            <w:tcW w:type="pct" w:w="1600"/>
          </w:tcPr>
          <w:p>
            <w:r>
              <w:rPr>
                <w:b/>
                <w:bCs/>
                <w:color w:val="0F172A"/>
                <w:sz w:val="20"/>
                <w:szCs w:val="20"/>
              </w:rPr>
              <w:t xml:space="preserve">To (Tenant)</w:t>
            </w:r>
          </w:p>
        </w:tc>
        <w:tc>
          <w:tcPr>
            <w:tcW w:type="pct" w:w="3400"/>
          </w:tcPr>
          <w:p>
            <w:r>
              <w:rPr>
                <w:color w:val="0F172A"/>
                <w:sz w:val="20"/>
                <w:szCs w:val="20"/>
              </w:rPr>
              <w:t xml:space="preserve">Brian Mwangi</w:t>
            </w:r>
          </w:p>
        </w:tc>
      </w:tr>
      <w:tr>
        <w:tc>
          <w:tcPr>
            <w:tcW w:type="pct" w:w="1600"/>
          </w:tcPr>
          <w:p>
            <w:r>
              <w:rPr>
                <w:b/>
                <w:bCs/>
                <w:color w:val="0F172A"/>
                <w:sz w:val="20"/>
                <w:szCs w:val="20"/>
              </w:rPr>
              <w:t xml:space="preserve">Telephone</w:t>
            </w:r>
          </w:p>
        </w:tc>
        <w:tc>
          <w:tcPr>
            <w:tcW w:type="pct" w:w="3400"/>
          </w:tcPr>
          <w:p>
            <w:r>
              <w:rPr>
                <w:color w:val="0F172A"/>
                <w:sz w:val="20"/>
                <w:szCs w:val="20"/>
              </w:rPr>
              <w:t xml:space="preserve">07XX XXX XXX</w:t>
            </w:r>
          </w:p>
        </w:tc>
      </w:tr>
      <w:tr>
        <w:tc>
          <w:tcPr>
            <w:tcW w:type="pct" w:w="1600"/>
          </w:tcPr>
          <w:p>
            <w:r>
              <w:rPr>
                <w:b/>
                <w:bCs/>
                <w:color w:val="0F172A"/>
                <w:sz w:val="20"/>
                <w:szCs w:val="20"/>
              </w:rPr>
              <w:t xml:space="preserve">Email</w:t>
            </w:r>
          </w:p>
        </w:tc>
        <w:tc>
          <w:tcPr>
            <w:tcW w:type="pct" w:w="3400"/>
          </w:tcPr>
          <w:p>
            <w:r>
              <w:rPr>
                <w:color w:val="0F172A"/>
                <w:sz w:val="20"/>
                <w:szCs w:val="20"/>
              </w:rPr>
              <w:t xml:space="preserve">—</w:t>
            </w:r>
          </w:p>
        </w:tc>
      </w:tr>
      <w:tr>
        <w:tc>
          <w:tcPr>
            <w:tcW w:type="pct" w:w="1600"/>
          </w:tcPr>
          <w:p>
            <w:r>
              <w:rPr>
                <w:b/>
                <w:bCs/>
                <w:color w:val="0F172A"/>
                <w:sz w:val="20"/>
                <w:szCs w:val="20"/>
              </w:rPr>
              <w:t xml:space="preserve">Property</w:t>
            </w:r>
          </w:p>
        </w:tc>
        <w:tc>
          <w:tcPr>
            <w:tcW w:type="pct" w:w="3400"/>
          </w:tcPr>
          <w:p>
            <w:r>
              <w:rPr>
                <w:color w:val="0F172A"/>
                <w:sz w:val="20"/>
                <w:szCs w:val="20"/>
              </w:rPr>
              <w:t xml:space="preserve">Riverside Court, Riverside Drive, Nairobi</w:t>
            </w:r>
          </w:p>
        </w:tc>
      </w:tr>
      <w:tr>
        <w:tc>
          <w:tcPr>
            <w:tcW w:type="pct" w:w="1600"/>
          </w:tcPr>
          <w:p>
            <w:r>
              <w:rPr>
                <w:b/>
                <w:bCs/>
                <w:color w:val="0F172A"/>
                <w:sz w:val="20"/>
                <w:szCs w:val="20"/>
              </w:rPr>
              <w:t xml:space="preserve">Tenancy commenced</w:t>
            </w:r>
          </w:p>
        </w:tc>
        <w:tc>
          <w:tcPr>
            <w:tcW w:type="pct" w:w="3400"/>
          </w:tcPr>
          <w:p>
            <w:r>
              <w:rPr>
                <w:color w:val="0F172A"/>
                <w:sz w:val="20"/>
                <w:szCs w:val="20"/>
              </w:rPr>
              <w:t xml:space="preserve">1 March 2026</w:t>
            </w:r>
          </w:p>
        </w:tc>
      </w:tr>
      <w:tr>
        <w:tc>
          <w:tcPr>
            <w:tcW w:type="pct" w:w="1600"/>
          </w:tcPr>
          <w:p>
            <w:r>
              <w:rPr>
                <w:b/>
                <w:bCs/>
                <w:color w:val="0F172A"/>
                <w:sz w:val="20"/>
                <w:szCs w:val="20"/>
              </w:rPr>
              <w:t xml:space="preserve">Date of this notice</w:t>
            </w:r>
          </w:p>
        </w:tc>
        <w:tc>
          <w:tcPr>
            <w:tcW w:type="pct" w:w="3400"/>
          </w:tcPr>
          <w:p>
            <w:r>
              <w:rPr>
                <w:color w:val="0F172A"/>
                <w:sz w:val="20"/>
                <w:szCs w:val="20"/>
              </w:rPr>
              <w:t xml:space="preserve">09 October 2026</w:t>
            </w:r>
          </w:p>
        </w:tc>
      </w:tr>
    </w:tbl>
    <w:p>
      <w:pPr>
        <w:pStyle w:val="Heading2"/>
        <w:spacing w:after="120" w:before="280"/>
      </w:pPr>
      <w:r>
        <w:rPr>
          <w:b/>
          <w:bCs/>
          <w:color w:val="0F172A"/>
          <w:sz w:val="24"/>
          <w:szCs w:val="24"/>
        </w:rPr>
        <w:t xml:space="preserve">2. Notice</w:t>
      </w:r>
    </w:p>
    <w:p>
      <w:pPr>
        <w:spacing w:after="120"/>
        <w:ind w:left="720" w:hanging="720"/>
      </w:pPr>
      <w:r>
        <w:rPr>
          <w:b/>
          <w:bCs/>
          <w:color w:val="0F172A"/>
          <w:sz w:val="21"/>
          <w:szCs w:val="21"/>
        </w:rPr>
        <w:t xml:space="preserve">2.1  </w:t>
      </w:r>
      <w:r>
        <w:rPr>
          <w:color w:val="0F172A"/>
          <w:sz w:val="21"/>
          <w:szCs w:val="21"/>
        </w:rPr>
        <w:t xml:space="preserve">Notice is hereby given that the tenancy of the premises described above will terminate on 30 April 2026.</w:t>
      </w:r>
    </w:p>
    <w:p>
      <w:pPr>
        <w:spacing w:after="120"/>
        <w:ind w:left="720" w:hanging="720"/>
      </w:pPr>
      <w:r>
        <w:rPr>
          <w:b/>
          <w:bCs/>
          <w:color w:val="0F172A"/>
          <w:sz w:val="21"/>
          <w:szCs w:val="21"/>
        </w:rPr>
        <w:t xml:space="preserve">2.2  </w:t>
      </w:r>
      <w:r>
        <w:rPr>
          <w:color w:val="0F172A"/>
          <w:sz w:val="21"/>
          <w:szCs w:val="21"/>
        </w:rPr>
        <w:t xml:space="preserve">This notice is given under clause 12 of the Tenancy Agreement dated between the parties and in accordance with the Rent Restriction Act, Cap 296 and the Law of Contract Act, Cap 23, where applicable.</w:t>
      </w:r>
    </w:p>
    <w:p>
      <w:pPr>
        <w:spacing w:after="120"/>
        <w:ind w:left="720" w:hanging="720"/>
      </w:pPr>
      <w:r>
        <w:rPr>
          <w:b/>
          <w:bCs/>
          <w:color w:val="0F172A"/>
          <w:sz w:val="21"/>
          <w:szCs w:val="21"/>
        </w:rPr>
        <w:t xml:space="preserve">2.3  </w:t>
      </w:r>
      <w:r>
        <w:rPr>
          <w:color w:val="0F172A"/>
          <w:sz w:val="21"/>
          <w:szCs w:val="21"/>
        </w:rPr>
        <w:t xml:space="preserve">The grounds on which this notice is given are set out below. State the ground — a notice without a stated ground is vulnerable to challenge.</w:t>
      </w:r>
    </w:p>
    <w:p>
      <w:pPr>
        <w:spacing w:after="100"/>
      </w:pPr>
      <w:r>
        <w:rPr>
          <w:color w:val="0F172A"/>
          <w:sz w:val="22"/>
          <w:szCs w:val="22"/>
        </w:rPr>
        <w:t xml:space="preserve"> </w:t>
      </w:r>
    </w:p>
    <w:p>
      <w:pPr>
        <w:spacing w:after="140"/>
      </w:pPr>
      <w:r>
        <w:rPr>
          <w:b/>
          <w:bCs/>
          <w:color w:val="0F172A"/>
          <w:sz w:val="21"/>
          <w:szCs w:val="21"/>
        </w:rPr>
        <w:t xml:space="preserve">Grounds (e.g. expiry of the fixed term; non-payment of rent; substantial breach of the Agreement; mutual agreement) </w:t>
      </w:r>
      <w:r>
        <w:rPr>
          <w:color w:val="94A3B8"/>
          <w:sz w:val="21"/>
          <w:szCs w:val="21"/>
        </w:rPr>
        <w:t xml:space="preserve">......................................................................</w:t>
      </w:r>
    </w:p>
    <w:p>
      <w:pPr>
        <w:pStyle w:val="Heading2"/>
        <w:spacing w:after="120" w:before="280"/>
      </w:pPr>
      <w:r>
        <w:rPr>
          <w:b/>
          <w:bCs/>
          <w:color w:val="0F172A"/>
          <w:sz w:val="24"/>
          <w:szCs w:val="24"/>
        </w:rPr>
        <w:t xml:space="preserve">3. What the Tenant must do by the termination date</w:t>
      </w:r>
    </w:p>
    <w:p>
      <w:pPr>
        <w:spacing w:after="80"/>
        <w:ind w:left="720" w:hanging="360"/>
      </w:pPr>
      <w:r>
        <w:rPr>
          <w:b/>
          <w:bCs/>
          <w:color w:val="64748B"/>
          <w:sz w:val="21"/>
          <w:szCs w:val="21"/>
        </w:rPr>
        <w:t xml:space="preserve">•  </w:t>
      </w:r>
      <w:r>
        <w:rPr>
          <w:color w:val="0F172A"/>
          <w:sz w:val="21"/>
          <w:szCs w:val="21"/>
        </w:rPr>
        <w:t xml:space="preserve">Vacate the premises and return all keys, remotes and access cards listed on the handover record.</w:t>
      </w:r>
    </w:p>
    <w:p>
      <w:pPr>
        <w:spacing w:after="80"/>
        <w:ind w:left="720" w:hanging="360"/>
      </w:pPr>
      <w:r>
        <w:rPr>
          <w:b/>
          <w:bCs/>
          <w:color w:val="64748B"/>
          <w:sz w:val="21"/>
          <w:szCs w:val="21"/>
        </w:rPr>
        <w:t xml:space="preserve">•  </w:t>
      </w:r>
      <w:r>
        <w:rPr>
          <w:color w:val="0F172A"/>
          <w:sz w:val="21"/>
          <w:szCs w:val="21"/>
        </w:rPr>
        <w:t xml:space="preserve">Leave the premises clean and in the condition recorded at move-in, fair wear and tear excepted.</w:t>
      </w:r>
    </w:p>
    <w:p>
      <w:pPr>
        <w:spacing w:after="80"/>
        <w:ind w:left="720" w:hanging="360"/>
      </w:pPr>
      <w:r>
        <w:rPr>
          <w:b/>
          <w:bCs/>
          <w:color w:val="64748B"/>
          <w:sz w:val="21"/>
          <w:szCs w:val="21"/>
        </w:rPr>
        <w:t xml:space="preserve">•  </w:t>
      </w:r>
      <w:r>
        <w:rPr>
          <w:color w:val="0F172A"/>
          <w:sz w:val="21"/>
          <w:szCs w:val="21"/>
        </w:rPr>
        <w:t xml:space="preserve">Settle rent due up to the termination date, together with any utility charges properly outstanding.</w:t>
      </w:r>
    </w:p>
    <w:p>
      <w:pPr>
        <w:spacing w:after="80"/>
        <w:ind w:left="720" w:hanging="360"/>
      </w:pPr>
      <w:r>
        <w:rPr>
          <w:b/>
          <w:bCs/>
          <w:color w:val="64748B"/>
          <w:sz w:val="21"/>
          <w:szCs w:val="21"/>
        </w:rPr>
        <w:t xml:space="preserve">•  </w:t>
      </w:r>
      <w:r>
        <w:rPr>
          <w:color w:val="0F172A"/>
          <w:sz w:val="21"/>
          <w:szCs w:val="21"/>
        </w:rPr>
        <w:t xml:space="preserve">Provide a forwarding address so the deposit and any post can be returned.</w:t>
      </w:r>
    </w:p>
    <w:p>
      <w:pPr>
        <w:spacing w:after="80"/>
        <w:ind w:left="720" w:hanging="360"/>
      </w:pPr>
      <w:r>
        <w:rPr>
          <w:b/>
          <w:bCs/>
          <w:color w:val="64748B"/>
          <w:sz w:val="21"/>
          <w:szCs w:val="21"/>
        </w:rPr>
        <w:t xml:space="preserve">•  </w:t>
      </w:r>
      <w:r>
        <w:rPr>
          <w:color w:val="0F172A"/>
          <w:sz w:val="21"/>
          <w:szCs w:val="21"/>
        </w:rPr>
        <w:t xml:space="preserve">Attend a joint move-out inspection, or propose a date in writing within 7 days of this notice.</w:t>
      </w:r>
    </w:p>
    <w:p>
      <w:pPr>
        <w:pStyle w:val="Heading2"/>
        <w:spacing w:after="120" w:before="280"/>
      </w:pPr>
      <w:r>
        <w:rPr>
          <w:b/>
          <w:bCs/>
          <w:color w:val="0F172A"/>
          <w:sz w:val="24"/>
          <w:szCs w:val="24"/>
        </w:rPr>
        <w:t xml:space="preserve">4. How the Tenant's deposit is dealt with</w:t>
      </w:r>
    </w:p>
    <w:p>
      <w:pPr>
        <w:spacing w:after="120"/>
      </w:pPr>
      <w:r>
        <w:rPr>
          <w:color w:val="0F172A"/>
          <w:sz w:val="22"/>
          <w:szCs w:val="22"/>
        </w:rPr>
        <w:t xml:space="preserve">Within 30 days of vacating and returning the keys, the Landlord will refund the deposit less any permitted deductions, together with a written itemised statement and supporting evidence. Permitted deductions are unpaid rent, evidenced utility arrears, and damage beyond fair wear and tear compared against the signed move-in condition report.</w:t>
      </w:r>
    </w:p>
    <w:p>
      <w:pPr>
        <w:spacing w:after="120"/>
      </w:pPr>
      <w:r>
        <w:rPr>
          <w:i/>
          <w:iCs/>
          <w:color w:val="64748B"/>
          <w:sz w:val="18"/>
          <w:szCs w:val="18"/>
        </w:rPr>
        <w:t xml:space="preserve">Normal wear and tear is not damage and is not chargeable. Faded paint and worn flooring from ordinary use stay with the Landlord.</w:t>
      </w:r>
    </w:p>
    <w:p>
      <w:pPr>
        <w:pBdr>
          <w:top w:val="single" w:color="CBD5E1" w:sz="6" w:space="6"/>
        </w:pBdr>
        <w:spacing w:after="60" w:before="200"/>
      </w:pPr>
      <w:r>
        <w:rPr>
          <w:b/>
          <w:bCs/>
          <w:color w:val="0F172A"/>
          <w:sz w:val="20"/>
          <w:szCs w:val="20"/>
        </w:rPr>
        <w:t xml:space="preserve">BEFORE YOU SERVE THIS NOTICE — IMPORTANT</w:t>
      </w:r>
    </w:p>
    <w:p>
      <w:pPr>
        <w:spacing w:after="60"/>
      </w:pPr>
      <w:r>
        <w:rPr>
          <w:color w:val="64748B"/>
          <w:sz w:val="19"/>
          <w:szCs w:val="19"/>
        </w:rPr>
        <w:t xml:space="preserve">Give at least one full calendar month, expiring at the end of a tenancy month. A shorter period is open to challenge.</w:t>
      </w:r>
    </w:p>
    <w:p>
      <w:pPr>
        <w:spacing w:after="60"/>
      </w:pPr>
      <w:r>
        <w:rPr>
          <w:color w:val="64748B"/>
          <w:sz w:val="19"/>
          <w:szCs w:val="19"/>
        </w:rPr>
        <w:t xml:space="preserve">Serve it in writing — by hand, registered post, or email to the address most recently notified. Record how and when you served it.</w:t>
      </w:r>
    </w:p>
    <w:p>
      <w:pPr>
        <w:spacing w:after="60"/>
      </w:pPr>
      <w:r>
        <w:rPr>
          <w:color w:val="64748B"/>
          <w:sz w:val="19"/>
          <w:szCs w:val="19"/>
        </w:rPr>
        <w:t xml:space="preserve">If the Tenant is behind on rent, this notice does not by itself recover possession. You must apply to the Rent Restriction Tribunal or the court for an order.</w:t>
      </w:r>
    </w:p>
    <w:p>
      <w:pPr>
        <w:spacing w:after="60"/>
      </w:pPr>
      <w:r>
        <w:rPr>
          <w:color w:val="64748B"/>
          <w:sz w:val="19"/>
          <w:szCs w:val="19"/>
        </w:rPr>
        <w:t xml:space="preserve">Never change the locks, remove the Tenant's goods, or cut off water or electricity to obtain possession. That is unlawful, and self-help eviction is a criminal offence.</w:t>
      </w:r>
    </w:p>
    <w:p>
      <w:pPr>
        <w:spacing w:after="60"/>
      </w:pPr>
      <w:r>
        <w:rPr>
          <w:color w:val="64748B"/>
          <w:sz w:val="19"/>
          <w:szCs w:val="19"/>
        </w:rPr>
        <w:t xml:space="preserve">Give a copy of any notice to the Rent Restriction Tribunal for the area where the premises are located.</w:t>
      </w:r>
    </w:p>
    <w:p>
      <w:pPr>
        <w:pBdr>
          <w:bottom w:val="single" w:color="CBD5E1" w:sz="6" w:space="6"/>
        </w:pBdr>
        <w:spacing w:after="160"/>
      </w:pPr>
      <w:r>
        <w:rPr>
          <w:sz w:val="2"/>
          <w:szCs w:val="2"/>
        </w:rPr>
        <w:t xml:space="preserve"/>
      </w:r>
    </w:p>
    <w:p>
      <w:pPr>
        <w:spacing w:after="200"/>
      </w:pPr>
      <w:r>
        <w:rPr>
          <w:color w:val="0F172A"/>
          <w:sz w:val="22"/>
          <w:szCs w:val="22"/>
        </w:rPr>
        <w:t xml:space="preserve">Yours faithfully,</w:t>
      </w:r>
    </w:p>
    <w:p>
      <w:pPr>
        <w:spacing w:after="80"/>
      </w:pPr>
      <w:r>
        <w:rPr>
          <w:b/>
          <w:bCs/>
          <w:color w:val="0F172A"/>
          <w:sz w:val="22"/>
          <w:szCs w:val="22"/>
        </w:rPr>
        <w:t xml:space="preserve">Landlord / agent: </w:t>
      </w:r>
      <w:r>
        <w:rPr>
          <w:color w:val="0F172A"/>
          <w:sz w:val="22"/>
          <w:szCs w:val="22"/>
        </w:rPr>
        <w:t xml:space="preserve">Achieng Odhiambo</w:t>
      </w:r>
    </w:p>
    <w:p>
      <w:pPr>
        <w:spacing w:after="80"/>
      </w:pPr>
      <w:r>
        <w:rPr>
          <w:b/>
          <w:bCs/>
          <w:color w:val="0F172A"/>
          <w:sz w:val="22"/>
          <w:szCs w:val="22"/>
        </w:rPr>
        <w:t xml:space="preserve">Contact for this notice: </w:t>
      </w:r>
      <w:r>
        <w:rPr>
          <w:color w:val="0F172A"/>
          <w:sz w:val="22"/>
          <w:szCs w:val="22"/>
        </w:rPr>
        <w:t xml:space="preserve">____________________</w:t>
      </w:r>
    </w:p>
    <w:p>
      <w:pPr>
        <w:spacing w:after="300"/>
      </w:pPr>
      <w:r>
        <w:rPr>
          <w:color w:val="0F172A"/>
          <w:sz w:val="22"/>
          <w:szCs w:val="22"/>
        </w:rPr>
        <w:t xml:space="preserve"> </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pct" w:w="2500"/>
          </w:tcPr>
          <w:p>
            <w:pPr>
              <w:spacing w:before="320"/>
            </w:pPr>
            <w:r>
              <w:rPr>
                <w:sz w:val="22"/>
                <w:szCs w:val="22"/>
              </w:rPr>
              <w:t xml:space="preserve">_______________________________</w:t>
            </w:r>
          </w:p>
          <w:p>
            <w:r>
              <w:rPr>
                <w:color w:val="64748B"/>
                <w:sz w:val="18"/>
                <w:szCs w:val="18"/>
              </w:rPr>
              <w:t xml:space="preserve">Landlord / agent — signature and date</w:t>
            </w:r>
          </w:p>
        </w:tc>
        <w:tc>
          <w:tcPr>
            <w:tcW w:type="pct" w:w="2500"/>
          </w:tcPr>
          <w:p>
            <w:pPr>
              <w:spacing w:before="320"/>
            </w:pPr>
            <w:r>
              <w:rPr>
                <w:sz w:val="22"/>
                <w:szCs w:val="22"/>
              </w:rPr>
              <w:t xml:space="preserve">_______________________________</w:t>
            </w:r>
          </w:p>
          <w:p>
            <w:r>
              <w:rPr>
                <w:color w:val="64748B"/>
                <w:sz w:val="18"/>
                <w:szCs w:val="18"/>
              </w:rPr>
              <w:t xml:space="preserve">Witness — name, signature and date</w:t>
            </w:r>
          </w:p>
        </w:tc>
      </w:tr>
    </w:tbl>
    <w:p>
      <w:pPr>
        <w:spacing w:after="200"/>
      </w:pPr>
      <w:r>
        <w:rPr>
          <w:color w:val="0F172A"/>
          <w:sz w:val="22"/>
          <w:szCs w:val="22"/>
        </w:rPr>
        <w:t xml:space="preserve"> </w:t>
      </w:r>
    </w:p>
    <w:p>
      <w:pPr>
        <w:spacing w:after="80"/>
      </w:pPr>
      <w:r>
        <w:rPr>
          <w:b/>
          <w:bCs/>
          <w:color w:val="0F172A"/>
          <w:sz w:val="22"/>
          <w:szCs w:val="22"/>
        </w:rPr>
        <w:t xml:space="preserve">Served on the Tenant by (method): </w:t>
      </w:r>
      <w:r>
        <w:rPr>
          <w:color w:val="0F172A"/>
          <w:sz w:val="22"/>
          <w:szCs w:val="22"/>
        </w:rPr>
        <w:t xml:space="preserve">☐ Hand    ☐ Registered post    ☐ Email</w:t>
      </w:r>
    </w:p>
    <w:p>
      <w:pPr>
        <w:spacing w:after="80"/>
      </w:pPr>
      <w:r>
        <w:rPr>
          <w:b/>
          <w:bCs/>
          <w:color w:val="0F172A"/>
          <w:sz w:val="22"/>
          <w:szCs w:val="22"/>
        </w:rPr>
        <w:t xml:space="preserve">Date of service: </w:t>
      </w:r>
      <w:r>
        <w:rPr>
          <w:color w:val="0F172A"/>
          <w:sz w:val="22"/>
          <w:szCs w:val="22"/>
        </w:rPr>
        <w:t xml:space="preserve">______________</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Generated by PropDesk Africa · bknglabs.dev@gmail.com · 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color w:val="0369A1"/>
        <w:sz w:val="20"/>
        <w:szCs w:val="20"/>
      </w:rPr>
      <w:t xml:space="preserve">PropDesk Africa</w:t>
    </w:r>
    <w:r>
      <w:rPr>
        <w:color w:val="64748B"/>
        <w:sz w:val="16"/>
        <w:szCs w:val="16"/>
      </w:rPr>
      <w:t xml:space="preserve">  ·  by Siemax Ltd</w:t>
    </w:r>
  </w:p>
  <w:p>
    <w:pPr>
      <w:spacing w:after="160"/>
      <w:jc w:val="right"/>
    </w:pPr>
    <w:r>
      <w:rPr>
        <w:i/>
        <w:iCs/>
        <w:color w:val="94A3B8"/>
        <w:sz w:val="16"/>
        <w:szCs w:val="16"/>
      </w:rPr>
      <w:t xml:space="preserve">Notice to Quit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Notice to Quit</dc:title>
  <dc:creator>PropDesk Africa</dc:creator>
  <dc:description>Notice to Quit</dc:description>
  <cp:lastModifiedBy>Un-named</cp:lastModifiedBy>
  <cp:revision>1</cp:revision>
  <dcterms:created xsi:type="dcterms:W3CDTF">2026-10-09T21:00:27.652Z</dcterms:created>
  <dcterms:modified xsi:type="dcterms:W3CDTF">2026-10-09T21:00:27.652Z</dcterms:modified>
</cp:coreProperties>
</file>

<file path=docProps/custom.xml><?xml version="1.0" encoding="utf-8"?>
<Properties xmlns="http://schemas.openxmlformats.org/officeDocument/2006/custom-properties" xmlns:vt="http://schemas.openxmlformats.org/officeDocument/2006/docPropsVTypes"/>
</file>