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5426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General impact of diet restrictions</w:t>
      </w:r>
    </w:p>
    <w:p w14:paraId="5C11F97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389CD221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>Intake target</w:t>
      </w:r>
      <w:r w:rsidRPr="00C4467E">
        <w:rPr>
          <w:rFonts w:eastAsia="Times New Roman" w:cs="Times New Roman"/>
          <w:sz w:val="22"/>
          <w:szCs w:val="22"/>
        </w:rPr>
        <w:t xml:space="preserve">: Optimal mixture of nutrients that meet an animal’s structural and </w:t>
      </w:r>
      <w:proofErr w:type="spellStart"/>
      <w:r w:rsidRPr="00C4467E">
        <w:rPr>
          <w:rFonts w:eastAsia="Times New Roman" w:cs="Times New Roman"/>
          <w:sz w:val="22"/>
          <w:szCs w:val="22"/>
        </w:rPr>
        <w:t>and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energetic needs</w:t>
      </w:r>
      <w:bookmarkStart w:id="0" w:name="_GoBack"/>
      <w:bookmarkEnd w:id="0"/>
    </w:p>
    <w:p w14:paraId="73360BC9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Nutritionally imbalanced diets are inevitable. Individuals will therefore </w:t>
      </w:r>
      <w:proofErr w:type="spellStart"/>
      <w:r w:rsidRPr="00C4467E">
        <w:rPr>
          <w:rFonts w:eastAsia="Times New Roman" w:cs="Times New Roman"/>
          <w:sz w:val="22"/>
          <w:szCs w:val="22"/>
        </w:rPr>
        <w:t>prioritise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one nutrient over others and consume as much food as necessary to reach the optimum for that one nutrient. This causes over- or under consumption of other nutrients.</w:t>
      </w:r>
    </w:p>
    <w:p w14:paraId="7B6F0904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Excretion of excess is limited and the over-consumption can exceed the excretion capacity. </w:t>
      </w:r>
      <w:proofErr w:type="spellStart"/>
      <w:r w:rsidRPr="00C4467E">
        <w:rPr>
          <w:rFonts w:eastAsia="Times New Roman" w:cs="Times New Roman"/>
          <w:sz w:val="22"/>
          <w:szCs w:val="22"/>
        </w:rPr>
        <w:t>Eg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animals consume excess carbohydrates as they continue to consume protein. Excess carbohydrates are converted into lipids. (</w:t>
      </w:r>
      <w:r w:rsidRPr="00C4467E">
        <w:rPr>
          <w:rFonts w:eastAsia="Times New Roman" w:cs="Times New Roman"/>
          <w:b/>
          <w:bCs/>
          <w:sz w:val="22"/>
          <w:szCs w:val="22"/>
        </w:rPr>
        <w:t xml:space="preserve">look into effects of this on animal </w:t>
      </w: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>)</w:t>
      </w:r>
    </w:p>
    <w:p w14:paraId="6DB9C6F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0B134DA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 affects resource </w:t>
      </w:r>
      <w:proofErr w:type="gramStart"/>
      <w:r w:rsidRPr="00C4467E">
        <w:rPr>
          <w:rFonts w:eastAsia="Times New Roman" w:cs="Times New Roman"/>
          <w:sz w:val="22"/>
          <w:szCs w:val="22"/>
        </w:rPr>
        <w:t>allocation .</w:t>
      </w:r>
      <w:proofErr w:type="gramEnd"/>
      <w:r w:rsidRPr="00C4467E">
        <w:rPr>
          <w:rFonts w:eastAsia="Times New Roman" w:cs="Times New Roman"/>
          <w:sz w:val="22"/>
          <w:szCs w:val="22"/>
        </w:rPr>
        <w:t>’. manipulation of diet (either amount or quality) will affect life history traits —&gt; Has been studied with varying results</w:t>
      </w:r>
    </w:p>
    <w:p w14:paraId="7E96914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Dietary restrictions —&gt; impacts </w:t>
      </w:r>
      <w:proofErr w:type="spellStart"/>
      <w:r w:rsidRPr="00C4467E">
        <w:rPr>
          <w:rFonts w:eastAsia="Times New Roman" w:cs="Times New Roman"/>
          <w:sz w:val="22"/>
          <w:szCs w:val="22"/>
        </w:rPr>
        <w:t>trade offs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between longevity and other traits; somatic damage reduced or somatic maintenance increased (or both)</w:t>
      </w:r>
    </w:p>
    <w:p w14:paraId="71501E91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al. 2015</w:t>
      </w:r>
    </w:p>
    <w:p w14:paraId="29B18F7F" w14:textId="77777777" w:rsidR="00C4467E" w:rsidRPr="00C4467E" w:rsidRDefault="00C4467E" w:rsidP="00C4467E">
      <w:pPr>
        <w:numPr>
          <w:ilvl w:val="0"/>
          <w:numId w:val="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Different ITs for different traits (e.g. evolutionary fitness, growth rates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). Theory suggests animals should attempt to reach IT required for maximum evolutionary fitness —&gt; suggests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changes </w:t>
      </w:r>
    </w:p>
    <w:p w14:paraId="1BDAC77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323E3C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impacts of varied diets</w:t>
      </w:r>
    </w:p>
    <w:p w14:paraId="02E5E2D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483C4FF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Low-protein, high-carb diet in crickets: increased calling effort (reproductive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>) —&gt; carbs are main energy source. High carb means more muscle and tissue activity</w:t>
      </w:r>
    </w:p>
    <w:p w14:paraId="4CD55662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High protein in Drosophila: ^ mating frequency and courtship. </w:t>
      </w:r>
    </w:p>
    <w:p w14:paraId="2F5FC44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High protein in </w:t>
      </w:r>
      <w:proofErr w:type="spellStart"/>
      <w:r w:rsidRPr="00C4467E">
        <w:rPr>
          <w:rFonts w:eastAsia="Times New Roman" w:cs="Times New Roman"/>
          <w:sz w:val="22"/>
          <w:szCs w:val="22"/>
        </w:rPr>
        <w:t>mormon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crickets: lower cannibalism</w:t>
      </w:r>
    </w:p>
    <w:p w14:paraId="07FA5128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29083231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3A7A404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2009</w:t>
      </w:r>
    </w:p>
    <w:p w14:paraId="7F014373" w14:textId="77777777" w:rsidR="00C4467E" w:rsidRPr="00C4467E" w:rsidRDefault="00C4467E" w:rsidP="00C4467E">
      <w:pPr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 personality: Average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of an individual across multiple contexts</w:t>
      </w:r>
    </w:p>
    <w:p w14:paraId="6E859A8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1686CBCC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Studies on birds show that early life diet affects personality (namely aggression and exploration)</w:t>
      </w:r>
    </w:p>
    <w:p w14:paraId="4C4509F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 xml:space="preserve"> stability: </w:t>
      </w:r>
      <w:r w:rsidRPr="00C4467E">
        <w:rPr>
          <w:rFonts w:eastAsia="Times New Roman" w:cs="Times New Roman"/>
          <w:sz w:val="22"/>
          <w:szCs w:val="22"/>
        </w:rPr>
        <w:t>within-individual variation. High quality diets during development may enable individuals to alter their aggression levels in adulthood while the opposite would be true for low quality diets [ref 33 and 34]</w:t>
      </w:r>
    </w:p>
    <w:p w14:paraId="0F9CB6D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changes impacted morphology not personality in crickets</w:t>
      </w:r>
    </w:p>
    <w:p w14:paraId="0A1FACC7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was not enough to offset juvenile high carb diet effects [ref 83]</w:t>
      </w:r>
    </w:p>
    <w:p w14:paraId="7C341120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differentiation affected by juvenile diet - high protein —&gt; increased male aggression, decreased within-</w:t>
      </w:r>
      <w:proofErr w:type="spellStart"/>
      <w:r w:rsidRPr="00C4467E">
        <w:rPr>
          <w:rFonts w:eastAsia="Times New Roman" w:cs="Times New Roman"/>
          <w:sz w:val="22"/>
          <w:szCs w:val="22"/>
        </w:rPr>
        <w:t>ind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variation</w:t>
      </w:r>
    </w:p>
    <w:p w14:paraId="7481F9B9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Evidence of aggression and exploration being impacted by early life diet in birds [ref 10] (but what about short term adult diets?)</w:t>
      </w:r>
    </w:p>
    <w:p w14:paraId="39562D3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A1145F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Mechanisms</w:t>
      </w:r>
    </w:p>
    <w:p w14:paraId="43B5C3EF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2F2A924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0F3B4BB9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They can also interact with genes - e.g. environment alters level of gene expression.</w:t>
      </w:r>
    </w:p>
    <w:p w14:paraId="70D4B113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 can also affect gene expression that relate to neurotransmitter breakdowns (which are connected to multiple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 [ref 60, 61]</w:t>
      </w:r>
    </w:p>
    <w:p w14:paraId="2A9A20F0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lastRenderedPageBreak/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75EE548D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532E9C5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Poor nutrition negatively impacts neuromuscular </w:t>
      </w:r>
      <w:proofErr w:type="gramStart"/>
      <w:r w:rsidRPr="00C4467E">
        <w:rPr>
          <w:rFonts w:eastAsia="Times New Roman" w:cs="Times New Roman"/>
          <w:sz w:val="22"/>
          <w:szCs w:val="22"/>
        </w:rPr>
        <w:t>development .</w:t>
      </w:r>
      <w:proofErr w:type="gramEnd"/>
      <w:r w:rsidRPr="00C4467E">
        <w:rPr>
          <w:rFonts w:eastAsia="Times New Roman" w:cs="Times New Roman"/>
          <w:sz w:val="22"/>
          <w:szCs w:val="22"/>
        </w:rPr>
        <w:t>’. predicted to also negatively impact sociality. </w:t>
      </w:r>
    </w:p>
    <w:p w14:paraId="3E314811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Protein mainly impacts aggression/boldness. Low protein means more aggressive/bold because they have less to lose</w:t>
      </w:r>
    </w:p>
    <w:p w14:paraId="03A69B6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29A589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Molecular level = variation in coping ability of cells in response to dietary restrictions. e.g. dietary restriction generates variation in mitochondrial DNA replication and associated replication </w:t>
      </w:r>
      <w:proofErr w:type="gramStart"/>
      <w:r w:rsidRPr="00C4467E">
        <w:rPr>
          <w:rFonts w:eastAsia="Times New Roman" w:cs="Times New Roman"/>
          <w:sz w:val="22"/>
          <w:szCs w:val="22"/>
        </w:rPr>
        <w:t>errors .</w:t>
      </w:r>
      <w:proofErr w:type="gramEnd"/>
      <w:r w:rsidRPr="00C4467E">
        <w:rPr>
          <w:rFonts w:eastAsia="Times New Roman" w:cs="Times New Roman"/>
          <w:sz w:val="22"/>
          <w:szCs w:val="22"/>
        </w:rPr>
        <w:t>’. somatic decline [see ref 19]</w:t>
      </w:r>
    </w:p>
    <w:p w14:paraId="4EAB0C71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level = restrictions influence energy and resource allocation &gt;&gt; adopt different life history strategies (variance in longevity). [see ref 20]</w:t>
      </w:r>
    </w:p>
    <w:p w14:paraId="130935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Differences in digestive/post-</w:t>
      </w:r>
      <w:proofErr w:type="spellStart"/>
      <w:r w:rsidRPr="00C4467E">
        <w:rPr>
          <w:rFonts w:eastAsia="Times New Roman" w:cs="Times New Roman"/>
          <w:sz w:val="22"/>
          <w:szCs w:val="22"/>
        </w:rPr>
        <w:t>ingestive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physiology which influences variation in efficiency of resource acquisition. [ref 10]</w:t>
      </w:r>
    </w:p>
    <w:p w14:paraId="63687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Soares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2010</w:t>
      </w:r>
    </w:p>
    <w:p w14:paraId="391126F6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heavily influence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especially sociality </w:t>
      </w:r>
      <w:proofErr w:type="gramStart"/>
      <w:r w:rsidRPr="00C4467E">
        <w:rPr>
          <w:rFonts w:eastAsia="Times New Roman" w:cs="Times New Roman"/>
          <w:sz w:val="22"/>
          <w:szCs w:val="22"/>
        </w:rPr>
        <w:t>in regards to</w:t>
      </w:r>
      <w:proofErr w:type="gramEnd"/>
      <w:r w:rsidRPr="00C4467E">
        <w:rPr>
          <w:rFonts w:eastAsia="Times New Roman" w:cs="Times New Roman"/>
          <w:sz w:val="22"/>
          <w:szCs w:val="22"/>
        </w:rPr>
        <w:t xml:space="preserve"> aggression —&gt; look up papers to back up diets impact on testosterone/hormone levels</w:t>
      </w:r>
    </w:p>
    <w:p w14:paraId="62108248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One hormone impacts different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aspects which depends on life history and social context [ref Winfield 2008]</w:t>
      </w:r>
    </w:p>
    <w:p w14:paraId="2E62F8F9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can also affect gene expression rather than having direct impacts on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—&gt; increase/decrease in likelihood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expression rather than deterministic factors</w:t>
      </w:r>
    </w:p>
    <w:p w14:paraId="25F622C1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Entire paper discusses neurotransmitters, hormones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 a mechanism for social regulation. Find papers to support diet influence on hormone levels to make this paper viable. </w:t>
      </w:r>
    </w:p>
    <w:p w14:paraId="6EA005B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0C089294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Mutation of the gene encoding fibroblast growth factor receptor 1a (fgfr1a) increases aggression, boldness and exploration in adult zebrafish. </w:t>
      </w:r>
    </w:p>
    <w:p w14:paraId="3FEC01B8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Check ref Bell 2005 and Bell and </w:t>
      </w:r>
      <w:proofErr w:type="spellStart"/>
      <w:r w:rsidRPr="00C4467E">
        <w:rPr>
          <w:rFonts w:eastAsia="Times New Roman" w:cs="Times New Roman"/>
          <w:sz w:val="22"/>
          <w:szCs w:val="22"/>
        </w:rPr>
        <w:t>Sih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2007</w:t>
      </w:r>
    </w:p>
    <w:p w14:paraId="5C0AD46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Again, find references that show how diet influences growth factor/neurotransmitter levels </w:t>
      </w:r>
    </w:p>
    <w:p w14:paraId="26831DC1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States that a combination of genetic/hormonal constraint and environmental conditions controls expression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syndromes —&gt; Very small part of the paper. Literally one sentence. </w:t>
      </w:r>
    </w:p>
    <w:p w14:paraId="0F1940A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assays are sensitive to changes in feeding regimen, diet, lighting condition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[ref </w:t>
      </w:r>
      <w:proofErr w:type="spellStart"/>
      <w:r w:rsidRPr="00C4467E">
        <w:rPr>
          <w:rFonts w:eastAsia="Times New Roman" w:cs="Times New Roman"/>
          <w:sz w:val="22"/>
          <w:szCs w:val="22"/>
        </w:rPr>
        <w:t>Wahlsten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2006; Burgess and </w:t>
      </w:r>
      <w:proofErr w:type="spellStart"/>
      <w:r w:rsidRPr="00C4467E">
        <w:rPr>
          <w:rFonts w:eastAsia="Times New Roman" w:cs="Times New Roman"/>
          <w:sz w:val="22"/>
          <w:szCs w:val="22"/>
        </w:rPr>
        <w:t>Granato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2008)</w:t>
      </w:r>
    </w:p>
    <w:p w14:paraId="56D1B1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80AD5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 xml:space="preserve">Variance and </w:t>
      </w: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correlations</w:t>
      </w:r>
    </w:p>
    <w:p w14:paraId="74868FA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6941406C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Nutritional balance affects among-individual variance</w:t>
      </w:r>
    </w:p>
    <w:p w14:paraId="075151C5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Gene pleiotropy: </w:t>
      </w:r>
      <w:r w:rsidRPr="00C4467E">
        <w:rPr>
          <w:rFonts w:eastAsia="Times New Roman" w:cs="Times New Roman"/>
          <w:sz w:val="22"/>
          <w:szCs w:val="22"/>
        </w:rPr>
        <w:t>One gene controls multiple phenotypes</w:t>
      </w:r>
    </w:p>
    <w:p w14:paraId="55BAA092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Linkage disequilibrium: </w:t>
      </w:r>
      <w:r w:rsidRPr="00C4467E">
        <w:rPr>
          <w:rFonts w:eastAsia="Times New Roman" w:cs="Times New Roman"/>
          <w:sz w:val="22"/>
          <w:szCs w:val="22"/>
        </w:rPr>
        <w:t>Genes affecting one phenotype are correlated with another gene</w:t>
      </w:r>
    </w:p>
    <w:p w14:paraId="73AEEF1B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Environmental conditions also affect expression of gene </w:t>
      </w:r>
      <w:proofErr w:type="gramStart"/>
      <w:r w:rsidRPr="00C4467E">
        <w:rPr>
          <w:rFonts w:eastAsia="Times New Roman" w:cs="Times New Roman"/>
          <w:sz w:val="22"/>
          <w:szCs w:val="22"/>
        </w:rPr>
        <w:t>pleiotropy .</w:t>
      </w:r>
      <w:proofErr w:type="gramEnd"/>
      <w:r w:rsidRPr="00C4467E">
        <w:rPr>
          <w:rFonts w:eastAsia="Times New Roman" w:cs="Times New Roman"/>
          <w:sz w:val="22"/>
          <w:szCs w:val="22"/>
        </w:rPr>
        <w:t>’. strength of correlation.</w:t>
      </w:r>
    </w:p>
    <w:p w14:paraId="1917D87F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42D93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2186E0BE" w14:textId="77777777" w:rsidR="00C4467E" w:rsidRPr="00C4467E" w:rsidRDefault="00C4467E" w:rsidP="00C4467E">
      <w:pPr>
        <w:numPr>
          <w:ilvl w:val="0"/>
          <w:numId w:val="1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Aggression, boldness and exploration in a novel environment shown to be linked </w:t>
      </w:r>
    </w:p>
    <w:p w14:paraId="4E68AD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0C2640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between-individual variance in fitness-related traits are higher on a single food diet.</w:t>
      </w:r>
    </w:p>
    <w:p w14:paraId="5C84E1E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 suggest that selection on traits correlated with nutritional requirements is weak in </w:t>
      </w:r>
      <w:proofErr w:type="spellStart"/>
      <w:r w:rsidRPr="00C4467E">
        <w:rPr>
          <w:rFonts w:eastAsia="Times New Roman" w:cs="Times New Roman"/>
          <w:sz w:val="22"/>
          <w:szCs w:val="22"/>
        </w:rPr>
        <w:t>heterogenous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C4467E">
        <w:rPr>
          <w:rFonts w:eastAsia="Times New Roman" w:cs="Times New Roman"/>
          <w:sz w:val="22"/>
          <w:szCs w:val="22"/>
        </w:rPr>
        <w:t>env</w:t>
      </w:r>
      <w:proofErr w:type="spellEnd"/>
      <w:r w:rsidRPr="00C4467E">
        <w:rPr>
          <w:rFonts w:eastAsia="Times New Roman" w:cs="Times New Roman"/>
          <w:sz w:val="22"/>
          <w:szCs w:val="22"/>
        </w:rPr>
        <w:t>.</w:t>
      </w:r>
    </w:p>
    <w:p w14:paraId="70DBF219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Mixed diet = most individuals able to reach IT. Single food diet = Some individuals get closer to IT than </w:t>
      </w:r>
      <w:proofErr w:type="gramStart"/>
      <w:r w:rsidRPr="00C4467E">
        <w:rPr>
          <w:rFonts w:eastAsia="Times New Roman" w:cs="Times New Roman"/>
          <w:sz w:val="22"/>
          <w:szCs w:val="22"/>
        </w:rPr>
        <w:t>others .</w:t>
      </w:r>
      <w:proofErr w:type="gramEnd"/>
      <w:r w:rsidRPr="00C4467E">
        <w:rPr>
          <w:rFonts w:eastAsia="Times New Roman" w:cs="Times New Roman"/>
          <w:sz w:val="22"/>
          <w:szCs w:val="22"/>
        </w:rPr>
        <w:t>’. higher variance in fitness</w:t>
      </w:r>
    </w:p>
    <w:p w14:paraId="40E3A15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al. 2009 </w:t>
      </w:r>
    </w:p>
    <w:p w14:paraId="77B174F9" w14:textId="77777777" w:rsidR="00C4467E" w:rsidRP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Personality and individual plasticity might be linked [ref 7, 26, 27]. Mouse aggression level example = ref 29. Link to vertebrates since many studies have been done on inverts.</w:t>
      </w:r>
    </w:p>
    <w:p w14:paraId="6DE163A6" w14:textId="77777777" w:rsidR="00C4467E" w:rsidRP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Argues that to understand both animal personality and individual plasticity, they need to be studied in conjunction —&gt; enables future research to answer harder questions. i.e. why selection </w:t>
      </w:r>
      <w:proofErr w:type="spellStart"/>
      <w:r w:rsidRPr="00C4467E">
        <w:rPr>
          <w:rFonts w:eastAsia="Times New Roman" w:cs="Times New Roman"/>
          <w:sz w:val="22"/>
          <w:szCs w:val="22"/>
        </w:rPr>
        <w:t>favours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specific links between the two.</w:t>
      </w:r>
    </w:p>
    <w:p w14:paraId="7AB8C66C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1DA1057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5B4CD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Significance</w:t>
      </w:r>
    </w:p>
    <w:p w14:paraId="5A9EDCA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1B8477CC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Most studies done on invertebrates, few experimental</w:t>
      </w:r>
    </w:p>
    <w:p w14:paraId="43F48142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Diversity of intake targets across taxa - effects of diet restriction will also be diverse</w:t>
      </w:r>
    </w:p>
    <w:p w14:paraId="160FAB01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Extreme scenarios could happen to a population where dispersion is limited.</w:t>
      </w:r>
    </w:p>
    <w:p w14:paraId="721FF9A9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Sexual differences are predicted since there are sex specific nutritional needs —&gt; All female population used</w:t>
      </w:r>
    </w:p>
    <w:p w14:paraId="4FB9C05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415358F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Justifies between-individual variance as a research topic - drives selection and adaptation. Also sheds light on how numerous species co-exist</w:t>
      </w:r>
    </w:p>
    <w:p w14:paraId="5CB461E6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Sex differences - foraging priorities and diet requirements [ref </w:t>
      </w:r>
      <w:proofErr w:type="spellStart"/>
      <w:r w:rsidRPr="00C4467E">
        <w:rPr>
          <w:rFonts w:eastAsia="Times New Roman" w:cs="Times New Roman"/>
          <w:sz w:val="22"/>
          <w:szCs w:val="22"/>
        </w:rPr>
        <w:t>Lihoreau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al. 2015 and </w:t>
      </w:r>
      <w:proofErr w:type="spellStart"/>
      <w:r w:rsidRPr="00C4467E">
        <w:rPr>
          <w:rFonts w:eastAsia="Times New Roman" w:cs="Times New Roman"/>
          <w:sz w:val="22"/>
          <w:szCs w:val="22"/>
        </w:rPr>
        <w:t>Maklakov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2008 for examples]</w:t>
      </w:r>
    </w:p>
    <w:p w14:paraId="0F1CA22E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Mentions the most beneficial IT (evolutionary fitness)</w:t>
      </w:r>
    </w:p>
    <w:p w14:paraId="5886683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37591E4F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Males and females differ in their response to nutritional environment because of differing nutritional preferences [ref 26 36-39]</w:t>
      </w:r>
    </w:p>
    <w:p w14:paraId="70ECA11A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Suggests cricket females require more protein as they preferentially fed on protein rich diets when given the choice - however no significant sex differences in mean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levels in response to diet. High protein need because egg production. [ref 39]</w:t>
      </w:r>
    </w:p>
    <w:p w14:paraId="40ED4B92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sequential testing may have carry on effects</w:t>
      </w:r>
    </w:p>
    <w:p w14:paraId="6A78F3E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D3108C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  <w:u w:val="single"/>
        </w:rPr>
        <w:t>FOCUS FOR LAST PARAGRAPH</w:t>
      </w:r>
    </w:p>
    <w:p w14:paraId="1D29C44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AIMS</w:t>
      </w:r>
    </w:p>
    <w:p w14:paraId="665BD4C5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Test short term impacts of diet quality on L. </w:t>
      </w:r>
      <w:proofErr w:type="spellStart"/>
      <w:r w:rsidRPr="00C4467E">
        <w:rPr>
          <w:rFonts w:eastAsia="Times New Roman" w:cs="Times New Roman"/>
          <w:sz w:val="22"/>
          <w:szCs w:val="22"/>
        </w:rPr>
        <w:t>delicata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sociality, </w:t>
      </w:r>
      <w:proofErr w:type="spellStart"/>
      <w:r w:rsidRPr="00C4467E">
        <w:rPr>
          <w:rFonts w:eastAsia="Times New Roman" w:cs="Times New Roman"/>
          <w:sz w:val="22"/>
          <w:szCs w:val="22"/>
        </w:rPr>
        <w:t>neophobia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and activity. </w:t>
      </w:r>
    </w:p>
    <w:p w14:paraId="6BFE88DE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Observe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correlations between traits and among-individual variance - do they persist in nutrient-limited environments?</w:t>
      </w:r>
    </w:p>
    <w:p w14:paraId="1ED59DC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041333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PREDICTIONS</w:t>
      </w:r>
    </w:p>
    <w:p w14:paraId="6F98D1C1" w14:textId="77777777" w:rsidR="00C4467E" w:rsidRPr="00C4467E" w:rsidRDefault="00C4467E" w:rsidP="00C4467E">
      <w:pPr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Sociability is expected to be higher in the low nutrient group based on previous studies that showed similar results in invertebrates. Individuals fed a higher quality diet are expected to be more active and neophobic than their nutrient-poor counterparts.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</w:t>
      </w:r>
    </w:p>
    <w:p w14:paraId="54B3C6E2" w14:textId="77777777" w:rsidR="00C4467E" w:rsidRPr="00C4467E" w:rsidRDefault="00C4467E" w:rsidP="00C4467E">
      <w:pPr>
        <w:numPr>
          <w:ilvl w:val="0"/>
          <w:numId w:val="1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 balance affects among-individual variance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2015). Increase in inter individual variance when on single food diet (Senior et al 2015)</w:t>
      </w:r>
    </w:p>
    <w:p w14:paraId="0FE1A9F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5F43193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TO THINK ABOUT</w:t>
      </w:r>
    </w:p>
    <w:p w14:paraId="2C2C1A3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Add clarity/questions/predictions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</w:p>
    <w:p w14:paraId="32F5AC4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Experimental design in a figure —&gt; flowchart? </w:t>
      </w:r>
    </w:p>
    <w:p w14:paraId="15DE2D61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Intro: 3-3.5 pages (1.5 spaced)</w:t>
      </w:r>
    </w:p>
    <w:p w14:paraId="077FAE1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Methods: Detailed </w:t>
      </w:r>
    </w:p>
    <w:p w14:paraId="4845951F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Results: 1 </w:t>
      </w:r>
      <w:proofErr w:type="spellStart"/>
      <w:r w:rsidRPr="00C4467E">
        <w:rPr>
          <w:rFonts w:eastAsia="Times New Roman" w:cs="Times New Roman"/>
          <w:sz w:val="22"/>
          <w:szCs w:val="22"/>
        </w:rPr>
        <w:t>pageish</w:t>
      </w:r>
      <w:proofErr w:type="spellEnd"/>
    </w:p>
    <w:p w14:paraId="3076A306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Discussion: 3-4 pages (1.5 spaced)</w:t>
      </w:r>
    </w:p>
    <w:p w14:paraId="5258F213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Maybe add male and female dependent on how it goes? </w:t>
      </w:r>
    </w:p>
    <w:p w14:paraId="394B9506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23A0E405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i/>
          <w:iCs/>
          <w:sz w:val="22"/>
          <w:szCs w:val="22"/>
        </w:rPr>
        <w:t>Discussion maybe</w:t>
      </w:r>
    </w:p>
    <w:p w14:paraId="6E584950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Trophic level of consumer is important to consider</w:t>
      </w:r>
    </w:p>
    <w:p w14:paraId="4C01766D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Fitness trait under observation may be the most important moderator - Single food diet had a particularly high impact on the variance in longevity and reproductive traits. Suggests considerable between-individual variation in the ITs associated with these traits</w:t>
      </w:r>
    </w:p>
    <w:p w14:paraId="6F2910E1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Animals should display exploratory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especially when facing nutritional imbalance. [ref day et al 1998; Houston et al 2011]</w:t>
      </w:r>
    </w:p>
    <w:p w14:paraId="15798D6A" w14:textId="77777777" w:rsidR="00C4467E" w:rsidRPr="00C4467E" w:rsidRDefault="00C4467E" w:rsidP="00C4467E">
      <w:pPr>
        <w:rPr>
          <w:sz w:val="22"/>
          <w:szCs w:val="22"/>
        </w:rPr>
      </w:pPr>
    </w:p>
    <w:sectPr w:rsidR="00C4467E" w:rsidRPr="00C4467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E23B4"/>
    <w:multiLevelType w:val="multilevel"/>
    <w:tmpl w:val="F8B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D41E6"/>
    <w:multiLevelType w:val="multilevel"/>
    <w:tmpl w:val="BC1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8769D"/>
    <w:multiLevelType w:val="multilevel"/>
    <w:tmpl w:val="5B6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73A75"/>
    <w:multiLevelType w:val="multilevel"/>
    <w:tmpl w:val="AC0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A5D17"/>
    <w:multiLevelType w:val="multilevel"/>
    <w:tmpl w:val="098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E394E"/>
    <w:multiLevelType w:val="multilevel"/>
    <w:tmpl w:val="4FA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853BF"/>
    <w:multiLevelType w:val="multilevel"/>
    <w:tmpl w:val="13F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C58EE"/>
    <w:multiLevelType w:val="multilevel"/>
    <w:tmpl w:val="E97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63DE1"/>
    <w:multiLevelType w:val="multilevel"/>
    <w:tmpl w:val="3D7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D1178"/>
    <w:multiLevelType w:val="multilevel"/>
    <w:tmpl w:val="A11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13E61"/>
    <w:multiLevelType w:val="multilevel"/>
    <w:tmpl w:val="9EE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472455"/>
    <w:multiLevelType w:val="multilevel"/>
    <w:tmpl w:val="36F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BD3A0B"/>
    <w:multiLevelType w:val="multilevel"/>
    <w:tmpl w:val="068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5207BD"/>
    <w:multiLevelType w:val="multilevel"/>
    <w:tmpl w:val="23A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C6169F"/>
    <w:multiLevelType w:val="multilevel"/>
    <w:tmpl w:val="23C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CB5811"/>
    <w:multiLevelType w:val="multilevel"/>
    <w:tmpl w:val="9AB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A26314"/>
    <w:multiLevelType w:val="multilevel"/>
    <w:tmpl w:val="601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3D3526"/>
    <w:multiLevelType w:val="multilevel"/>
    <w:tmpl w:val="488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DB59D4"/>
    <w:multiLevelType w:val="multilevel"/>
    <w:tmpl w:val="E1F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910877"/>
    <w:multiLevelType w:val="multilevel"/>
    <w:tmpl w:val="B67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B0CF5"/>
    <w:multiLevelType w:val="multilevel"/>
    <w:tmpl w:val="A6B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3"/>
  </w:num>
  <w:num w:numId="7">
    <w:abstractNumId w:val="18"/>
  </w:num>
  <w:num w:numId="8">
    <w:abstractNumId w:val="12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 w:numId="18">
    <w:abstractNumId w:val="17"/>
  </w:num>
  <w:num w:numId="19">
    <w:abstractNumId w:val="20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E"/>
    <w:rsid w:val="002410E8"/>
    <w:rsid w:val="00893567"/>
    <w:rsid w:val="00C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1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4">
    <w:name w:val="p4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character" w:customStyle="1" w:styleId="s2">
    <w:name w:val="s2"/>
    <w:basedOn w:val="DefaultParagraphFont"/>
    <w:rsid w:val="00C4467E"/>
    <w:rPr>
      <w:u w:val="single"/>
    </w:rPr>
  </w:style>
  <w:style w:type="character" w:customStyle="1" w:styleId="s1">
    <w:name w:val="s1"/>
    <w:basedOn w:val="DefaultParagraphFont"/>
    <w:rsid w:val="00C4467E"/>
  </w:style>
  <w:style w:type="character" w:customStyle="1" w:styleId="apple-converted-space">
    <w:name w:val="apple-converted-space"/>
    <w:basedOn w:val="DefaultParagraphFont"/>
    <w:rsid w:val="00C4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1370</Words>
  <Characters>7811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kayelle.03@gmail.com</cp:lastModifiedBy>
  <cp:revision>1</cp:revision>
  <dcterms:created xsi:type="dcterms:W3CDTF">2017-08-16T00:19:00Z</dcterms:created>
  <dcterms:modified xsi:type="dcterms:W3CDTF">2017-08-16T00:26:00Z</dcterms:modified>
</cp:coreProperties>
</file>