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color="auto" w:fill="2D5016"/>
            <w:tcBorders>
              <w:top w:val="single" w:sz="4" w:space="0" w:color="2D5016"/>
              <w:left w:val="single" w:sz="4" w:space="0" w:color="2D5016"/>
              <w:bottom w:val="single" w:sz="4" w:space="0" w:color="2D5016"/>
              <w:right w:val="single" w:sz="4" w:space="0" w:color="2D5016"/>
            </w:tcBorders>
            <w:tcMar>
              <w:top w:w="140" w:type="dxa"/>
              <w:bottom w:w="140" w:type="dxa"/>
              <w:left w:w="160" w:type="dxa"/>
              <w:right w:w="160" w:type="dxa"/>
            </w:tcMar>
            <w:tcW w:w="3200" w:type="dxa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87504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r-logo-whit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8750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shd w:val="clear" w:color="auto" w:fill="2D5016"/>
            <w:tcBorders>
              <w:top w:val="single" w:sz="4" w:space="0" w:color="2D5016"/>
              <w:left w:val="single" w:sz="4" w:space="0" w:color="2D5016"/>
              <w:bottom w:val="single" w:sz="4" w:space="0" w:color="2D5016"/>
              <w:right w:val="single" w:sz="4" w:space="0" w:color="2D5016"/>
            </w:tcBorders>
            <w:tcMar>
              <w:top w:w="140" w:type="dxa"/>
              <w:bottom w:w="140" w:type="dxa"/>
              <w:left w:w="160" w:type="dxa"/>
              <w:right w:w="160" w:type="dxa"/>
            </w:tcMar>
            <w:tcW w:w="6160" w:type="dxa"/>
          </w:tcPr>
          <w:p>
            <w:r>
              <w:rPr>
                <w:rFonts w:ascii="Arial" w:hAnsi="Arial"/>
                <w:b/>
                <w:color w:val="FFFFFF"/>
                <w:sz w:val="36"/>
              </w:rPr>
              <w:t>WEATHERIZATION WORK ORDER</w:t>
            </w:r>
          </w:p>
          <w:p>
            <w:r>
              <w:rPr>
                <w:rFonts w:ascii="Arial" w:hAnsi="Arial"/>
                <w:color w:val="FFFFFF"/>
                <w:sz w:val="20"/>
              </w:rPr>
              <w:t>Alder Residence — Portland, OR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color="auto" w:fill="E7EEE1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600" w:type="dxa"/>
          </w:tcPr>
          <w:p>
            <w:r>
              <w:rPr>
                <w:rFonts w:ascii="Arial" w:hAnsi="Arial"/>
                <w:b/>
                <w:sz w:val="20"/>
              </w:rPr>
              <w:t>Customer</w:t>
            </w:r>
          </w:p>
        </w:tc>
        <w:tc>
          <w:tcPr>
            <w:tcW w:type="dxa" w:w="5112"/>
            <w:shd w:val="clear" w:color="auto" w:fill="E7EEE1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6760" w:type="dxa"/>
          </w:tcPr>
          <w:p>
            <w:r>
              <w:rPr>
                <w:rFonts w:ascii="Arial" w:hAnsi="Arial"/>
                <w:sz w:val="20"/>
              </w:rPr>
              <w:t>Casey Alder</w:t>
            </w:r>
          </w:p>
        </w:tc>
      </w:tr>
      <w:tr>
        <w:tc>
          <w:tcPr>
            <w:tcW w:type="dxa" w:w="5112"/>
            <w:shd w:val="clear" w:color="auto" w:fill="FFFFFF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600" w:type="dxa"/>
          </w:tcPr>
          <w:p>
            <w:r>
              <w:rPr>
                <w:rFonts w:ascii="Arial" w:hAnsi="Arial"/>
                <w:b/>
                <w:sz w:val="20"/>
              </w:rPr>
              <w:t>Address</w:t>
            </w:r>
          </w:p>
        </w:tc>
        <w:tc>
          <w:tcPr>
            <w:tcW w:type="dxa" w:w="5112"/>
            <w:shd w:val="clear" w:color="auto" w:fill="FFFFFF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6760" w:type="dxa"/>
          </w:tcPr>
          <w:p>
            <w:r>
              <w:rPr>
                <w:rFonts w:ascii="Arial" w:hAnsi="Arial"/>
                <w:sz w:val="20"/>
              </w:rPr>
              <w:t>1234 SE Alder St, Portland, OR 97215</w:t>
            </w:r>
          </w:p>
        </w:tc>
      </w:tr>
      <w:tr>
        <w:tc>
          <w:tcPr>
            <w:tcW w:type="dxa" w:w="5112"/>
            <w:shd w:val="clear" w:color="auto" w:fill="E7EEE1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600" w:type="dxa"/>
          </w:tcPr>
          <w:p>
            <w:r>
              <w:rPr>
                <w:rFonts w:ascii="Arial" w:hAnsi="Arial"/>
                <w:b/>
                <w:sz w:val="20"/>
              </w:rPr>
              <w:t>Phone</w:t>
            </w:r>
          </w:p>
        </w:tc>
        <w:tc>
          <w:tcPr>
            <w:tcW w:type="dxa" w:w="5112"/>
            <w:shd w:val="clear" w:color="auto" w:fill="E7EEE1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6760" w:type="dxa"/>
          </w:tcPr>
          <w:p>
            <w:r>
              <w:rPr>
                <w:rFonts w:ascii="Arial" w:hAnsi="Arial"/>
                <w:sz w:val="20"/>
              </w:rPr>
              <w:t>(503) 555-0136</w:t>
            </w:r>
          </w:p>
        </w:tc>
      </w:tr>
      <w:tr>
        <w:tc>
          <w:tcPr>
            <w:tcW w:type="dxa" w:w="5112"/>
            <w:shd w:val="clear" w:color="auto" w:fill="FFFFFF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600" w:type="dxa"/>
          </w:tcPr>
          <w:p>
            <w:r>
              <w:rPr>
                <w:rFonts w:ascii="Arial" w:hAnsi="Arial"/>
                <w:b/>
                <w:sz w:val="20"/>
              </w:rPr>
              <w:t>Questions on site</w:t>
            </w:r>
          </w:p>
        </w:tc>
        <w:tc>
          <w:tcPr>
            <w:tcW w:type="dxa" w:w="5112"/>
            <w:shd w:val="clear" w:color="auto" w:fill="FFFFFF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6760" w:type="dxa"/>
          </w:tcPr>
          <w:p>
            <w:r>
              <w:rPr>
                <w:rFonts w:ascii="Arial" w:hAnsi="Arial"/>
                <w:sz w:val="20"/>
              </w:rPr>
              <w:t>Kyle — (503) 555-0117</w:t>
            </w:r>
          </w:p>
        </w:tc>
      </w:tr>
      <w:tr>
        <w:tc>
          <w:tcPr>
            <w:tcW w:type="dxa" w:w="5112"/>
            <w:shd w:val="clear" w:color="auto" w:fill="E7EEE1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600" w:type="dxa"/>
          </w:tcPr>
          <w:p>
            <w:r>
              <w:rPr>
                <w:rFonts w:ascii="Arial" w:hAnsi="Arial"/>
                <w:b/>
                <w:sz w:val="20"/>
              </w:rPr>
              <w:t>Job #</w:t>
            </w:r>
          </w:p>
        </w:tc>
        <w:tc>
          <w:tcPr>
            <w:tcW w:type="dxa" w:w="5112"/>
            <w:shd w:val="clear" w:color="auto" w:fill="E7EEE1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6760" w:type="dxa"/>
          </w:tcPr>
          <w:p>
            <w:r>
              <w:rPr>
                <w:rFonts w:ascii="Arial" w:hAnsi="Arial"/>
                <w:sz w:val="20"/>
              </w:rPr>
              <w:t>2026-0714</w:t>
            </w:r>
          </w:p>
        </w:tc>
      </w:tr>
      <w:tr>
        <w:tc>
          <w:tcPr>
            <w:tcW w:type="dxa" w:w="5112"/>
            <w:shd w:val="clear" w:color="auto" w:fill="FFFFFF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600" w:type="dxa"/>
          </w:tcPr>
          <w:p>
            <w:r>
              <w:rPr>
                <w:rFonts w:ascii="Arial" w:hAnsi="Arial"/>
                <w:b/>
                <w:sz w:val="20"/>
              </w:rPr>
              <w:t>Install Dates</w:t>
            </w:r>
          </w:p>
        </w:tc>
        <w:tc>
          <w:tcPr>
            <w:tcW w:type="dxa" w:w="5112"/>
            <w:shd w:val="clear" w:color="auto" w:fill="FFFFFF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6760" w:type="dxa"/>
          </w:tcPr>
          <w:p>
            <w:r>
              <w:rPr>
                <w:rFonts w:ascii="Arial" w:hAnsi="Arial"/>
                <w:sz w:val="20"/>
              </w:rPr>
              <w:t>___________________________</w:t>
            </w:r>
          </w:p>
        </w:tc>
      </w:tr>
      <w:tr>
        <w:tc>
          <w:tcPr>
            <w:tcW w:type="dxa" w:w="5112"/>
            <w:shd w:val="clear" w:color="auto" w:fill="E7EEE1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600" w:type="dxa"/>
          </w:tcPr>
          <w:p>
            <w:r>
              <w:rPr>
                <w:rFonts w:ascii="Arial" w:hAnsi="Arial"/>
                <w:b/>
                <w:sz w:val="20"/>
              </w:rPr>
              <w:t>Crew Lead</w:t>
            </w:r>
          </w:p>
        </w:tc>
        <w:tc>
          <w:tcPr>
            <w:tcW w:type="dxa" w:w="5112"/>
            <w:shd w:val="clear" w:color="auto" w:fill="E7EEE1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6760" w:type="dxa"/>
          </w:tcPr>
          <w:p>
            <w:r>
              <w:rPr>
                <w:rFonts w:ascii="Arial" w:hAnsi="Arial"/>
                <w:sz w:val="20"/>
              </w:rPr>
              <w:t>___________________________</w:t>
            </w:r>
          </w:p>
        </w:tc>
      </w:tr>
    </w:tbl>
    <w:p>
      <w:pPr>
        <w:spacing w:before="160" w:after="80"/>
      </w:pPr>
      <w:r>
        <w:rPr>
          <w:rFonts w:ascii="Arial" w:hAnsi="Arial"/>
          <w:b/>
          <w:color w:val="C0504D"/>
          <w:sz w:val="22"/>
        </w:rPr>
        <w:t>⚠  SAFETY FLAGS: LEAD PAINT — 1962 home, lead-safe (RRP) practices on any paint disturbance</w:t>
      </w:r>
    </w:p>
    <w:p>
      <w:pPr>
        <w:spacing w:before="200" w:after="80"/>
        <w:pBdr>
          <w:bottom w:val="single" w:sz="8" w:space="1" w:color="7BA05B"/>
        </w:pBdr>
      </w:pPr>
      <w:r>
        <w:rPr>
          <w:rFonts w:ascii="Arial" w:hAnsi="Arial"/>
          <w:b/>
          <w:color w:val="2D5016"/>
          <w:sz w:val="24"/>
        </w:rPr>
        <w:t>Scope of Work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color="auto" w:fill="2D5016"/>
            <w:tcBorders>
              <w:top w:val="single" w:sz="4" w:space="0" w:color="2D5016"/>
              <w:left w:val="single" w:sz="4" w:space="0" w:color="2D5016"/>
              <w:bottom w:val="single" w:sz="4" w:space="0" w:color="2D5016"/>
              <w:right w:val="single" w:sz="4" w:space="0" w:color="2D5016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900" w:type="dx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Task</w:t>
            </w:r>
          </w:p>
        </w:tc>
        <w:tc>
          <w:tcPr>
            <w:tcW w:type="dxa" w:w="3408"/>
            <w:shd w:val="clear" w:color="auto" w:fill="2D5016"/>
            <w:tcBorders>
              <w:top w:val="single" w:sz="4" w:space="0" w:color="2D5016"/>
              <w:left w:val="single" w:sz="4" w:space="0" w:color="2D5016"/>
              <w:bottom w:val="single" w:sz="4" w:space="0" w:color="2D5016"/>
              <w:right w:val="single" w:sz="4" w:space="0" w:color="2D5016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5700" w:type="dx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Details</w:t>
            </w:r>
          </w:p>
        </w:tc>
        <w:tc>
          <w:tcPr>
            <w:tcW w:type="dxa" w:w="3408"/>
            <w:shd w:val="clear" w:color="auto" w:fill="2D5016"/>
            <w:tcBorders>
              <w:top w:val="single" w:sz="4" w:space="0" w:color="2D5016"/>
              <w:left w:val="single" w:sz="4" w:space="0" w:color="2D5016"/>
              <w:bottom w:val="single" w:sz="4" w:space="0" w:color="2D5016"/>
              <w:right w:val="single" w:sz="4" w:space="0" w:color="2D5016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760" w:type="dx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Location</w:t>
            </w:r>
          </w:p>
        </w:tc>
      </w:tr>
      <w:tr>
        <w:tc>
          <w:tcPr>
            <w:tcW w:type="dxa" w:w="3408"/>
            <w:shd w:val="clear" w:color="auto" w:fill="F7F7F2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900" w:type="dxa"/>
          </w:tcPr>
          <w:p>
            <w:r>
              <w:rPr>
                <w:rFonts w:ascii="Arial" w:hAnsi="Arial"/>
                <w:sz w:val="18"/>
              </w:rPr>
              <w:t>Attic air seal</w:t>
            </w:r>
          </w:p>
        </w:tc>
        <w:tc>
          <w:tcPr>
            <w:tcW w:type="dxa" w:w="3408"/>
            <w:shd w:val="clear" w:color="auto" w:fill="F7F7F2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5700" w:type="dxa"/>
          </w:tcPr>
          <w:p>
            <w:r>
              <w:rPr>
                <w:rFonts w:ascii="Arial" w:hAnsi="Arial"/>
                <w:sz w:val="18"/>
              </w:rPr>
              <w:t>Full ceiling plane: top plates, can lights, penetrations, flue dam; hold the hood + bath-fan duct spots Day 1 and close them after HVAC runs ducts Day 2</w:t>
            </w:r>
          </w:p>
        </w:tc>
        <w:tc>
          <w:tcPr>
            <w:tcW w:type="dxa" w:w="3408"/>
            <w:shd w:val="clear" w:color="auto" w:fill="F7F7F2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760" w:type="dxa"/>
          </w:tcPr>
          <w:p>
            <w:r>
              <w:rPr>
                <w:rFonts w:ascii="Arial" w:hAnsi="Arial"/>
                <w:sz w:val="18"/>
              </w:rPr>
              <w:t>Attic</w:t>
            </w:r>
          </w:p>
        </w:tc>
      </w:tr>
      <w:tr>
        <w:tc>
          <w:tcPr>
            <w:tcW w:type="dxa" w:w="3408"/>
            <w:shd w:val="clear" w:color="auto" w:fill="FFFFFF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900" w:type="dxa"/>
          </w:tcPr>
          <w:p>
            <w:r>
              <w:rPr>
                <w:rFonts w:ascii="Arial" w:hAnsi="Arial"/>
                <w:sz w:val="18"/>
              </w:rPr>
              <w:t>Attic prep + insulation</w:t>
            </w:r>
          </w:p>
        </w:tc>
        <w:tc>
          <w:tcPr>
            <w:tcW w:type="dxa" w:w="3408"/>
            <w:shd w:val="clear" w:color="auto" w:fill="FFFFFF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5700" w:type="dxa"/>
          </w:tcPr>
          <w:p>
            <w:r>
              <w:rPr>
                <w:rFonts w:ascii="Arial" w:hAnsi="Arial"/>
                <w:sz w:val="18"/>
              </w:rPr>
              <w:t>Baffles at every eave bay, hatch dam + weatherstrip, 3 depth markers, then blow R-49 cellulose over 940 sf</w:t>
            </w:r>
          </w:p>
        </w:tc>
        <w:tc>
          <w:tcPr>
            <w:tcW w:type="dxa" w:w="3408"/>
            <w:shd w:val="clear" w:color="auto" w:fill="FFFFFF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760" w:type="dxa"/>
          </w:tcPr>
          <w:p>
            <w:r>
              <w:rPr>
                <w:rFonts w:ascii="Arial" w:hAnsi="Arial"/>
                <w:sz w:val="18"/>
              </w:rPr>
              <w:t>Attic</w:t>
            </w:r>
          </w:p>
        </w:tc>
      </w:tr>
    </w:tbl>
    <w:p>
      <w:pPr>
        <w:spacing w:before="200" w:after="80"/>
        <w:pBdr>
          <w:bottom w:val="single" w:sz="8" w:space="1" w:color="7BA05B"/>
        </w:pBdr>
      </w:pPr>
      <w:r>
        <w:rPr>
          <w:rFonts w:ascii="Arial" w:hAnsi="Arial"/>
          <w:b/>
          <w:color w:val="2D5016"/>
          <w:sz w:val="24"/>
        </w:rPr>
        <w:t>Equipment Arriving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color="auto" w:fill="2D5016"/>
            <w:tcBorders>
              <w:top w:val="single" w:sz="4" w:space="0" w:color="2D5016"/>
              <w:left w:val="single" w:sz="4" w:space="0" w:color="2D5016"/>
              <w:bottom w:val="single" w:sz="4" w:space="0" w:color="2D5016"/>
              <w:right w:val="single" w:sz="4" w:space="0" w:color="2D5016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900" w:type="dx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3408"/>
            <w:shd w:val="clear" w:color="auto" w:fill="2D5016"/>
            <w:tcBorders>
              <w:top w:val="single" w:sz="4" w:space="0" w:color="2D5016"/>
              <w:left w:val="single" w:sz="4" w:space="0" w:color="2D5016"/>
              <w:bottom w:val="single" w:sz="4" w:space="0" w:color="2D5016"/>
              <w:right w:val="single" w:sz="4" w:space="0" w:color="2D5016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5700" w:type="dx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Model</w:t>
            </w:r>
          </w:p>
        </w:tc>
        <w:tc>
          <w:tcPr>
            <w:tcW w:type="dxa" w:w="3408"/>
            <w:shd w:val="clear" w:color="auto" w:fill="2D5016"/>
            <w:tcBorders>
              <w:top w:val="single" w:sz="4" w:space="0" w:color="2D5016"/>
              <w:left w:val="single" w:sz="4" w:space="0" w:color="2D5016"/>
              <w:bottom w:val="single" w:sz="4" w:space="0" w:color="2D5016"/>
              <w:right w:val="single" w:sz="4" w:space="0" w:color="2D5016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760" w:type="dx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Qty</w:t>
            </w:r>
          </w:p>
        </w:tc>
      </w:tr>
      <w:tr>
        <w:tc>
          <w:tcPr>
            <w:tcW w:type="dxa" w:w="3408"/>
            <w:shd w:val="clear" w:color="auto" w:fill="F7F7F2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900" w:type="dxa"/>
          </w:tcPr>
          <w:p>
            <w:r>
              <w:rPr>
                <w:rFonts w:ascii="Arial" w:hAnsi="Arial"/>
                <w:sz w:val="18"/>
              </w:rPr>
              <w:t>Outdoor unit</w:t>
            </w:r>
          </w:p>
        </w:tc>
        <w:tc>
          <w:tcPr>
            <w:tcW w:type="dxa" w:w="3408"/>
            <w:shd w:val="clear" w:color="auto" w:fill="F7F7F2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5700" w:type="dxa"/>
          </w:tcPr>
          <w:p>
            <w:r>
              <w:rPr>
                <w:rFonts w:ascii="Arial" w:hAnsi="Arial"/>
                <w:sz w:val="18"/>
              </w:rPr>
              <w:t>24k cold-climate ductless ODU</w:t>
            </w:r>
          </w:p>
        </w:tc>
        <w:tc>
          <w:tcPr>
            <w:tcW w:type="dxa" w:w="3408"/>
            <w:shd w:val="clear" w:color="auto" w:fill="F7F7F2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760" w:type="dxa"/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</w:tr>
      <w:tr>
        <w:tc>
          <w:tcPr>
            <w:tcW w:type="dxa" w:w="3408"/>
            <w:shd w:val="clear" w:color="auto" w:fill="FFFFFF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900" w:type="dxa"/>
          </w:tcPr>
          <w:p>
            <w:r>
              <w:rPr>
                <w:rFonts w:ascii="Arial" w:hAnsi="Arial"/>
                <w:sz w:val="18"/>
              </w:rPr>
              <w:t>Wall heads</w:t>
            </w:r>
          </w:p>
        </w:tc>
        <w:tc>
          <w:tcPr>
            <w:tcW w:type="dxa" w:w="3408"/>
            <w:shd w:val="clear" w:color="auto" w:fill="FFFFFF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5700" w:type="dxa"/>
          </w:tcPr>
          <w:p>
            <w:r>
              <w:rPr>
                <w:rFonts w:ascii="Arial" w:hAnsi="Arial"/>
                <w:sz w:val="18"/>
              </w:rPr>
              <w:t>12k (living) + 9k (bedroom)</w:t>
            </w:r>
          </w:p>
        </w:tc>
        <w:tc>
          <w:tcPr>
            <w:tcW w:type="dxa" w:w="3408"/>
            <w:shd w:val="clear" w:color="auto" w:fill="FFFFFF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760" w:type="dxa"/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</w:tr>
      <w:tr>
        <w:tc>
          <w:tcPr>
            <w:tcW w:type="dxa" w:w="3408"/>
            <w:shd w:val="clear" w:color="auto" w:fill="F7F7F2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900" w:type="dxa"/>
          </w:tcPr>
          <w:p>
            <w:r>
              <w:rPr>
                <w:rFonts w:ascii="Arial" w:hAnsi="Arial"/>
                <w:sz w:val="18"/>
              </w:rPr>
              <w:t>Bath fan</w:t>
            </w:r>
          </w:p>
        </w:tc>
        <w:tc>
          <w:tcPr>
            <w:tcW w:type="dxa" w:w="3408"/>
            <w:shd w:val="clear" w:color="auto" w:fill="F7F7F2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5700" w:type="dxa"/>
          </w:tcPr>
          <w:p>
            <w:r>
              <w:rPr>
                <w:rFonts w:ascii="Arial" w:hAnsi="Arial"/>
                <w:sz w:val="18"/>
              </w:rPr>
              <w:t>110 CFM ENERGY STAR, humidistat</w:t>
            </w:r>
          </w:p>
        </w:tc>
        <w:tc>
          <w:tcPr>
            <w:tcW w:type="dxa" w:w="3408"/>
            <w:shd w:val="clear" w:color="auto" w:fill="F7F7F2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760" w:type="dxa"/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</w:tr>
      <w:tr>
        <w:tc>
          <w:tcPr>
            <w:tcW w:type="dxa" w:w="3408"/>
            <w:shd w:val="clear" w:color="auto" w:fill="FFFFFF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900" w:type="dxa"/>
          </w:tcPr>
          <w:p>
            <w:r>
              <w:rPr>
                <w:rFonts w:ascii="Arial" w:hAnsi="Arial"/>
                <w:sz w:val="18"/>
              </w:rPr>
              <w:t>Range hood</w:t>
            </w:r>
          </w:p>
        </w:tc>
        <w:tc>
          <w:tcPr>
            <w:tcW w:type="dxa" w:w="3408"/>
            <w:shd w:val="clear" w:color="auto" w:fill="FFFFFF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5700" w:type="dxa"/>
          </w:tcPr>
          <w:p>
            <w:r>
              <w:rPr>
                <w:rFonts w:ascii="Arial" w:hAnsi="Arial"/>
                <w:sz w:val="18"/>
              </w:rPr>
              <w:t>300 CFM ducted</w:t>
            </w:r>
          </w:p>
        </w:tc>
        <w:tc>
          <w:tcPr>
            <w:tcW w:type="dxa" w:w="3408"/>
            <w:shd w:val="clear" w:color="auto" w:fill="FFFFFF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760" w:type="dxa"/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</w:tr>
      <w:tr>
        <w:tc>
          <w:tcPr>
            <w:tcW w:type="dxa" w:w="3408"/>
            <w:shd w:val="clear" w:color="auto" w:fill="F7F7F2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900" w:type="dxa"/>
          </w:tcPr>
          <w:p>
            <w:r>
              <w:rPr>
                <w:rFonts w:ascii="Arial" w:hAnsi="Arial"/>
                <w:sz w:val="18"/>
              </w:rPr>
              <w:t>Disconnect + whip</w:t>
            </w:r>
          </w:p>
        </w:tc>
        <w:tc>
          <w:tcPr>
            <w:tcW w:type="dxa" w:w="3408"/>
            <w:shd w:val="clear" w:color="auto" w:fill="F7F7F2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5700" w:type="dxa"/>
          </w:tcPr>
          <w:p>
            <w:r>
              <w:rPr>
                <w:rFonts w:ascii="Arial" w:hAnsi="Arial"/>
                <w:sz w:val="18"/>
              </w:rPr>
              <w:t>60A non-fused</w:t>
            </w:r>
          </w:p>
        </w:tc>
        <w:tc>
          <w:tcPr>
            <w:tcW w:type="dxa" w:w="3408"/>
            <w:shd w:val="clear" w:color="auto" w:fill="F7F7F2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760" w:type="dxa"/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</w:tr>
    </w:tbl>
    <w:p>
      <w:pPr>
        <w:spacing w:before="200" w:after="80"/>
        <w:pBdr>
          <w:bottom w:val="single" w:sz="8" w:space="1" w:color="7BA05B"/>
        </w:pBdr>
      </w:pPr>
      <w:r>
        <w:rPr>
          <w:rFonts w:ascii="Arial" w:hAnsi="Arial"/>
          <w:b/>
          <w:color w:val="2D5016"/>
          <w:sz w:val="24"/>
        </w:rPr>
        <w:t>Burch QA — Air Sealing</w:t>
      </w:r>
    </w:p>
    <w:p>
      <w:pPr>
        <w:spacing w:before="20" w:after="20"/>
        <w:ind w:left="360"/>
      </w:pPr>
      <w:r>
        <w:rPr>
          <w:rFonts w:ascii="Arial" w:hAnsi="Arial"/>
          <w:sz w:val="20"/>
        </w:rPr>
        <w:t>☐  All MEP penetrations sealed — attic to conditioned space (Q6)</w:t>
      </w:r>
    </w:p>
    <w:p>
      <w:pPr>
        <w:spacing w:before="20" w:after="20"/>
        <w:ind w:left="360"/>
      </w:pPr>
      <w:r>
        <w:rPr>
          <w:rFonts w:ascii="Arial" w:hAnsi="Arial"/>
          <w:sz w:val="20"/>
        </w:rPr>
        <w:t>☐  All MEP penetrations sealed — crawl to conditioned space (Q7)</w:t>
      </w:r>
    </w:p>
    <w:p>
      <w:pPr>
        <w:spacing w:before="20" w:after="20"/>
        <w:ind w:left="360"/>
      </w:pPr>
      <w:r>
        <w:rPr>
          <w:rFonts w:ascii="Arial" w:hAnsi="Arial"/>
          <w:sz w:val="20"/>
        </w:rPr>
        <w:t>☐  Gaps around chimneys/gas vents sealed with high-temp caulk/foam (Q8)</w:t>
      </w:r>
    </w:p>
    <w:p>
      <w:pPr>
        <w:spacing w:before="20" w:after="20"/>
        <w:ind w:left="360"/>
      </w:pPr>
      <w:r>
        <w:rPr>
          <w:rFonts w:ascii="Arial" w:hAnsi="Arial"/>
          <w:sz w:val="20"/>
        </w:rPr>
        <w:t>☐  Drywall sealed to top plates (Q11)</w:t>
      </w:r>
    </w:p>
    <w:p>
      <w:pPr>
        <w:spacing w:before="20" w:after="20"/>
        <w:ind w:left="360"/>
      </w:pPr>
      <w:r>
        <w:rPr>
          <w:rFonts w:ascii="Arial" w:hAnsi="Arial"/>
          <w:sz w:val="20"/>
        </w:rPr>
        <w:t>☐  Weatherstripping on all exterior door openings (Q10)</w:t>
      </w:r>
    </w:p>
    <w:p>
      <w:pPr>
        <w:spacing w:before="20" w:after="20"/>
        <w:ind w:left="360"/>
      </w:pPr>
      <w:r>
        <w:rPr>
          <w:rFonts w:ascii="Arial" w:hAnsi="Arial"/>
          <w:sz w:val="20"/>
        </w:rPr>
        <w:t>☐  Pre AND post blower door test conducted and recorded (Q13)</w:t>
      </w:r>
    </w:p>
    <w:p>
      <w:pPr>
        <w:spacing w:before="200" w:after="80"/>
        <w:pBdr>
          <w:bottom w:val="single" w:sz="8" w:space="1" w:color="7BA05B"/>
        </w:pBdr>
      </w:pPr>
      <w:r>
        <w:rPr>
          <w:rFonts w:ascii="Arial" w:hAnsi="Arial"/>
          <w:b/>
          <w:color w:val="2D5016"/>
          <w:sz w:val="24"/>
        </w:rPr>
        <w:t>Burch QA — Attic Insulation</w:t>
      </w:r>
    </w:p>
    <w:p>
      <w:pPr>
        <w:spacing w:before="20" w:after="20"/>
        <w:ind w:left="360"/>
      </w:pPr>
      <w:r>
        <w:rPr>
          <w:rFonts w:ascii="Arial" w:hAnsi="Arial"/>
          <w:sz w:val="20"/>
        </w:rPr>
        <w:t>☐  Mold/water/pest damage mitigated before insulating (Q15)</w:t>
      </w:r>
    </w:p>
    <w:p>
      <w:pPr>
        <w:spacing w:before="20" w:after="20"/>
        <w:ind w:left="360"/>
      </w:pPr>
      <w:r>
        <w:rPr>
          <w:rFonts w:ascii="Arial" w:hAnsi="Arial"/>
          <w:sz w:val="20"/>
        </w:rPr>
        <w:t>☐  Attic ventilation at 1:300 net free area with bug screens on vents (Q16)</w:t>
      </w:r>
    </w:p>
    <w:p>
      <w:pPr>
        <w:spacing w:before="20" w:after="20"/>
        <w:ind w:left="360"/>
      </w:pPr>
      <w:r>
        <w:rPr>
          <w:rFonts w:ascii="Arial" w:hAnsi="Arial"/>
          <w:sz w:val="20"/>
        </w:rPr>
        <w:t>☐  Attic access lid insulated R-38+ and weatherstripped airtight (Q17)</w:t>
      </w:r>
    </w:p>
    <w:p>
      <w:pPr>
        <w:spacing w:before="20" w:after="20"/>
        <w:ind w:left="360"/>
      </w:pPr>
      <w:r>
        <w:rPr>
          <w:rFonts w:ascii="Arial" w:hAnsi="Arial"/>
          <w:sz w:val="20"/>
        </w:rPr>
        <w:t>☐  All ductwork sealed mastic/UL-181, insulated R-8, supported (Q18)</w:t>
      </w:r>
    </w:p>
    <w:p>
      <w:pPr>
        <w:spacing w:before="20" w:after="20"/>
        <w:ind w:left="360"/>
      </w:pPr>
      <w:r>
        <w:rPr>
          <w:rFonts w:ascii="Arial" w:hAnsi="Arial"/>
          <w:sz w:val="20"/>
        </w:rPr>
        <w:t>☐  Knee/skylight walls insulated R-21+ with attic-side air barrier (Q21)</w:t>
      </w:r>
    </w:p>
    <w:p>
      <w:pPr>
        <w:spacing w:before="20" w:after="20"/>
        <w:ind w:left="360"/>
      </w:pPr>
      <w:r>
        <w:rPr>
          <w:rFonts w:ascii="Arial" w:hAnsi="Arial"/>
          <w:sz w:val="20"/>
        </w:rPr>
        <w:t>☐  Insulation dams around chimneys/flues in heat-safe materials (Q22)</w:t>
      </w:r>
    </w:p>
    <w:p>
      <w:pPr>
        <w:spacing w:before="20" w:after="20"/>
        <w:ind w:left="360"/>
      </w:pPr>
      <w:r>
        <w:rPr>
          <w:rFonts w:ascii="Arial" w:hAnsi="Arial"/>
          <w:sz w:val="20"/>
        </w:rPr>
        <w:t>☐  Non-airtight recessed cans boxed over, seams sealed (Q23)</w:t>
      </w:r>
    </w:p>
    <w:p>
      <w:pPr>
        <w:spacing w:before="20" w:after="20"/>
        <w:ind w:left="360"/>
      </w:pPr>
      <w:r>
        <w:rPr>
          <w:rFonts w:ascii="Arial" w:hAnsi="Arial"/>
          <w:sz w:val="20"/>
        </w:rPr>
        <w:t>☐  Attic insulated to R-49, Grade 1 installation (Q25)</w:t>
      </w:r>
    </w:p>
    <w:p>
      <w:pPr>
        <w:spacing w:before="20" w:after="20"/>
        <w:ind w:left="360"/>
      </w:pPr>
      <w:r>
        <w:rPr>
          <w:rFonts w:ascii="Arial" w:hAnsi="Arial"/>
          <w:sz w:val="20"/>
        </w:rPr>
        <w:t>☐  Insulation baffles at all bird blocks (Q26)</w:t>
      </w:r>
    </w:p>
    <w:p>
      <w:pPr>
        <w:spacing w:before="200" w:after="80"/>
        <w:pBdr>
          <w:bottom w:val="single" w:sz="8" w:space="1" w:color="7BA05B"/>
        </w:pBdr>
      </w:pPr>
      <w:r>
        <w:rPr>
          <w:rFonts w:ascii="Arial" w:hAnsi="Arial"/>
          <w:b/>
          <w:color w:val="2D5016"/>
          <w:sz w:val="24"/>
        </w:rPr>
        <w:t>Burch QA — ASHRAE 62.2 Ventilation</w:t>
      </w:r>
    </w:p>
    <w:p>
      <w:pPr>
        <w:spacing w:before="20" w:after="20"/>
        <w:ind w:left="360"/>
      </w:pPr>
      <w:r>
        <w:rPr>
          <w:rFonts w:ascii="Arial" w:hAnsi="Arial"/>
          <w:sz w:val="20"/>
        </w:rPr>
        <w:t>☐  Whole-house ventilation meets the ASHRAE 62.2 calculation (Q44)</w:t>
      </w:r>
    </w:p>
    <w:p>
      <w:pPr>
        <w:spacing w:before="20" w:after="20"/>
        <w:ind w:left="360"/>
      </w:pPr>
      <w:r>
        <w:rPr>
          <w:rFonts w:ascii="Arial" w:hAnsi="Arial"/>
          <w:sz w:val="20"/>
        </w:rPr>
        <w:t>☐  Kill switch acceptably located for continuous fans (Q46)</w:t>
      </w:r>
    </w:p>
    <w:p>
      <w:pPr>
        <w:spacing w:before="20" w:after="20"/>
        <w:ind w:left="360"/>
      </w:pPr>
      <w:r>
        <w:rPr>
          <w:rFonts w:ascii="Arial" w:hAnsi="Arial"/>
          <w:sz w:val="20"/>
        </w:rPr>
        <w:t>☐  Controls labeled appropriately (Q48)</w:t>
      </w:r>
    </w:p>
    <w:p>
      <w:pPr>
        <w:spacing w:before="20" w:after="20"/>
        <w:ind w:left="360"/>
      </w:pPr>
      <w:r>
        <w:rPr>
          <w:rFonts w:ascii="Arial" w:hAnsi="Arial"/>
          <w:sz w:val="20"/>
        </w:rPr>
        <w:t>☐  Operation/maintenance instructions provided to occupant (Q49)</w:t>
      </w:r>
    </w:p>
    <w:p>
      <w:pPr>
        <w:spacing w:before="20" w:after="20"/>
        <w:ind w:left="360"/>
      </w:pPr>
      <w:r>
        <w:rPr>
          <w:rFonts w:ascii="Arial" w:hAnsi="Arial"/>
          <w:sz w:val="20"/>
        </w:rPr>
        <w:t>☐  Whole-house exhaust fan rated 1 sone or quieter (Q50)</w:t>
      </w:r>
    </w:p>
    <w:p>
      <w:pPr>
        <w:spacing w:before="200" w:after="80"/>
        <w:pBdr>
          <w:bottom w:val="single" w:sz="8" w:space="1" w:color="7BA05B"/>
        </w:pBdr>
      </w:pPr>
      <w:r>
        <w:rPr>
          <w:rFonts w:ascii="Arial" w:hAnsi="Arial"/>
          <w:b/>
          <w:color w:val="2D5016"/>
          <w:sz w:val="24"/>
        </w:rPr>
        <w:t>Burch QA — Safety &amp; Critical Repairs</w:t>
      </w:r>
    </w:p>
    <w:p>
      <w:pPr>
        <w:spacing w:before="20" w:after="20"/>
        <w:ind w:left="360"/>
      </w:pPr>
      <w:r>
        <w:rPr>
          <w:rFonts w:ascii="Arial" w:hAnsi="Arial"/>
          <w:sz w:val="20"/>
        </w:rPr>
        <w:t>☐  Radon test at end of project — result 4 pCi/L or lower — when air sealing is in scope (Q133)</w:t>
      </w:r>
    </w:p>
    <w:p>
      <w:pPr>
        <w:spacing w:before="20" w:after="20"/>
        <w:ind w:left="360"/>
      </w:pPr>
      <w:r>
        <w:rPr>
          <w:rFonts w:ascii="Arial" w:hAnsi="Arial"/>
          <w:sz w:val="20"/>
        </w:rPr>
        <w:t>☐  Smoke and CO monitors installed to code (Q136)</w:t>
      </w:r>
    </w:p>
    <w:p>
      <w:pPr>
        <w:spacing w:before="20" w:after="20"/>
        <w:ind w:left="360"/>
      </w:pPr>
      <w:r>
        <w:rPr>
          <w:rFonts w:ascii="Arial" w:hAnsi="Arial"/>
          <w:sz w:val="20"/>
        </w:rPr>
        <w:t>☐  Asbestos handled per Oregon DEQ when present (Q131-132)</w:t>
      </w:r>
    </w:p>
    <w:p>
      <w:pPr>
        <w:spacing w:before="20" w:after="20"/>
        <w:ind w:left="360"/>
      </w:pPr>
      <w:r>
        <w:rPr>
          <w:rFonts w:ascii="Arial" w:hAnsi="Arial"/>
          <w:sz w:val="20"/>
        </w:rPr>
        <w:t>☐  Lead paint: EPA RRP compliance on pre-1978 homes when paint is disturbed (Q137)</w:t>
      </w:r>
    </w:p>
    <w:p>
      <w:pPr>
        <w:spacing w:before="200" w:after="80"/>
        <w:pBdr>
          <w:bottom w:val="single" w:sz="8" w:space="1" w:color="7BA05B"/>
        </w:pBdr>
      </w:pPr>
      <w:r>
        <w:rPr>
          <w:rFonts w:ascii="Arial" w:hAnsi="Arial"/>
          <w:b/>
          <w:color w:val="2D5016"/>
          <w:sz w:val="24"/>
        </w:rPr>
        <w:t>Permits</w:t>
      </w:r>
    </w:p>
    <w:p>
      <w:pPr>
        <w:spacing w:before="20" w:after="20"/>
        <w:ind w:left="360"/>
      </w:pPr>
      <w:r>
        <w:rPr>
          <w:rFonts w:ascii="Arial" w:hAnsi="Arial"/>
          <w:sz w:val="20"/>
        </w:rPr>
        <w:t>☐  Permits closed out for EACH inspected installed measure (Q162)</w:t>
      </w:r>
    </w:p>
    <w:p>
      <w:pPr>
        <w:spacing w:before="20" w:after="20"/>
        <w:ind w:left="360"/>
      </w:pPr>
      <w:r>
        <w:rPr>
          <w:rFonts w:ascii="Arial" w:hAnsi="Arial"/>
          <w:sz w:val="20"/>
        </w:rPr>
        <w:t>☐  Permit finals scheduled BEFORE requesting the program QA inspection</w:t>
      </w:r>
    </w:p>
    <w:p>
      <w:pPr>
        <w:spacing w:before="20" w:after="20"/>
        <w:ind w:left="360"/>
      </w:pPr>
      <w:r>
        <w:rPr>
          <w:rFonts w:ascii="Arial" w:hAnsi="Arial"/>
          <w:sz w:val="20"/>
        </w:rPr>
        <w:t>☐  Inspection cards / permit numbers photographed for the job file</w:t>
      </w:r>
    </w:p>
    <w:p>
      <w:pPr>
        <w:spacing w:before="200" w:after="80"/>
        <w:pBdr>
          <w:bottom w:val="single" w:sz="8" w:space="1" w:color="7BA05B"/>
        </w:pBdr>
      </w:pPr>
      <w:r>
        <w:rPr>
          <w:rFonts w:ascii="Arial" w:hAnsi="Arial"/>
          <w:b/>
          <w:color w:val="2D5016"/>
          <w:sz w:val="24"/>
        </w:rPr>
        <w:t>Notes for Crew</w:t>
      </w:r>
    </w:p>
    <w:p>
      <w:pPr>
        <w:spacing w:before="40" w:after="40"/>
      </w:pPr>
      <w:r>
        <w:rPr>
          <w:rFonts w:ascii="Arial" w:hAnsi="Arial"/>
          <w:b w:val="0"/>
          <w:i w:val="0"/>
          <w:sz w:val="20"/>
        </w:rPr>
        <w:t>•  Homeowner is on video calls in the back office — knock at the front door, headphones mean go around</w:t>
      </w:r>
    </w:p>
    <w:p>
      <w:pPr>
        <w:spacing w:before="40" w:after="40"/>
      </w:pPr>
      <w:r>
        <w:rPr>
          <w:rFonts w:ascii="Arial" w:hAnsi="Arial"/>
          <w:b w:val="0"/>
          <w:i w:val="0"/>
          <w:sz w:val="20"/>
        </w:rPr>
        <w:t>•  Keep the driveway clear of material staging after 4pm (street sweeping Tuesday)</w:t>
      </w:r>
    </w:p>
    <w:p>
      <w:pPr>
        <w:spacing w:before="40" w:after="40"/>
      </w:pPr>
      <w:r>
        <w:rPr>
          <w:rFonts w:ascii="Arial" w:hAnsi="Arial"/>
          <w:b w:val="0"/>
          <w:i w:val="0"/>
          <w:sz w:val="20"/>
        </w:rPr>
        <w:t>•  Cat is friendly and sneaky — check for her before closing the attic hatch</w:t>
      </w:r>
    </w:p>
    <w:p>
      <w:pPr>
        <w:spacing w:before="200" w:after="80"/>
        <w:pBdr>
          <w:bottom w:val="single" w:sz="8" w:space="1" w:color="7BA05B"/>
        </w:pBdr>
      </w:pPr>
      <w:r>
        <w:rPr>
          <w:rFonts w:ascii="Arial" w:hAnsi="Arial"/>
          <w:b/>
          <w:color w:val="2D5016"/>
          <w:sz w:val="24"/>
        </w:rPr>
        <w:t>Reference Photos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193270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-attic-hatch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9327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193270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-bath-fan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9327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112"/>
          </w:tcPr>
          <w:p>
            <w:pPr>
              <w:jc w:val="center"/>
            </w:pPr>
            <w:r>
              <w:rPr>
                <w:rFonts w:ascii="Arial" w:hAnsi="Arial"/>
                <w:i/>
                <w:sz w:val="16"/>
              </w:rPr>
              <w:t>Attic from hatch — vacuum out, air-seal, baffles at every eave bay</w:t>
            </w:r>
          </w:p>
        </w:tc>
        <w:tc>
          <w:tcPr>
            <w:tcW w:type="dxa" w:w="5112"/>
          </w:tcPr>
          <w:p>
            <w:pPr>
              <w:jc w:val="center"/>
            </w:pPr>
            <w:r>
              <w:rPr>
                <w:rFonts w:ascii="Arial" w:hAnsi="Arial"/>
                <w:i/>
                <w:sz w:val="16"/>
              </w:rPr>
              <w:t>Hall bath fan location — duct out the roof, first 3 ft straight</w:t>
            </w:r>
          </w:p>
        </w:tc>
      </w:tr>
      <w:tr>
        <w:tc>
          <w:tcPr>
            <w:tcW w:type="dxa" w:w="5112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1932709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-range-hood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9327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5112"/>
          </w:tcPr>
          <w:p>
            <w:pPr>
              <w:jc w:val="center"/>
            </w:pPr>
            <w:r>
              <w:rPr>
                <w:rFonts w:ascii="Arial" w:hAnsi="Arial"/>
                <w:i/>
                <w:sz w:val="16"/>
              </w:rPr>
              <w:t>Range wall — hood ducts through the upper cabinet, out the wall cap</w:t>
            </w:r>
          </w:p>
        </w:tc>
        <w:tc>
          <w:tcPr>
            <w:tcW w:type="dxa" w:w="5112"/>
          </w:tcPr>
          <w:p/>
        </w:tc>
      </w:tr>
    </w:tbl>
    <w:p/>
    <w:p>
      <w:pPr>
        <w:spacing w:before="240"/>
        <w:pBdr>
          <w:bottom w:val="single" w:sz="6" w:space="1" w:color="7BA05B"/>
        </w:pBdr>
      </w:pPr>
    </w:p>
    <w:p>
      <w:r>
        <w:rPr>
          <w:rFonts w:ascii="Arial" w:hAnsi="Arial"/>
          <w:color w:val="2D5016"/>
          <w:sz w:val="18"/>
        </w:rPr>
        <w:t>Resilient Retrofits  ·  CCB# 245539  ·  Prepared by: Kyle Kanooth</w:t>
      </w:r>
    </w:p>
    <w:sectPr w:rsidR="00FC693F" w:rsidRPr="0006063C" w:rsidSect="00034616">
      <w:pgSz w:w="12240" w:h="15840"/>
      <w:pgMar w:top="864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