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Software Change Request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1880"/>
        <w:gridCol w:w="3008"/>
        <w:gridCol w:w="3117"/>
        <w:tblGridChange w:id="0">
          <w:tblGrid>
            <w:gridCol w:w="1345"/>
            <w:gridCol w:w="1880"/>
            <w:gridCol w:w="3008"/>
            <w:gridCol w:w="3117"/>
          </w:tblGrid>
        </w:tblGridChange>
      </w:tblGrid>
      <w:tr>
        <w:trPr>
          <w:tblHeader w:val="0"/>
        </w:trPr>
        <w:tc>
          <w:tcPr/>
          <w:p w:rsidR="00000000" w:rsidDel="00000000" w:rsidP="00000000" w:rsidRDefault="00000000" w:rsidRPr="00000000" w14:paraId="00000002">
            <w:pPr>
              <w:rPr>
                <w:b w:val="1"/>
              </w:rPr>
            </w:pPr>
            <w:r w:rsidDel="00000000" w:rsidR="00000000" w:rsidRPr="00000000">
              <w:rPr>
                <w:b w:val="1"/>
                <w:rtl w:val="0"/>
              </w:rPr>
              <w:t xml:space="preserve">Software</w:t>
            </w:r>
          </w:p>
        </w:tc>
        <w:tc>
          <w:tcPr/>
          <w:p w:rsidR="00000000" w:rsidDel="00000000" w:rsidP="00000000" w:rsidRDefault="00000000" w:rsidRPr="00000000" w14:paraId="00000003">
            <w:pPr>
              <w:rPr>
                <w:b w:val="1"/>
              </w:rPr>
            </w:pPr>
            <w:r w:rsidDel="00000000" w:rsidR="00000000" w:rsidRPr="00000000">
              <w:rPr>
                <w:b w:val="1"/>
                <w:rtl w:val="0"/>
              </w:rPr>
              <w:t xml:space="preserve">Baseline Version</w:t>
            </w:r>
          </w:p>
        </w:tc>
        <w:tc>
          <w:tcPr/>
          <w:p w:rsidR="00000000" w:rsidDel="00000000" w:rsidP="00000000" w:rsidRDefault="00000000" w:rsidRPr="00000000" w14:paraId="00000004">
            <w:pPr>
              <w:rPr>
                <w:b w:val="1"/>
              </w:rPr>
            </w:pPr>
            <w:r w:rsidDel="00000000" w:rsidR="00000000" w:rsidRPr="00000000">
              <w:rPr>
                <w:b w:val="1"/>
                <w:rtl w:val="0"/>
              </w:rPr>
              <w:t xml:space="preserve">Feature Name</w:t>
            </w:r>
          </w:p>
        </w:tc>
        <w:tc>
          <w:tcPr/>
          <w:p w:rsidR="00000000" w:rsidDel="00000000" w:rsidP="00000000" w:rsidRDefault="00000000" w:rsidRPr="00000000" w14:paraId="00000005">
            <w:pPr>
              <w:rPr>
                <w:b w:val="1"/>
              </w:rPr>
            </w:pPr>
            <w:r w:rsidDel="00000000" w:rsidR="00000000" w:rsidRPr="00000000">
              <w:rPr>
                <w:b w:val="1"/>
                <w:rtl w:val="0"/>
              </w:rPr>
              <w:t xml:space="preserve">Difficulty</w:t>
            </w:r>
          </w:p>
        </w:tc>
      </w:tr>
      <w:tr>
        <w:trPr>
          <w:tblHeader w:val="0"/>
        </w:trPr>
        <w:tc>
          <w:tcPr/>
          <w:p w:rsidR="00000000" w:rsidDel="00000000" w:rsidP="00000000" w:rsidRDefault="00000000" w:rsidRPr="00000000" w14:paraId="00000006">
            <w:pPr>
              <w:rPr/>
            </w:pPr>
            <w:bookmarkStart w:colFirst="0" w:colLast="0" w:name="_heading=h.gjdgxs" w:id="0"/>
            <w:bookmarkEnd w:id="0"/>
            <w:r w:rsidDel="00000000" w:rsidR="00000000" w:rsidRPr="00000000">
              <w:rPr>
                <w:rtl w:val="0"/>
              </w:rPr>
              <w:t xml:space="preserve">Xfig</w:t>
            </w:r>
          </w:p>
        </w:tc>
        <w:tc>
          <w:tcPr/>
          <w:p w:rsidR="00000000" w:rsidDel="00000000" w:rsidP="00000000" w:rsidRDefault="00000000" w:rsidRPr="00000000" w14:paraId="00000007">
            <w:pPr>
              <w:rPr/>
            </w:pPr>
            <w:r w:rsidDel="00000000" w:rsidR="00000000" w:rsidRPr="00000000">
              <w:rPr>
                <w:rtl w:val="0"/>
              </w:rPr>
              <w:t xml:space="preserve">3.2.8a</w:t>
            </w:r>
          </w:p>
        </w:tc>
        <w:tc>
          <w:tcPr/>
          <w:p w:rsidR="00000000" w:rsidDel="00000000" w:rsidP="00000000" w:rsidRDefault="00000000" w:rsidRPr="00000000" w14:paraId="00000008">
            <w:pPr>
              <w:rPr/>
            </w:pPr>
            <w:r w:rsidDel="00000000" w:rsidR="00000000" w:rsidRPr="00000000">
              <w:rPr>
                <w:rtl w:val="0"/>
              </w:rPr>
              <w:t xml:space="preserve">Exporting to VDX Format</w:t>
            </w:r>
          </w:p>
        </w:tc>
        <w:tc>
          <w:tcPr/>
          <w:p w:rsidR="00000000" w:rsidDel="00000000" w:rsidP="00000000" w:rsidRDefault="00000000" w:rsidRPr="00000000" w14:paraId="00000009">
            <w:pPr>
              <w:rPr/>
            </w:pPr>
            <w:r w:rsidDel="00000000" w:rsidR="00000000" w:rsidRPr="00000000">
              <w:rPr>
                <w:rtl w:val="0"/>
              </w:rPr>
              <w:t xml:space="preserve">High (Est. 10 files; 969 LOC)</w:t>
            </w:r>
          </w:p>
        </w:tc>
      </w:tr>
    </w:tbl>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Current Behaviors:</w:t>
      </w:r>
    </w:p>
    <w:p w:rsidR="00000000" w:rsidDel="00000000" w:rsidP="00000000" w:rsidRDefault="00000000" w:rsidRPr="00000000" w14:paraId="0000000C">
      <w:pPr>
        <w:jc w:val="both"/>
        <w:rPr>
          <w:highlight w:val="white"/>
        </w:rPr>
      </w:pPr>
      <w:r w:rsidDel="00000000" w:rsidR="00000000" w:rsidRPr="00000000">
        <w:rPr>
          <w:highlight w:val="white"/>
          <w:rtl w:val="0"/>
        </w:rPr>
        <w:t xml:space="preserve">As shown in Figure 1, currently Xfig allows a user to export a figure into multiple figure formats, such as PNG, EPS, JPG, PDF, and SVG, but does not support VDX, a well-documented </w:t>
      </w:r>
      <w:hyperlink r:id="rId7">
        <w:r w:rsidDel="00000000" w:rsidR="00000000" w:rsidRPr="00000000">
          <w:rPr>
            <w:highlight w:val="white"/>
            <w:rtl w:val="0"/>
          </w:rPr>
          <w:t xml:space="preserve">XML</w:t>
        </w:r>
      </w:hyperlink>
      <w:r w:rsidDel="00000000" w:rsidR="00000000" w:rsidRPr="00000000">
        <w:rPr>
          <w:highlight w:val="white"/>
          <w:rtl w:val="0"/>
        </w:rPr>
        <w:t xml:space="preserve"> Schema-based format that is supported by Microsoft Visio, the successful drawing tool in the MS Office suite.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1981200</wp:posOffset>
                </wp:positionV>
                <wp:extent cx="2357755" cy="22225"/>
                <wp:effectExtent b="0" l="0" r="0" t="0"/>
                <wp:wrapSquare wrapText="bothSides" distB="0" distT="0" distL="114300" distR="114300"/>
                <wp:docPr id="13" name=""/>
                <a:graphic>
                  <a:graphicData uri="http://schemas.microsoft.com/office/word/2010/wordprocessingShape">
                    <wps:wsp>
                      <wps:cNvSpPr/>
                      <wps:cNvPr id="3" name="Shape 3"/>
                      <wps:spPr>
                        <a:xfrm>
                          <a:off x="4171885" y="3779683"/>
                          <a:ext cx="234823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1: the list of supported export formats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1981200</wp:posOffset>
                </wp:positionV>
                <wp:extent cx="2357755" cy="22225"/>
                <wp:effectExtent b="0" l="0" r="0" t="0"/>
                <wp:wrapSquare wrapText="bothSides" distB="0" distT="0" distL="114300" distR="114300"/>
                <wp:docPr id="1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357755" cy="22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3651250</wp:posOffset>
            </wp:positionH>
            <wp:positionV relativeFrom="paragraph">
              <wp:posOffset>8255</wp:posOffset>
            </wp:positionV>
            <wp:extent cx="2348718" cy="1936750"/>
            <wp:effectExtent b="0" l="0" r="0" t="0"/>
            <wp:wrapSquare wrapText="bothSides" distB="0" distT="0" distL="114300" distR="114300"/>
            <wp:docPr id="1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348718" cy="1936750"/>
                    </a:xfrm>
                    <a:prstGeom prst="rect"/>
                    <a:ln/>
                  </pic:spPr>
                </pic:pic>
              </a:graphicData>
            </a:graphic>
          </wp:anchor>
        </w:drawing>
      </w:r>
    </w:p>
    <w:p w:rsidR="00000000" w:rsidDel="00000000" w:rsidP="00000000" w:rsidRDefault="00000000" w:rsidRPr="00000000" w14:paraId="0000000D">
      <w:pPr>
        <w:keepNext w:val="1"/>
        <w:rPr/>
      </w:pPr>
      <w:r w:rsidDel="00000000" w:rsidR="00000000" w:rsidRPr="00000000">
        <w:rPr>
          <w:rtl w:val="0"/>
        </w:rPr>
      </w:r>
    </w:p>
    <w:p w:rsidR="00000000" w:rsidDel="00000000" w:rsidP="00000000" w:rsidRDefault="00000000" w:rsidRPr="00000000" w14:paraId="0000000E">
      <w:pPr>
        <w:keepNext w:val="1"/>
        <w:rPr/>
      </w:pPr>
      <w:r w:rsidDel="00000000" w:rsidR="00000000" w:rsidRPr="00000000">
        <w:rPr>
          <w:rtl w:val="0"/>
        </w:rPr>
      </w:r>
    </w:p>
    <w:p w:rsidR="00000000" w:rsidDel="00000000" w:rsidP="00000000" w:rsidRDefault="00000000" w:rsidRPr="00000000" w14:paraId="0000000F">
      <w:pPr>
        <w:keepNext w:val="1"/>
        <w:rPr/>
      </w:pPr>
      <w:r w:rsidDel="00000000" w:rsidR="00000000" w:rsidRPr="00000000">
        <w:rPr>
          <w:rtl w:val="0"/>
        </w:rPr>
      </w:r>
    </w:p>
    <w:p w:rsidR="00000000" w:rsidDel="00000000" w:rsidP="00000000" w:rsidRDefault="00000000" w:rsidRPr="00000000" w14:paraId="00000010">
      <w:pPr>
        <w:rPr>
          <w:b w:val="1"/>
          <w:i w:val="1"/>
        </w:rPr>
      </w:pPr>
      <w:r w:rsidDel="00000000" w:rsidR="00000000" w:rsidRPr="00000000">
        <w:rPr>
          <w:b w:val="1"/>
          <w:i w:val="1"/>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2298700</wp:posOffset>
                </wp:positionV>
                <wp:extent cx="2273935" cy="22225"/>
                <wp:effectExtent b="0" l="0" r="0" t="0"/>
                <wp:wrapSquare wrapText="bothSides" distB="0" distT="0" distL="114300" distR="114300"/>
                <wp:docPr id="12" name=""/>
                <a:graphic>
                  <a:graphicData uri="http://schemas.microsoft.com/office/word/2010/wordprocessingShape">
                    <wps:wsp>
                      <wps:cNvSpPr/>
                      <wps:cNvPr id="2" name="Shape 2"/>
                      <wps:spPr>
                        <a:xfrm>
                          <a:off x="4213795" y="3779683"/>
                          <a:ext cx="226441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2: the sample VDX export window</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2298700</wp:posOffset>
                </wp:positionV>
                <wp:extent cx="2273935" cy="22225"/>
                <wp:effectExtent b="0" l="0" r="0" t="0"/>
                <wp:wrapSquare wrapText="bothSides" distB="0" distT="0" distL="114300" distR="114300"/>
                <wp:docPr id="1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273935" cy="22225"/>
                        </a:xfrm>
                        <a:prstGeom prst="rect"/>
                        <a:ln/>
                      </pic:spPr>
                    </pic:pic>
                  </a:graphicData>
                </a:graphic>
              </wp:anchor>
            </w:drawing>
          </mc:Fallback>
        </mc:AlternateContent>
      </w:r>
    </w:p>
    <w:p w:rsidR="00000000" w:rsidDel="00000000" w:rsidP="00000000" w:rsidRDefault="00000000" w:rsidRPr="00000000" w14:paraId="00000011">
      <w:pPr>
        <w:rPr>
          <w:i w:val="1"/>
        </w:rPr>
      </w:pPr>
      <w:r w:rsidDel="00000000" w:rsidR="00000000" w:rsidRPr="00000000">
        <w:rPr>
          <w:b w:val="1"/>
          <w:i w:val="1"/>
          <w:rtl w:val="0"/>
        </w:rPr>
        <w:t xml:space="preserve">                            </w:t>
        <w:tab/>
        <w:tab/>
        <w:tab/>
        <w:tab/>
        <w:tab/>
        <w:t xml:space="preserve">                 </w:t>
      </w:r>
      <w:r w:rsidDel="00000000" w:rsidR="00000000" w:rsidRPr="00000000">
        <w:rPr>
          <w:i w:val="1"/>
          <w:rtl w:val="0"/>
        </w:rPr>
        <w:t xml:space="preserve">  Figure 1: the list of supported export formats</w:t>
      </w:r>
    </w:p>
    <w:p w:rsidR="00000000" w:rsidDel="00000000" w:rsidP="00000000" w:rsidRDefault="00000000" w:rsidRPr="00000000" w14:paraId="00000012">
      <w:pPr>
        <w:rPr>
          <w:b w:val="1"/>
          <w:i w:val="1"/>
        </w:rPr>
      </w:pPr>
      <w:r w:rsidDel="00000000" w:rsidR="00000000" w:rsidRPr="00000000">
        <w:rPr>
          <w:b w:val="1"/>
          <w:i w:val="1"/>
          <w:rtl w:val="0"/>
        </w:rPr>
        <w:t xml:space="preserve">Expected Behavior:</w:t>
      </w:r>
    </w:p>
    <w:p w:rsidR="00000000" w:rsidDel="00000000" w:rsidP="00000000" w:rsidRDefault="00000000" w:rsidRPr="00000000" w14:paraId="00000013">
      <w:pPr>
        <w:jc w:val="both"/>
        <w:rPr>
          <w:highlight w:val="white"/>
        </w:rPr>
      </w:pPr>
      <w:r w:rsidDel="00000000" w:rsidR="00000000" w:rsidRPr="00000000">
        <w:rPr>
          <w:highlight w:val="white"/>
          <w:rtl w:val="0"/>
        </w:rPr>
        <w:t xml:space="preserve">Add the VDX export format into Xfig. Once Xfig can export  figures into VDX format, a user can use the MS Visio tool to  edit figures generated by Xfig. Note that the new version of VDX has been renamed to VSDX (Visio XML file format [1]) since 2013.  Although we still call it VDX here, students need to follow the latest VDX specification, i.e., VSDX. Figure 2 shows the sample VDX export window. </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46990</wp:posOffset>
            </wp:positionV>
            <wp:extent cx="2264410" cy="2260600"/>
            <wp:effectExtent b="0" l="0" r="0" t="0"/>
            <wp:wrapSquare wrapText="bothSides" distB="0" distT="0" distL="114300" distR="11430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64410" cy="2260600"/>
                    </a:xfrm>
                    <a:prstGeom prst="rect"/>
                    <a:ln/>
                  </pic:spPr>
                </pic:pic>
              </a:graphicData>
            </a:graphic>
          </wp:anchor>
        </w:drawing>
      </w:r>
    </w:p>
    <w:p w:rsidR="00000000" w:rsidDel="00000000" w:rsidP="00000000" w:rsidRDefault="00000000" w:rsidRPr="00000000" w14:paraId="00000014">
      <w:pPr>
        <w:jc w:val="both"/>
        <w:rPr>
          <w:highlight w:val="white"/>
        </w:rPr>
      </w:pPr>
      <w:r w:rsidDel="00000000" w:rsidR="00000000" w:rsidRPr="00000000">
        <w:rPr>
          <w:rtl w:val="0"/>
        </w:rPr>
      </w:r>
    </w:p>
    <w:p w:rsidR="00000000" w:rsidDel="00000000" w:rsidP="00000000" w:rsidRDefault="00000000" w:rsidRPr="00000000" w14:paraId="00000015">
      <w:pPr>
        <w:jc w:val="both"/>
        <w:rPr>
          <w:b w:val="1"/>
          <w:i w:val="1"/>
        </w:rPr>
      </w:pPr>
      <w:r w:rsidDel="00000000" w:rsidR="00000000" w:rsidRPr="00000000">
        <w:rPr>
          <w:rtl w:val="0"/>
        </w:rPr>
      </w:r>
    </w:p>
    <w:p w:rsidR="00000000" w:rsidDel="00000000" w:rsidP="00000000" w:rsidRDefault="00000000" w:rsidRPr="00000000" w14:paraId="00000016">
      <w:pPr>
        <w:jc w:val="both"/>
        <w:rPr>
          <w:b w:val="1"/>
          <w:i w:val="1"/>
        </w:rPr>
      </w:pPr>
      <w:r w:rsidDel="00000000" w:rsidR="00000000" w:rsidRPr="00000000">
        <w:rPr>
          <w:rtl w:val="0"/>
        </w:rPr>
      </w:r>
    </w:p>
    <w:p w:rsidR="00000000" w:rsidDel="00000000" w:rsidP="00000000" w:rsidRDefault="00000000" w:rsidRPr="00000000" w14:paraId="00000017">
      <w:pPr>
        <w:jc w:val="both"/>
        <w:rPr>
          <w:b w:val="1"/>
          <w:i w:val="1"/>
        </w:rPr>
      </w:pPr>
      <w:r w:rsidDel="00000000" w:rsidR="00000000" w:rsidRPr="00000000">
        <w:rPr>
          <w:rtl w:val="0"/>
        </w:rPr>
      </w:r>
    </w:p>
    <w:p w:rsidR="00000000" w:rsidDel="00000000" w:rsidP="00000000" w:rsidRDefault="00000000" w:rsidRPr="00000000" w14:paraId="00000018">
      <w:pPr>
        <w:jc w:val="both"/>
        <w:rPr>
          <w:i w:val="1"/>
        </w:rPr>
      </w:pPr>
      <w:r w:rsidDel="00000000" w:rsidR="00000000" w:rsidRPr="00000000">
        <w:rPr>
          <w:i w:val="1"/>
          <w:rtl w:val="0"/>
        </w:rPr>
        <w:t xml:space="preserve">Figure 2: the sample VDX export window</w:t>
      </w:r>
    </w:p>
    <w:p w:rsidR="00000000" w:rsidDel="00000000" w:rsidP="00000000" w:rsidRDefault="00000000" w:rsidRPr="00000000" w14:paraId="00000019">
      <w:pPr>
        <w:jc w:val="both"/>
        <w:rPr>
          <w:b w:val="1"/>
          <w:i w:val="1"/>
        </w:rPr>
      </w:pPr>
      <w:r w:rsidDel="00000000" w:rsidR="00000000" w:rsidRPr="00000000">
        <w:rPr>
          <w:b w:val="1"/>
          <w:i w:val="1"/>
          <w:rtl w:val="0"/>
        </w:rPr>
        <w:t xml:space="preserve">Solution Hints for Instructor: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Fonts w:ascii="Calibri" w:cs="Calibri" w:eastAsia="Calibri" w:hAnsi="Calibri"/>
          <w:color w:val="000000"/>
          <w:rtl w:val="0"/>
        </w:rPr>
        <w:t xml:space="preserve">Besides revising the </w:t>
      </w:r>
      <w:r w:rsidDel="00000000" w:rsidR="00000000" w:rsidRPr="00000000">
        <w:rPr>
          <w:rtl w:val="0"/>
        </w:rPr>
        <w:t xml:space="preserve">X</w:t>
      </w:r>
      <w:r w:rsidDel="00000000" w:rsidR="00000000" w:rsidRPr="00000000">
        <w:rPr>
          <w:rFonts w:ascii="Calibri" w:cs="Calibri" w:eastAsia="Calibri" w:hAnsi="Calibri"/>
          <w:color w:val="000000"/>
          <w:rtl w:val="0"/>
        </w:rPr>
        <w:t xml:space="preserve">fig source codes to add the VDX into the export list, students need to modify </w:t>
      </w:r>
      <w:r w:rsidDel="00000000" w:rsidR="00000000" w:rsidRPr="00000000">
        <w:rPr>
          <w:rtl w:val="0"/>
        </w:rPr>
        <w:t xml:space="preserve">ano</w:t>
      </w:r>
      <w:r w:rsidDel="00000000" w:rsidR="00000000" w:rsidRPr="00000000">
        <w:rPr>
          <w:rFonts w:ascii="Calibri" w:cs="Calibri" w:eastAsia="Calibri" w:hAnsi="Calibri"/>
          <w:color w:val="000000"/>
          <w:rtl w:val="0"/>
        </w:rPr>
        <w:t xml:space="preserve">ther </w:t>
      </w:r>
      <w:r w:rsidDel="00000000" w:rsidR="00000000" w:rsidRPr="00000000">
        <w:rPr>
          <w:rtl w:val="0"/>
        </w:rPr>
        <w:t xml:space="preserve">program</w:t>
      </w:r>
      <w:r w:rsidDel="00000000" w:rsidR="00000000" w:rsidRPr="00000000">
        <w:rPr>
          <w:rFonts w:ascii="Calibri" w:cs="Calibri" w:eastAsia="Calibri" w:hAnsi="Calibri"/>
          <w:color w:val="000000"/>
          <w:rtl w:val="0"/>
        </w:rPr>
        <w:t xml:space="preserve"> named </w:t>
      </w:r>
      <w:r w:rsidDel="00000000" w:rsidR="00000000" w:rsidRPr="00000000">
        <w:rPr>
          <w:rFonts w:ascii="Calibri" w:cs="Calibri" w:eastAsia="Calibri" w:hAnsi="Calibri"/>
          <w:i w:val="1"/>
          <w:color w:val="000000"/>
          <w:rtl w:val="0"/>
        </w:rPr>
        <w:t xml:space="preserve">fig2dev</w:t>
      </w:r>
      <w:r w:rsidDel="00000000" w:rsidR="00000000" w:rsidRPr="00000000">
        <w:rPr>
          <w:rFonts w:ascii="Calibri" w:cs="Calibri" w:eastAsia="Calibri" w:hAnsi="Calibri"/>
          <w:color w:val="000000"/>
          <w:rtl w:val="0"/>
        </w:rPr>
        <w:t xml:space="preserve"> </w:t>
      </w:r>
      <w:r w:rsidDel="00000000" w:rsidR="00000000" w:rsidRPr="00000000">
        <w:rPr>
          <w:rtl w:val="0"/>
        </w:rPr>
        <w:t xml:space="preserve">as well</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i w:val="1"/>
          <w:rtl w:val="0"/>
        </w:rPr>
        <w:t xml:space="preserve">fig2dev</w:t>
      </w:r>
      <w:r w:rsidDel="00000000" w:rsidR="00000000" w:rsidRPr="00000000">
        <w:rPr>
          <w:rtl w:val="0"/>
        </w:rPr>
        <w:t xml:space="preserve"> translates from the Xfig figure format into the specified graphics language and puts them in an out-file [2].  In </w:t>
      </w:r>
      <w:r w:rsidDel="00000000" w:rsidR="00000000" w:rsidRPr="00000000">
        <w:rPr>
          <w:i w:val="1"/>
          <w:rtl w:val="0"/>
        </w:rPr>
        <w:t xml:space="preserve">fig2dev</w:t>
      </w:r>
      <w:r w:rsidDel="00000000" w:rsidR="00000000" w:rsidRPr="00000000">
        <w:rPr>
          <w:rtl w:val="0"/>
        </w:rPr>
        <w:t xml:space="preserve">, each export format supported by Xfig has a file to support the interpretation and translation, e.g., </w:t>
      </w:r>
      <w:r w:rsidDel="00000000" w:rsidR="00000000" w:rsidRPr="00000000">
        <w:rPr>
          <w:i w:val="1"/>
          <w:rtl w:val="0"/>
        </w:rPr>
        <w:t xml:space="preserve">gensvg.c </w:t>
      </w:r>
      <w:r w:rsidDel="00000000" w:rsidR="00000000" w:rsidRPr="00000000">
        <w:rPr>
          <w:rtl w:val="0"/>
        </w:rPr>
        <w:t xml:space="preserve">is for exporting an Xfig file into the svg format. </w:t>
      </w:r>
    </w:p>
    <w:p w:rsidR="00000000" w:rsidDel="00000000" w:rsidP="00000000" w:rsidRDefault="00000000" w:rsidRPr="00000000" w14:paraId="0000001B">
      <w:pPr>
        <w:jc w:val="both"/>
        <w:rPr/>
      </w:pPr>
      <w:r w:rsidDel="00000000" w:rsidR="00000000" w:rsidRPr="00000000">
        <w:rPr>
          <w:rtl w:val="0"/>
        </w:rPr>
        <w:t xml:space="preserve">Note that the scope of the VDX specification is large. If the project schedule does not allow students to implement the entire VDX specification, they can implement it partially which will result in missing some figure objects or figure properties during the exporting. </w:t>
      </w:r>
    </w:p>
    <w:p w:rsidR="00000000" w:rsidDel="00000000" w:rsidP="00000000" w:rsidRDefault="00000000" w:rsidRPr="00000000" w14:paraId="0000001C">
      <w:pPr>
        <w:jc w:val="both"/>
        <w:rPr/>
      </w:pPr>
      <w:r w:rsidDel="00000000" w:rsidR="00000000" w:rsidRPr="00000000">
        <w:rPr>
          <w:rtl w:val="0"/>
        </w:rPr>
        <w:t xml:space="preserve">The minimal changes in Xfig are located in mode.c, mode.h, and w_export.c. These changes add the vdx export option to the export popup.</w:t>
      </w:r>
    </w:p>
    <w:p w:rsidR="00000000" w:rsidDel="00000000" w:rsidP="00000000" w:rsidRDefault="00000000" w:rsidRPr="00000000" w14:paraId="0000001D">
      <w:pPr>
        <w:jc w:val="both"/>
        <w:rPr/>
      </w:pPr>
      <w:r w:rsidDel="00000000" w:rsidR="00000000" w:rsidRPr="00000000">
        <w:rPr>
          <w:rtl w:val="0"/>
        </w:rPr>
        <w:t xml:space="preserve">It should be mentioned that testing this feature requires fig2dev to be configured correctly. This can be done by setting the environment variable “FIG2DEV_DIR” to the path of the fig2dev directory:</w:t>
      </w:r>
    </w:p>
    <w:p w:rsidR="00000000" w:rsidDel="00000000" w:rsidP="00000000" w:rsidRDefault="00000000" w:rsidRPr="00000000" w14:paraId="0000001E">
      <w:pPr>
        <w:jc w:val="both"/>
        <w:rPr/>
      </w:pPr>
      <w:r w:rsidDel="00000000" w:rsidR="00000000" w:rsidRPr="00000000">
        <w:rPr>
          <w:rtl w:val="0"/>
        </w:rPr>
        <w:t xml:space="preserve">export FIG2DEV_DIR='/home/&lt;PATH&gt;/fig2dev-3.2.8a/fig2dev</w:t>
      </w:r>
    </w:p>
    <w:p w:rsidR="00000000" w:rsidDel="00000000" w:rsidP="00000000" w:rsidRDefault="00000000" w:rsidRPr="00000000" w14:paraId="0000001F">
      <w:pPr>
        <w:jc w:val="both"/>
        <w:rPr>
          <w:b w:val="1"/>
          <w:i w:val="1"/>
        </w:rPr>
      </w:pPr>
      <w:r w:rsidDel="00000000" w:rsidR="00000000" w:rsidRPr="00000000">
        <w:rPr>
          <w:b w:val="1"/>
          <w:i w:val="1"/>
          <w:rtl w:val="0"/>
        </w:rPr>
        <w:t xml:space="preserve">References:</w:t>
      </w:r>
    </w:p>
    <w:p w:rsidR="00000000" w:rsidDel="00000000" w:rsidP="00000000" w:rsidRDefault="00000000" w:rsidRPr="00000000" w14:paraId="00000020">
      <w:pPr>
        <w:rPr/>
      </w:pPr>
      <w:r w:rsidDel="00000000" w:rsidR="00000000" w:rsidRPr="00000000">
        <w:rPr>
          <w:rtl w:val="0"/>
        </w:rPr>
        <w:t xml:space="preserve">[1]. Microsoft VSDX specification: </w:t>
      </w:r>
      <w:hyperlink r:id="rId12">
        <w:r w:rsidDel="00000000" w:rsidR="00000000" w:rsidRPr="00000000">
          <w:rPr>
            <w:color w:val="1155cc"/>
            <w:u w:val="single"/>
            <w:rtl w:val="0"/>
          </w:rPr>
          <w:t xml:space="preserve">https://docs.microsoft.com/en-us/openspecs/sharepoint_protocols/ms-vsdx/50c23601-c943-4ff2-b4a1-02445f52daf0</w:t>
        </w:r>
      </w:hyperlink>
      <w:r w:rsidDel="00000000" w:rsidR="00000000" w:rsidRPr="00000000">
        <w:rPr>
          <w:rtl w:val="0"/>
        </w:rPr>
        <w:t xml:space="preserve"> </w:t>
      </w:r>
    </w:p>
    <w:p w:rsidR="00000000" w:rsidDel="00000000" w:rsidP="00000000" w:rsidRDefault="00000000" w:rsidRPr="00000000" w14:paraId="00000021">
      <w:pPr>
        <w:jc w:val="both"/>
        <w:rPr/>
      </w:pPr>
      <w:r w:rsidDel="00000000" w:rsidR="00000000" w:rsidRPr="00000000">
        <w:rPr>
          <w:rtl w:val="0"/>
        </w:rPr>
        <w:t xml:space="preserve">[2]. Linux fig2dev man page: </w:t>
      </w:r>
      <w:hyperlink r:id="rId13">
        <w:r w:rsidDel="00000000" w:rsidR="00000000" w:rsidRPr="00000000">
          <w:rPr>
            <w:color w:val="1155cc"/>
            <w:u w:val="single"/>
            <w:rtl w:val="0"/>
          </w:rPr>
          <w:t xml:space="preserve">https://linux.die.net/man/1/fig2dev</w:t>
        </w:r>
      </w:hyperlink>
      <w:r w:rsidDel="00000000" w:rsidR="00000000" w:rsidRPr="00000000">
        <w:rPr>
          <w:rtl w:val="0"/>
        </w:rPr>
        <w:t xml:space="preserve">                </w:t>
      </w:r>
    </w:p>
    <w:p w:rsidR="00000000" w:rsidDel="00000000" w:rsidP="00000000" w:rsidRDefault="00000000" w:rsidRPr="00000000" w14:paraId="00000022">
      <w:pPr>
        <w:jc w:val="both"/>
        <w:rPr>
          <w:b w:val="1"/>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6D85"/>
    <w:pPr>
      <w:ind w:left="720"/>
      <w:contextualSpacing w:val="1"/>
    </w:pPr>
  </w:style>
  <w:style w:type="table" w:styleId="TableGrid">
    <w:name w:val="Table Grid"/>
    <w:basedOn w:val="TableNormal"/>
    <w:uiPriority w:val="39"/>
    <w:rsid w:val="003F02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C0269D"/>
    <w:pPr>
      <w:spacing w:after="100" w:afterAutospacing="1" w:before="100" w:beforeAutospacing="1" w:line="240" w:lineRule="auto"/>
    </w:pPr>
    <w:rPr>
      <w:rFonts w:ascii="Times New Roman" w:cs="Times New Roman" w:eastAsia="Times New Roman" w:hAnsi="Times New Roman"/>
      <w:sz w:val="24"/>
      <w:szCs w:val="24"/>
    </w:rPr>
  </w:style>
  <w:style w:type="paragraph" w:styleId="Caption">
    <w:name w:val="caption"/>
    <w:basedOn w:val="Normal"/>
    <w:next w:val="Normal"/>
    <w:uiPriority w:val="35"/>
    <w:unhideWhenUsed w:val="1"/>
    <w:qFormat w:val="1"/>
    <w:rsid w:val="00C65371"/>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linux.die.net/man/1/fig2dev" TargetMode="External"/><Relationship Id="rId12" Type="http://schemas.openxmlformats.org/officeDocument/2006/relationships/hyperlink" Target="https://docs.microsoft.com/en-us/openspecs/sharepoint_protocols/ms-vsdx/50c23601-c943-4ff2-b4a1-02445f52daf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XML"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7p/SvY+PeJtVm3URoLjm6GTRg==">AMUW2mVP5n4o3AqVRkRuUy3D//LmztCLquzrYJHxgW4SRlnYbaShojm2q8xlRvlPowFdYKStP6kaC/PkEqGsnyBdv84mpG/aHdD2Mh/TuK0BED3ivX48NLsIdJ5ZHgrSxRv6dMTX+6Qu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2021-06-30T02:38:00Z</dcterms:created>
  <dc:creator>Yu Liu - yuliu</dc:creator>
</cp:coreProperties>
</file>