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Mycology Publishing Project</w:t>
        <w:br/>
      </w:r>
      <w:r>
        <w:rPr>
          <w:sz w:val="36"/>
        </w:rPr>
        <w:t>Enterprise Summary + Project Attack Prompt System</w:t>
      </w:r>
    </w:p>
    <w:p>
      <w:pPr>
        <w:jc w:val="left"/>
      </w:pPr>
      <w:r>
        <w:rPr>
          <w:i/>
          <w:color w:val="555555"/>
        </w:rPr>
        <w:t>Prepared from the 27 March 2026 strategy discussion transcript in Ad-Hoc.docx.</w:t>
      </w:r>
    </w:p>
    <w:tbl>
      <w:tblPr>
        <w:tblW w:type="auto" w:w="0"/>
        <w:jc w:val="left"/>
        <w:tblLayout w:type="fixed"/>
        <w:tblLook w:firstColumn="1" w:firstRow="1" w:lastColumn="0" w:lastRow="0" w:noHBand="0" w:noVBand="1" w:val="04A0"/>
      </w:tblPr>
      <w:tblGrid>
        <w:gridCol w:w="4968"/>
        <w:gridCol w:w="4968"/>
      </w:tblGrid>
      <w:tr>
        <w:tc>
          <w:tcPr>
            <w:tcW w:type="dxa" w:w="2592"/>
            <w:vAlign w:val="center"/>
            <w:tcMar>
              <w:top w:w="90" w:type="dxa"/>
              <w:start w:w="110" w:type="dxa"/>
              <w:bottom w:w="90" w:type="dxa"/>
              <w:end w:w="110" w:type="dxa"/>
            </w:tcMar>
            <w:shd w:fill="D9EAF7"/>
          </w:tcPr>
          <w:p>
            <w:r>
              <w:rPr>
                <w:b/>
              </w:rPr>
              <w:t>Project</w:t>
            </w:r>
          </w:p>
        </w:tc>
        <w:tc>
          <w:tcPr>
            <w:tcW w:type="dxa" w:w="7056"/>
            <w:vAlign w:val="center"/>
            <w:tcMar>
              <w:top w:w="90" w:type="dxa"/>
              <w:start w:w="110" w:type="dxa"/>
              <w:bottom w:w="90" w:type="dxa"/>
              <w:end w:w="110" w:type="dxa"/>
            </w:tcMar>
          </w:tcPr>
          <w:p>
            <w:r>
              <w:t>Book on fungi–cannabis interactions, being repositioned from dense scientific manuscript into a visually driven, more accessible specialty nonfiction product.</w:t>
            </w:r>
          </w:p>
        </w:tc>
      </w:tr>
      <w:tr>
        <w:tc>
          <w:tcPr>
            <w:tcW w:type="dxa" w:w="2592"/>
            <w:vAlign w:val="center"/>
            <w:tcMar>
              <w:top w:w="90" w:type="dxa"/>
              <w:start w:w="110" w:type="dxa"/>
              <w:bottom w:w="90" w:type="dxa"/>
              <w:end w:w="110" w:type="dxa"/>
            </w:tcMar>
            <w:shd w:fill="D9EAF7"/>
          </w:tcPr>
          <w:p>
            <w:r>
              <w:rPr>
                <w:b/>
              </w:rPr>
              <w:t>Source Base</w:t>
            </w:r>
          </w:p>
        </w:tc>
        <w:tc>
          <w:tcPr>
            <w:tcW w:type="dxa" w:w="7056"/>
            <w:vAlign w:val="center"/>
            <w:tcMar>
              <w:top w:w="90" w:type="dxa"/>
              <w:start w:w="110" w:type="dxa"/>
              <w:bottom w:w="90" w:type="dxa"/>
              <w:end w:w="110" w:type="dxa"/>
            </w:tcMar>
          </w:tcPr>
          <w:p>
            <w:r>
              <w:t>Single recorded discussion transcript supplied by user. SharePoint folder links were provided but not directly retrievable in-session.</w:t>
            </w:r>
          </w:p>
        </w:tc>
      </w:tr>
      <w:tr>
        <w:tc>
          <w:tcPr>
            <w:tcW w:type="dxa" w:w="2592"/>
            <w:vAlign w:val="center"/>
            <w:tcMar>
              <w:top w:w="90" w:type="dxa"/>
              <w:start w:w="110" w:type="dxa"/>
              <w:bottom w:w="90" w:type="dxa"/>
              <w:end w:w="110" w:type="dxa"/>
            </w:tcMar>
            <w:shd w:fill="D9EAF7"/>
          </w:tcPr>
          <w:p>
            <w:r>
              <w:rPr>
                <w:b/>
              </w:rPr>
              <w:t>Use Case</w:t>
            </w:r>
          </w:p>
        </w:tc>
        <w:tc>
          <w:tcPr>
            <w:tcW w:type="dxa" w:w="7056"/>
            <w:vAlign w:val="center"/>
            <w:tcMar>
              <w:top w:w="90" w:type="dxa"/>
              <w:start w:w="110" w:type="dxa"/>
              <w:bottom w:w="90" w:type="dxa"/>
              <w:end w:w="110" w:type="dxa"/>
            </w:tcMar>
          </w:tcPr>
          <w:p>
            <w:r>
              <w:t>Internal alignment, external publisher/partner briefing, AI workflow orchestration, and next-step execution planning.</w:t>
            </w:r>
          </w:p>
        </w:tc>
      </w:tr>
    </w:tbl>
    <w:p/>
    <w:p>
      <w:pPr>
        <w:pStyle w:val="Heading1"/>
      </w:pPr>
      <w:r>
        <w:t>1. Executive Summary</w:t>
      </w:r>
    </w:p>
    <w:p>
      <w:r>
        <w:t>The conversation establishes that the current manuscript is not failing because the subject is weak; it is failing because the packaging and delivery format no longer match the intended reader. The original concept was to explain fungi–cannabis interactions to growers and farmers without a scientific background, but the manuscript drifted into the structure and density of a scientific paper. The proposed correction is not a simple line edit. It is a product repositioning: split the project into a visually compelling specialty nonfiction edition and a fuller digital/reference edition, then rebuild the workflow around accessibility, rights clarity, image cohesion, and distribution strategy.</w:t>
      </w:r>
    </w:p>
    <w:p>
      <w:r>
        <w:t>The strongest strategic outcome from the discussion is the recognition that this is not one book with one route to market. It is a two-track publishing asset: a truncated, image-forward physical edition designed for discovery, credibility, and broad browseability; and a more complete digital/reference edition aimed at growers, institutions, and academically curious readers. That split resolves several tensions at once: readability versus rigor, aesthetics versus depth, and broad reach versus niche authority.</w:t>
      </w:r>
    </w:p>
    <w:p>
      <w:r>
        <w:t>The conversation also surfaces the real blockers: lack of a final rights/attribution framework for artwork expansion, absence of a completed technical-accessibility edit, no locked formatting/typesetting workflow, and uncertainty about whether to self-publish, pursue specialty publishers, or seek grants and collaborators. The practical answer is to treat this as a staged publishing program with clear gates rather than as an amorphous 'finish the book' effort.</w:t>
      </w:r>
    </w:p>
    <w:p>
      <w:pPr>
        <w:pStyle w:val="Heading1"/>
      </w:pPr>
      <w:r>
        <w:t>2. Confirmed Source-Derived Findings</w:t>
      </w:r>
    </w:p>
    <w:p>
      <w:pPr>
        <w:ind w:left="288" w:hanging="259"/>
      </w:pPr>
      <w:r>
        <w:rPr>
          <w:b/>
        </w:rPr>
        <w:t xml:space="preserve">• </w:t>
      </w:r>
      <w:r>
        <w:t>The book began as an effort to explain how fungi interact with the cannabis plant for non-scientific growers and farmers, but the writing drifted toward scientific-paper density.</w:t>
      </w:r>
    </w:p>
    <w:p>
      <w:pPr>
        <w:ind w:left="288" w:hanging="259"/>
      </w:pPr>
      <w:r>
        <w:rPr>
          <w:b/>
        </w:rPr>
        <w:t xml:space="preserve">• </w:t>
      </w:r>
      <w:r>
        <w:t>Feedback received to date suggests the manuscript is strong for scientifically literate readers but too dense for the broader intended audience.</w:t>
      </w:r>
    </w:p>
    <w:p>
      <w:pPr>
        <w:ind w:left="288" w:hanging="259"/>
      </w:pPr>
      <w:r>
        <w:rPr>
          <w:b/>
        </w:rPr>
        <w:t xml:space="preserve">• </w:t>
      </w:r>
      <w:r>
        <w:t>The team is now considering a more image-led, coffee-table-style or public-space specialty edition rather than a purely conventional text-heavy book.</w:t>
      </w:r>
    </w:p>
    <w:p>
      <w:pPr>
        <w:ind w:left="288" w:hanging="259"/>
      </w:pPr>
      <w:r>
        <w:rPr>
          <w:b/>
        </w:rPr>
        <w:t xml:space="preserve">• </w:t>
      </w:r>
      <w:r>
        <w:t>There was prior publishing interest, including a signed contract with Acres USA that fell through after ownership changes and project delays, plus discussions with Chelsea Green and other cannabis-adjacent publishers.</w:t>
      </w:r>
    </w:p>
    <w:p>
      <w:pPr>
        <w:ind w:left="288" w:hanging="259"/>
      </w:pPr>
      <w:r>
        <w:rPr>
          <w:b/>
        </w:rPr>
        <w:t xml:space="preserve">• </w:t>
      </w:r>
      <w:r>
        <w:t>The authors are currently acting without an agent.</w:t>
      </w:r>
    </w:p>
    <w:p>
      <w:pPr>
        <w:ind w:left="288" w:hanging="259"/>
      </w:pPr>
      <w:r>
        <w:rPr>
          <w:b/>
        </w:rPr>
        <w:t xml:space="preserve">• </w:t>
      </w:r>
      <w:r>
        <w:t>A full digital e-book/reference version remains part of the desired outcome.</w:t>
      </w:r>
    </w:p>
    <w:p>
      <w:pPr>
        <w:ind w:left="288" w:hanging="259"/>
      </w:pPr>
      <w:r>
        <w:rPr>
          <w:b/>
        </w:rPr>
        <w:t xml:space="preserve">• </w:t>
      </w:r>
      <w:r>
        <w:t>Existing artwork from David Carlson is considered high quality and potentially important for visual cohesion; there are already approximately eight to nine commissioned images.</w:t>
      </w:r>
    </w:p>
    <w:p>
      <w:pPr>
        <w:ind w:left="288" w:hanging="259"/>
      </w:pPr>
      <w:r>
        <w:rPr>
          <w:b/>
        </w:rPr>
        <w:t xml:space="preserve">• </w:t>
      </w:r>
      <w:r>
        <w:t>The team wants the fastest credible path to publication, but the conversation concludes that realistic timing is more likely 'by next spring' than immediately.</w:t>
      </w:r>
    </w:p>
    <w:p>
      <w:pPr>
        <w:ind w:left="288" w:hanging="259"/>
      </w:pPr>
      <w:r>
        <w:rPr>
          <w:b/>
        </w:rPr>
        <w:t xml:space="preserve">• </w:t>
      </w:r>
      <w:r>
        <w:t>Near-term next steps agreed in the discussion were: produce a structured summary, contact the artist after alignment, evaluate AI-supported editing/typesetting options, and explore grants or publishing/freelance routes in parallel.</w:t>
      </w:r>
    </w:p>
    <w:p>
      <w:pPr>
        <w:pStyle w:val="Heading1"/>
      </w:pPr>
      <w:r>
        <w:t>3. Unconfirmed or Requires Verification Before External Use</w:t>
      </w:r>
    </w:p>
    <w:p>
      <w:pPr>
        <w:ind w:left="288" w:hanging="259"/>
      </w:pPr>
      <w:r>
        <w:rPr>
          <w:b/>
        </w:rPr>
        <w:t xml:space="preserve">• </w:t>
      </w:r>
      <w:r>
        <w:t>Exact manuscript length, chapter count, illustration inventory, and current file state.</w:t>
      </w:r>
    </w:p>
    <w:p>
      <w:pPr>
        <w:ind w:left="288" w:hanging="259"/>
      </w:pPr>
      <w:r>
        <w:rPr>
          <w:b/>
        </w:rPr>
        <w:t xml:space="preserve">• </w:t>
      </w:r>
      <w:r>
        <w:t>The precise licensing terms, reproduction rights, and transfer conditions for all existing artwork.</w:t>
      </w:r>
    </w:p>
    <w:p>
      <w:pPr>
        <w:ind w:left="288" w:hanging="259"/>
      </w:pPr>
      <w:r>
        <w:rPr>
          <w:b/>
        </w:rPr>
        <w:t xml:space="preserve">• </w:t>
      </w:r>
      <w:r>
        <w:t>Whether the artist is open to deeper participation, royalty sharing, cover revision, or formal credit elevation.</w:t>
      </w:r>
    </w:p>
    <w:p>
      <w:pPr>
        <w:ind w:left="288" w:hanging="259"/>
      </w:pPr>
      <w:r>
        <w:rPr>
          <w:b/>
        </w:rPr>
        <w:t xml:space="preserve">• </w:t>
      </w:r>
      <w:r>
        <w:t>Whether grant eligibility is actually available through the specific legal entities discussed, and under what constraints.</w:t>
      </w:r>
    </w:p>
    <w:p>
      <w:pPr>
        <w:ind w:left="288" w:hanging="259"/>
      </w:pPr>
      <w:r>
        <w:rPr>
          <w:b/>
        </w:rPr>
        <w:t xml:space="preserve">• </w:t>
      </w:r>
      <w:r>
        <w:t>Which publisher route is commercially viable now versus historically viable.</w:t>
      </w:r>
    </w:p>
    <w:p>
      <w:pPr>
        <w:ind w:left="288" w:hanging="259"/>
      </w:pPr>
      <w:r>
        <w:rPr>
          <w:b/>
        </w:rPr>
        <w:t xml:space="preserve">• </w:t>
      </w:r>
      <w:r>
        <w:t>Whether the manuscript is best served by a specialty trade format, institutional/reference format, or a hybrid release sequence.</w:t>
      </w:r>
    </w:p>
    <w:p>
      <w:pPr>
        <w:pStyle w:val="Heading1"/>
      </w:pPr>
      <w:r>
        <w:t>4. Strategic Reframe</w:t>
      </w:r>
    </w:p>
    <w:p>
      <w:r>
        <w:t>This project should be managed as an illustrated knowledge property with two monetizable expressions, not as a single manuscript waiting to be formatted.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1F4E79"/>
            <w:vAlign w:val="center"/>
            <w:tcMar>
              <w:top w:w="110" w:type="dxa"/>
              <w:start w:w="110" w:type="dxa"/>
              <w:bottom w:w="110" w:type="dxa"/>
              <w:end w:w="110" w:type="dxa"/>
            </w:tcMar>
          </w:tcPr>
          <w:p>
            <w:r>
              <w:rPr>
                <w:b/>
                <w:color w:val="FFFFFF"/>
              </w:rPr>
              <w:t>Layer</w:t>
            </w:r>
          </w:p>
        </w:tc>
        <w:tc>
          <w:tcPr>
            <w:tcW w:type="dxa" w:w="2448"/>
            <w:shd w:fill="1F4E79"/>
            <w:vAlign w:val="center"/>
            <w:tcMar>
              <w:top w:w="110" w:type="dxa"/>
              <w:start w:w="110" w:type="dxa"/>
              <w:bottom w:w="110" w:type="dxa"/>
              <w:end w:w="110" w:type="dxa"/>
            </w:tcMar>
          </w:tcPr>
          <w:p>
            <w:r>
              <w:rPr>
                <w:b/>
                <w:color w:val="FFFFFF"/>
              </w:rPr>
              <w:t>Purpose</w:t>
            </w:r>
          </w:p>
        </w:tc>
        <w:tc>
          <w:tcPr>
            <w:tcW w:type="dxa" w:w="3024"/>
            <w:shd w:fill="1F4E79"/>
            <w:vAlign w:val="center"/>
            <w:tcMar>
              <w:top w:w="110" w:type="dxa"/>
              <w:start w:w="110" w:type="dxa"/>
              <w:bottom w:w="110" w:type="dxa"/>
              <w:end w:w="110" w:type="dxa"/>
            </w:tcMar>
          </w:tcPr>
          <w:p>
            <w:r>
              <w:rPr>
                <w:b/>
                <w:color w:val="FFFFFF"/>
              </w:rPr>
              <w:t>Primary Reader</w:t>
            </w:r>
          </w:p>
        </w:tc>
        <w:tc>
          <w:tcPr>
            <w:tcW w:type="dxa" w:w="2592"/>
            <w:shd w:fill="1F4E79"/>
            <w:vAlign w:val="center"/>
            <w:tcMar>
              <w:top w:w="110" w:type="dxa"/>
              <w:start w:w="110" w:type="dxa"/>
              <w:bottom w:w="110" w:type="dxa"/>
              <w:end w:w="110" w:type="dxa"/>
            </w:tcMar>
          </w:tcPr>
          <w:p>
            <w:r>
              <w:rPr>
                <w:b/>
                <w:color w:val="FFFFFF"/>
              </w:rPr>
              <w:t>Success Measure</w:t>
            </w:r>
          </w:p>
        </w:tc>
      </w:tr>
      <w:tr>
        <w:tc>
          <w:tcPr>
            <w:tcW w:type="dxa" w:w="2484"/>
            <w:vAlign w:val="center"/>
            <w:tcMar>
              <w:top w:w="90" w:type="dxa"/>
              <w:start w:w="110" w:type="dxa"/>
              <w:bottom w:w="90" w:type="dxa"/>
              <w:end w:w="110" w:type="dxa"/>
            </w:tcMar>
          </w:tcPr>
          <w:p>
            <w:r>
              <w:t>Physical specialty edition</w:t>
            </w:r>
          </w:p>
        </w:tc>
        <w:tc>
          <w:tcPr>
            <w:tcW w:type="dxa" w:w="2484"/>
            <w:vAlign w:val="center"/>
            <w:tcMar>
              <w:top w:w="90" w:type="dxa"/>
              <w:start w:w="110" w:type="dxa"/>
              <w:bottom w:w="90" w:type="dxa"/>
              <w:end w:w="110" w:type="dxa"/>
            </w:tcMar>
          </w:tcPr>
          <w:p>
            <w:r>
              <w:t>Discovery, credibility, spectacle, conversation piece</w:t>
            </w:r>
          </w:p>
        </w:tc>
        <w:tc>
          <w:tcPr>
            <w:tcW w:type="dxa" w:w="2484"/>
            <w:vAlign w:val="center"/>
            <w:tcMar>
              <w:top w:w="90" w:type="dxa"/>
              <w:start w:w="110" w:type="dxa"/>
              <w:bottom w:w="90" w:type="dxa"/>
              <w:end w:w="110" w:type="dxa"/>
            </w:tcMar>
          </w:tcPr>
          <w:p>
            <w:r>
              <w:t>Growers, curious practitioners, buyers, collaborators</w:t>
            </w:r>
          </w:p>
        </w:tc>
        <w:tc>
          <w:tcPr>
            <w:tcW w:type="dxa" w:w="2484"/>
            <w:vAlign w:val="center"/>
            <w:tcMar>
              <w:top w:w="90" w:type="dxa"/>
              <w:start w:w="110" w:type="dxa"/>
              <w:bottom w:w="90" w:type="dxa"/>
              <w:end w:w="110" w:type="dxa"/>
            </w:tcMar>
          </w:tcPr>
          <w:p>
            <w:r>
              <w:t>Looks premium, reads quickly, drives interest</w:t>
            </w:r>
          </w:p>
        </w:tc>
      </w:tr>
      <w:tr>
        <w:tc>
          <w:tcPr>
            <w:tcW w:type="dxa" w:w="2484"/>
            <w:vAlign w:val="center"/>
            <w:tcMar>
              <w:top w:w="90" w:type="dxa"/>
              <w:start w:w="110" w:type="dxa"/>
              <w:bottom w:w="90" w:type="dxa"/>
              <w:end w:w="110" w:type="dxa"/>
            </w:tcMar>
          </w:tcPr>
          <w:p>
            <w:r>
              <w:t>Digital/reference edition</w:t>
            </w:r>
          </w:p>
        </w:tc>
        <w:tc>
          <w:tcPr>
            <w:tcW w:type="dxa" w:w="2484"/>
            <w:vAlign w:val="center"/>
            <w:tcMar>
              <w:top w:w="90" w:type="dxa"/>
              <w:start w:w="110" w:type="dxa"/>
              <w:bottom w:w="90" w:type="dxa"/>
              <w:end w:w="110" w:type="dxa"/>
            </w:tcMar>
          </w:tcPr>
          <w:p>
            <w:r>
              <w:t>Depth, utility, institutional value</w:t>
            </w:r>
          </w:p>
        </w:tc>
        <w:tc>
          <w:tcPr>
            <w:tcW w:type="dxa" w:w="2484"/>
            <w:vAlign w:val="center"/>
            <w:tcMar>
              <w:top w:w="90" w:type="dxa"/>
              <w:start w:w="110" w:type="dxa"/>
              <w:bottom w:w="90" w:type="dxa"/>
              <w:end w:w="110" w:type="dxa"/>
            </w:tcMar>
          </w:tcPr>
          <w:p>
            <w:r>
              <w:t>Serious growers, educators, students, niche professionals</w:t>
            </w:r>
          </w:p>
        </w:tc>
        <w:tc>
          <w:tcPr>
            <w:tcW w:type="dxa" w:w="2484"/>
            <w:vAlign w:val="center"/>
            <w:tcMar>
              <w:top w:w="90" w:type="dxa"/>
              <w:start w:w="110" w:type="dxa"/>
              <w:bottom w:w="90" w:type="dxa"/>
              <w:end w:w="110" w:type="dxa"/>
            </w:tcMar>
          </w:tcPr>
          <w:p>
            <w:r>
              <w:t>Retains rigor while becoming usable</w:t>
            </w:r>
          </w:p>
        </w:tc>
      </w:tr>
      <w:tr>
        <w:tc>
          <w:tcPr>
            <w:tcW w:type="dxa" w:w="2484"/>
            <w:vAlign w:val="center"/>
            <w:tcMar>
              <w:top w:w="90" w:type="dxa"/>
              <w:start w:w="110" w:type="dxa"/>
              <w:bottom w:w="90" w:type="dxa"/>
              <w:end w:w="110" w:type="dxa"/>
            </w:tcMar>
          </w:tcPr>
          <w:p>
            <w:r>
              <w:t>Rights/artist layer</w:t>
            </w:r>
          </w:p>
        </w:tc>
        <w:tc>
          <w:tcPr>
            <w:tcW w:type="dxa" w:w="2484"/>
            <w:vAlign w:val="center"/>
            <w:tcMar>
              <w:top w:w="90" w:type="dxa"/>
              <w:start w:w="110" w:type="dxa"/>
              <w:bottom w:w="90" w:type="dxa"/>
              <w:end w:w="110" w:type="dxa"/>
            </w:tcMar>
          </w:tcPr>
          <w:p>
            <w:r>
              <w:t>Visual cohesion and legal cleanliness</w:t>
            </w:r>
          </w:p>
        </w:tc>
        <w:tc>
          <w:tcPr>
            <w:tcW w:type="dxa" w:w="2484"/>
            <w:vAlign w:val="center"/>
            <w:tcMar>
              <w:top w:w="90" w:type="dxa"/>
              <w:start w:w="110" w:type="dxa"/>
              <w:bottom w:w="90" w:type="dxa"/>
              <w:end w:w="110" w:type="dxa"/>
            </w:tcMar>
          </w:tcPr>
          <w:p>
            <w:r>
              <w:t>Publisher, printer, authors, illustrator</w:t>
            </w:r>
          </w:p>
        </w:tc>
        <w:tc>
          <w:tcPr>
            <w:tcW w:type="dxa" w:w="2484"/>
            <w:vAlign w:val="center"/>
            <w:tcMar>
              <w:top w:w="90" w:type="dxa"/>
              <w:start w:w="110" w:type="dxa"/>
              <w:bottom w:w="90" w:type="dxa"/>
              <w:end w:w="110" w:type="dxa"/>
            </w:tcMar>
          </w:tcPr>
          <w:p>
            <w:r>
              <w:t>No rights ambiguity; cohesive art direction</w:t>
            </w:r>
          </w:p>
        </w:tc>
      </w:tr>
      <w:tr>
        <w:tc>
          <w:tcPr>
            <w:tcW w:type="dxa" w:w="2484"/>
            <w:vAlign w:val="center"/>
            <w:tcMar>
              <w:top w:w="90" w:type="dxa"/>
              <w:start w:w="110" w:type="dxa"/>
              <w:bottom w:w="90" w:type="dxa"/>
              <w:end w:w="110" w:type="dxa"/>
            </w:tcMar>
          </w:tcPr>
          <w:p>
            <w:r>
              <w:t>Execution layer</w:t>
            </w:r>
          </w:p>
        </w:tc>
        <w:tc>
          <w:tcPr>
            <w:tcW w:type="dxa" w:w="2484"/>
            <w:vAlign w:val="center"/>
            <w:tcMar>
              <w:top w:w="90" w:type="dxa"/>
              <w:start w:w="110" w:type="dxa"/>
              <w:bottom w:w="90" w:type="dxa"/>
              <w:end w:w="110" w:type="dxa"/>
            </w:tcMar>
          </w:tcPr>
          <w:p>
            <w:r>
              <w:t>Edit, structure, format, publish</w:t>
            </w:r>
          </w:p>
        </w:tc>
        <w:tc>
          <w:tcPr>
            <w:tcW w:type="dxa" w:w="2484"/>
            <w:vAlign w:val="center"/>
            <w:tcMar>
              <w:top w:w="90" w:type="dxa"/>
              <w:start w:w="110" w:type="dxa"/>
              <w:bottom w:w="90" w:type="dxa"/>
              <w:end w:w="110" w:type="dxa"/>
            </w:tcMar>
          </w:tcPr>
          <w:p>
            <w:r>
              <w:t>Core project team</w:t>
            </w:r>
          </w:p>
        </w:tc>
        <w:tc>
          <w:tcPr>
            <w:tcW w:type="dxa" w:w="2484"/>
            <w:vAlign w:val="center"/>
            <w:tcMar>
              <w:top w:w="90" w:type="dxa"/>
              <w:start w:w="110" w:type="dxa"/>
              <w:bottom w:w="90" w:type="dxa"/>
              <w:end w:w="110" w:type="dxa"/>
            </w:tcMar>
          </w:tcPr>
          <w:p>
            <w:r>
              <w:t>Predictable milestones and decision gates</w:t>
            </w:r>
          </w:p>
        </w:tc>
      </w:tr>
    </w:tbl>
    <w:p/>
    <w:p>
      <w:pPr>
        <w:pStyle w:val="Heading1"/>
      </w:pPr>
      <w:r>
        <w:t>5. What the Discussion Actually Implies</w:t>
      </w:r>
    </w:p>
    <w:p>
      <w:pPr>
        <w:pStyle w:val="Heading2"/>
      </w:pPr>
      <w:r>
        <w:t>A. The manuscript is structurally mismatched to the market</w:t>
      </w:r>
    </w:p>
    <w:p>
      <w:pPr>
        <w:ind w:left="288" w:hanging="259"/>
      </w:pPr>
      <w:r>
        <w:rPr>
          <w:b/>
        </w:rPr>
        <w:t xml:space="preserve">• </w:t>
      </w:r>
      <w:r>
        <w:t>The core failure mode is not poor research. It is audience-friction caused by density, tone, and form.</w:t>
      </w:r>
    </w:p>
    <w:p>
      <w:pPr>
        <w:ind w:left="288" w:hanging="259"/>
      </w:pPr>
      <w:r>
        <w:rPr>
          <w:b/>
        </w:rPr>
        <w:t xml:space="preserve">• </w:t>
      </w:r>
      <w:r>
        <w:t>That means 'formatting the book' is not the first real task. The first real task is deciding what each edition is supposed to do.</w:t>
      </w:r>
    </w:p>
    <w:p>
      <w:pPr>
        <w:pStyle w:val="Heading2"/>
      </w:pPr>
      <w:r>
        <w:t>B. Visual cohesion is strategic, not cosmetic</w:t>
      </w:r>
    </w:p>
    <w:p>
      <w:pPr>
        <w:ind w:left="288" w:hanging="259"/>
      </w:pPr>
      <w:r>
        <w:rPr>
          <w:b/>
        </w:rPr>
        <w:t xml:space="preserve">• </w:t>
      </w:r>
      <w:r>
        <w:t>The existing artist is not just a vendor; the artist may be the visual spine of the specialty edition.</w:t>
      </w:r>
    </w:p>
    <w:p>
      <w:pPr>
        <w:ind w:left="288" w:hanging="259"/>
      </w:pPr>
      <w:r>
        <w:rPr>
          <w:b/>
        </w:rPr>
        <w:t xml:space="preserve">• </w:t>
      </w:r>
      <w:r>
        <w:t>Mixing unrelated image styles risks making the book look assembled rather than authored.</w:t>
      </w:r>
    </w:p>
    <w:p>
      <w:pPr>
        <w:pStyle w:val="Heading2"/>
      </w:pPr>
      <w:r>
        <w:t>C. AI is useful, but only inside a disciplined workflow</w:t>
      </w:r>
    </w:p>
    <w:p>
      <w:pPr>
        <w:ind w:left="288" w:hanging="259"/>
      </w:pPr>
      <w:r>
        <w:rPr>
          <w:b/>
        </w:rPr>
        <w:t xml:space="preserve">• </w:t>
      </w:r>
      <w:r>
        <w:t>AI is well positioned to assist with technical simplification, structural condensation, layout ideation, caption drafting, and production prep.</w:t>
      </w:r>
    </w:p>
    <w:p>
      <w:pPr>
        <w:ind w:left="288" w:hanging="259"/>
      </w:pPr>
      <w:r>
        <w:rPr>
          <w:b/>
        </w:rPr>
        <w:t xml:space="preserve">• </w:t>
      </w:r>
      <w:r>
        <w:t>AI should not be treated as a magic formatter. It needs a locked brief, design rules, and human QA.</w:t>
      </w:r>
    </w:p>
    <w:p>
      <w:pPr>
        <w:pStyle w:val="Heading2"/>
      </w:pPr>
      <w:r>
        <w:t>D. The project needs gates, not vibes</w:t>
      </w:r>
    </w:p>
    <w:p>
      <w:pPr>
        <w:ind w:left="288" w:hanging="259"/>
      </w:pPr>
      <w:r>
        <w:rPr>
          <w:b/>
        </w:rPr>
        <w:t xml:space="preserve">• </w:t>
      </w:r>
      <w:r>
        <w:t>The conversation repeatedly circles the same uncertainty: too many possible routes, no locked sequence.</w:t>
      </w:r>
    </w:p>
    <w:p>
      <w:pPr>
        <w:ind w:left="288" w:hanging="259"/>
      </w:pPr>
      <w:r>
        <w:rPr>
          <w:b/>
        </w:rPr>
        <w:t xml:space="preserve">• </w:t>
      </w:r>
      <w:r>
        <w:t>A gated execution model is the right fix: define edition strategy first, then rights, then editorial conversion, then layout, then channel selection.</w:t>
      </w:r>
    </w:p>
    <w:p>
      <w:pPr>
        <w:pStyle w:val="Heading1"/>
      </w:pPr>
      <w:r>
        <w:t>6. Recommended Attack Plan</w:t>
      </w:r>
    </w:p>
    <w:p>
      <w:pPr>
        <w:pStyle w:val="Heading2"/>
      </w:pPr>
      <w:r>
        <w:t>Phase 0 — Asset Lock</w:t>
      </w:r>
    </w:p>
    <w:p>
      <w:pPr>
        <w:ind w:left="288" w:hanging="259"/>
      </w:pPr>
      <w:r>
        <w:rPr>
          <w:b/>
        </w:rPr>
        <w:t xml:space="preserve">• </w:t>
      </w:r>
      <w:r>
        <w:t>Create a master inventory: manuscript files, chapter list, images, captions, permissions, prior editorial feedback, publisher conversations, and any sample layouts.</w:t>
      </w:r>
    </w:p>
    <w:p>
      <w:pPr>
        <w:ind w:left="288" w:hanging="259"/>
      </w:pPr>
      <w:r>
        <w:rPr>
          <w:b/>
        </w:rPr>
        <w:t xml:space="preserve">• </w:t>
      </w:r>
      <w:r>
        <w:t>Decide the single source of truth folder and naming convention.</w:t>
      </w:r>
    </w:p>
    <w:p>
      <w:pPr>
        <w:ind w:left="288" w:hanging="259"/>
      </w:pPr>
      <w:r>
        <w:rPr>
          <w:b/>
        </w:rPr>
        <w:t xml:space="preserve">• </w:t>
      </w:r>
      <w:r>
        <w:t>Freeze uncontrolled edits until the publishing architecture is approved.</w:t>
      </w:r>
    </w:p>
    <w:p>
      <w:pPr>
        <w:pStyle w:val="Heading2"/>
      </w:pPr>
      <w:r>
        <w:t>Phase 1 — Edition Architecture</w:t>
      </w:r>
    </w:p>
    <w:p>
      <w:pPr>
        <w:ind w:left="288" w:hanging="259"/>
      </w:pPr>
      <w:r>
        <w:rPr>
          <w:b/>
        </w:rPr>
        <w:t xml:space="preserve">• </w:t>
      </w:r>
      <w:r>
        <w:t>Define Book A: specialty physical edition (goal, trim feel, image-to-text ratio, browsing behavior, page budget, visual voice).</w:t>
      </w:r>
    </w:p>
    <w:p>
      <w:pPr>
        <w:ind w:left="288" w:hanging="259"/>
      </w:pPr>
      <w:r>
        <w:rPr>
          <w:b/>
        </w:rPr>
        <w:t xml:space="preserve">• </w:t>
      </w:r>
      <w:r>
        <w:t>Define Book B: digital/reference edition (goal, audience, depth level, chapter logic, appendix logic, citation needs).</w:t>
      </w:r>
    </w:p>
    <w:p>
      <w:pPr>
        <w:ind w:left="288" w:hanging="259"/>
      </w:pPr>
      <w:r>
        <w:rPr>
          <w:b/>
        </w:rPr>
        <w:t xml:space="preserve">• </w:t>
      </w:r>
      <w:r>
        <w:t>Document what content belongs in both, only one, or neither.</w:t>
      </w:r>
    </w:p>
    <w:p>
      <w:pPr>
        <w:pStyle w:val="Heading2"/>
      </w:pPr>
      <w:r>
        <w:t>Phase 2 — Rights and Visual System</w:t>
      </w:r>
    </w:p>
    <w:p>
      <w:pPr>
        <w:ind w:left="288" w:hanging="259"/>
      </w:pPr>
      <w:r>
        <w:rPr>
          <w:b/>
        </w:rPr>
        <w:t xml:space="preserve">• </w:t>
      </w:r>
      <w:r>
        <w:t>Verify all current image licenses and written evidence of usage rights.</w:t>
      </w:r>
    </w:p>
    <w:p>
      <w:pPr>
        <w:ind w:left="288" w:hanging="259"/>
      </w:pPr>
      <w:r>
        <w:rPr>
          <w:b/>
        </w:rPr>
        <w:t xml:space="preserve">• </w:t>
      </w:r>
      <w:r>
        <w:t>Approach the artist with a structured proposal for additional work, deeper credit, or expanded relationship if viable.</w:t>
      </w:r>
    </w:p>
    <w:p>
      <w:pPr>
        <w:ind w:left="288" w:hanging="259"/>
      </w:pPr>
      <w:r>
        <w:rPr>
          <w:b/>
        </w:rPr>
        <w:t xml:space="preserve">• </w:t>
      </w:r>
      <w:r>
        <w:t>Set art direction rules so every figure, diagram, and illustration feels like one world.</w:t>
      </w:r>
    </w:p>
    <w:p>
      <w:pPr>
        <w:pStyle w:val="Heading2"/>
      </w:pPr>
      <w:r>
        <w:t>Phase 3 — Technical Accessibility Edit</w:t>
      </w:r>
    </w:p>
    <w:p>
      <w:pPr>
        <w:ind w:left="288" w:hanging="259"/>
      </w:pPr>
      <w:r>
        <w:rPr>
          <w:b/>
        </w:rPr>
        <w:t xml:space="preserve">• </w:t>
      </w:r>
      <w:r>
        <w:t>Translate expert-dense passages into plain but still authoritative language.</w:t>
      </w:r>
    </w:p>
    <w:p>
      <w:pPr>
        <w:ind w:left="288" w:hanging="259"/>
      </w:pPr>
      <w:r>
        <w:rPr>
          <w:b/>
        </w:rPr>
        <w:t xml:space="preserve">• </w:t>
      </w:r>
      <w:r>
        <w:t>Convert dense explanatory sections into more skimmable structures where appropriate: callouts, bullets, sidebars, figure-led explanations, chapter previews, and recap points.</w:t>
      </w:r>
    </w:p>
    <w:p>
      <w:pPr>
        <w:ind w:left="288" w:hanging="259"/>
      </w:pPr>
      <w:r>
        <w:rPr>
          <w:b/>
        </w:rPr>
        <w:t xml:space="preserve">• </w:t>
      </w:r>
      <w:r>
        <w:t>Flag what content must remain high fidelity and should not be oversimplified.</w:t>
      </w:r>
    </w:p>
    <w:p>
      <w:pPr>
        <w:pStyle w:val="Heading2"/>
      </w:pPr>
      <w:r>
        <w:t>Phase 4 — Publishing Format Prototype</w:t>
      </w:r>
    </w:p>
    <w:p>
      <w:pPr>
        <w:ind w:left="288" w:hanging="259"/>
      </w:pPr>
      <w:r>
        <w:rPr>
          <w:b/>
        </w:rPr>
        <w:t xml:space="preserve">• </w:t>
      </w:r>
      <w:r>
        <w:t>Produce a design prototype for the specialty edition: sample opener, chapter spread, full-bleed image page, sidebar page, and appendix sample.</w:t>
      </w:r>
    </w:p>
    <w:p>
      <w:pPr>
        <w:ind w:left="288" w:hanging="259"/>
      </w:pPr>
      <w:r>
        <w:rPr>
          <w:b/>
        </w:rPr>
        <w:t xml:space="preserve">• </w:t>
      </w:r>
      <w:r>
        <w:t>Produce a separate design prototype for the digital/reference edition.</w:t>
      </w:r>
    </w:p>
    <w:p>
      <w:pPr>
        <w:ind w:left="288" w:hanging="259"/>
      </w:pPr>
      <w:r>
        <w:rPr>
          <w:b/>
        </w:rPr>
        <w:t xml:space="preserve">• </w:t>
      </w:r>
      <w:r>
        <w:t>Review readability, page rhythm, and brand coherence before touching the full book.</w:t>
      </w:r>
    </w:p>
    <w:p>
      <w:pPr>
        <w:pStyle w:val="Heading2"/>
      </w:pPr>
      <w:r>
        <w:t>Phase 5 — Route-to-Market Decision</w:t>
      </w:r>
    </w:p>
    <w:p>
      <w:pPr>
        <w:ind w:left="288" w:hanging="259"/>
      </w:pPr>
      <w:r>
        <w:rPr>
          <w:b/>
        </w:rPr>
        <w:t xml:space="preserve">• </w:t>
      </w:r>
      <w:r>
        <w:t>Evaluate four routes against the finished prototypes: self-publish, specialty publisher, academic/reference publisher, or grant-assisted hybrid.</w:t>
      </w:r>
    </w:p>
    <w:p>
      <w:pPr>
        <w:ind w:left="288" w:hanging="259"/>
      </w:pPr>
      <w:r>
        <w:rPr>
          <w:b/>
        </w:rPr>
        <w:t xml:space="preserve">• </w:t>
      </w:r>
      <w:r>
        <w:t>Make this a scored decision, not a feelings-based one: control, speed, cost, prestige, discoverability, rights retention, and workload.</w:t>
      </w:r>
    </w:p>
    <w:p>
      <w:pPr>
        <w:pStyle w:val="Heading2"/>
      </w:pPr>
      <w:r>
        <w:t>Phase 6 — Production and Launch Prep</w:t>
      </w:r>
    </w:p>
    <w:p>
      <w:pPr>
        <w:ind w:left="288" w:hanging="259"/>
      </w:pPr>
      <w:r>
        <w:rPr>
          <w:b/>
        </w:rPr>
        <w:t xml:space="preserve">• </w:t>
      </w:r>
      <w:r>
        <w:t>Lock copy, lock art, lock layout.</w:t>
      </w:r>
    </w:p>
    <w:p>
      <w:pPr>
        <w:ind w:left="288" w:hanging="259"/>
      </w:pPr>
      <w:r>
        <w:rPr>
          <w:b/>
        </w:rPr>
        <w:t xml:space="preserve">• </w:t>
      </w:r>
      <w:r>
        <w:t>Prepare metadata, jacket/cover copy, author bios, acknowledgments, image credits, and distribution copy.</w:t>
      </w:r>
    </w:p>
    <w:p>
      <w:pPr>
        <w:ind w:left="288" w:hanging="259"/>
      </w:pPr>
      <w:r>
        <w:rPr>
          <w:b/>
        </w:rPr>
        <w:t xml:space="preserve">• </w:t>
      </w:r>
      <w:r>
        <w:t>Build outreach materials for publishers, funders, or freelance production support if needed.</w:t>
      </w:r>
    </w:p>
    <w:p>
      <w:pPr>
        <w:pStyle w:val="Heading1"/>
      </w:pPr>
      <w:r>
        <w:t>7. Decision Matrix: Route Options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44"/>
            <w:shd w:fill="D9EAF7"/>
            <w:vAlign w:val="center"/>
            <w:tcMar>
              <w:top w:w="90" w:type="dxa"/>
              <w:start w:w="110" w:type="dxa"/>
              <w:bottom w:w="90" w:type="dxa"/>
              <w:end w:w="110" w:type="dxa"/>
            </w:tcMar>
          </w:tcPr>
          <w:p>
            <w:r>
              <w:rPr>
                <w:b/>
              </w:rPr>
              <w:t>Route</w:t>
            </w:r>
          </w:p>
        </w:tc>
        <w:tc>
          <w:tcPr>
            <w:tcW w:type="dxa" w:w="2016"/>
            <w:shd w:fill="D9EAF7"/>
            <w:vAlign w:val="center"/>
            <w:tcMar>
              <w:top w:w="90" w:type="dxa"/>
              <w:start w:w="110" w:type="dxa"/>
              <w:bottom w:w="90" w:type="dxa"/>
              <w:end w:w="110" w:type="dxa"/>
            </w:tcMar>
          </w:tcPr>
          <w:p>
            <w:r>
              <w:rPr>
                <w:b/>
              </w:rPr>
              <w:t>Control</w:t>
            </w:r>
          </w:p>
        </w:tc>
        <w:tc>
          <w:tcPr>
            <w:tcW w:type="dxa" w:w="1944"/>
            <w:shd w:fill="D9EAF7"/>
            <w:vAlign w:val="center"/>
            <w:tcMar>
              <w:top w:w="90" w:type="dxa"/>
              <w:start w:w="110" w:type="dxa"/>
              <w:bottom w:w="90" w:type="dxa"/>
              <w:end w:w="110" w:type="dxa"/>
            </w:tcMar>
          </w:tcPr>
          <w:p>
            <w:r>
              <w:rPr>
                <w:b/>
              </w:rPr>
              <w:t>Speed</w:t>
            </w:r>
          </w:p>
        </w:tc>
        <w:tc>
          <w:tcPr>
            <w:tcW w:type="dxa" w:w="1944"/>
            <w:shd w:fill="D9EAF7"/>
            <w:vAlign w:val="center"/>
            <w:tcMar>
              <w:top w:w="90" w:type="dxa"/>
              <w:start w:w="110" w:type="dxa"/>
              <w:bottom w:w="90" w:type="dxa"/>
              <w:end w:w="110" w:type="dxa"/>
            </w:tcMar>
          </w:tcPr>
          <w:p>
            <w:r>
              <w:rPr>
                <w:b/>
              </w:rPr>
              <w:t>Prestige</w:t>
            </w:r>
          </w:p>
        </w:tc>
        <w:tc>
          <w:tcPr>
            <w:tcW w:type="dxa" w:w="3528"/>
            <w:shd w:fill="D9EAF7"/>
            <w:vAlign w:val="center"/>
            <w:tcMar>
              <w:top w:w="90" w:type="dxa"/>
              <w:start w:w="110" w:type="dxa"/>
              <w:bottom w:w="90" w:type="dxa"/>
              <w:end w:w="110" w:type="dxa"/>
            </w:tcMar>
          </w:tcPr>
          <w:p>
            <w:r>
              <w:rPr>
                <w:b/>
              </w:rPr>
              <w:t>Best Use</w:t>
            </w:r>
          </w:p>
        </w:tc>
      </w:tr>
      <w:tr>
        <w:tc>
          <w:tcPr>
            <w:tcW w:type="dxa" w:w="1987"/>
            <w:vAlign w:val="center"/>
            <w:tcMar>
              <w:top w:w="90" w:type="dxa"/>
              <w:start w:w="110" w:type="dxa"/>
              <w:bottom w:w="90" w:type="dxa"/>
              <w:end w:w="110" w:type="dxa"/>
            </w:tcMar>
          </w:tcPr>
          <w:p>
            <w:r>
              <w:t>Self-publish</w:t>
            </w:r>
          </w:p>
        </w:tc>
        <w:tc>
          <w:tcPr>
            <w:tcW w:type="dxa" w:w="1987"/>
            <w:vAlign w:val="center"/>
            <w:tcMar>
              <w:top w:w="90" w:type="dxa"/>
              <w:start w:w="110" w:type="dxa"/>
              <w:bottom w:w="90" w:type="dxa"/>
              <w:end w:w="110" w:type="dxa"/>
            </w:tcMar>
          </w:tcPr>
          <w:p>
            <w:r>
              <w:t>High</w:t>
            </w:r>
          </w:p>
        </w:tc>
        <w:tc>
          <w:tcPr>
            <w:tcW w:type="dxa" w:w="1987"/>
            <w:vAlign w:val="center"/>
            <w:tcMar>
              <w:top w:w="90" w:type="dxa"/>
              <w:start w:w="110" w:type="dxa"/>
              <w:bottom w:w="90" w:type="dxa"/>
              <w:end w:w="110" w:type="dxa"/>
            </w:tcMar>
          </w:tcPr>
          <w:p>
            <w:r>
              <w:t>Medium–High</w:t>
            </w:r>
          </w:p>
        </w:tc>
        <w:tc>
          <w:tcPr>
            <w:tcW w:type="dxa" w:w="1987"/>
            <w:vAlign w:val="center"/>
            <w:tcMar>
              <w:top w:w="90" w:type="dxa"/>
              <w:start w:w="110" w:type="dxa"/>
              <w:bottom w:w="90" w:type="dxa"/>
              <w:end w:w="110" w:type="dxa"/>
            </w:tcMar>
          </w:tcPr>
          <w:p>
            <w:r>
              <w:t>Low–Medium</w:t>
            </w:r>
          </w:p>
        </w:tc>
        <w:tc>
          <w:tcPr>
            <w:tcW w:type="dxa" w:w="1987"/>
            <w:vAlign w:val="center"/>
            <w:tcMar>
              <w:top w:w="90" w:type="dxa"/>
              <w:start w:w="110" w:type="dxa"/>
              <w:bottom w:w="90" w:type="dxa"/>
              <w:end w:w="110" w:type="dxa"/>
            </w:tcMar>
          </w:tcPr>
          <w:p>
            <w:r>
              <w:t>When speed and ownership matter most.</w:t>
            </w:r>
          </w:p>
        </w:tc>
      </w:tr>
      <w:tr>
        <w:tc>
          <w:tcPr>
            <w:tcW w:type="dxa" w:w="1987"/>
            <w:vAlign w:val="center"/>
            <w:tcMar>
              <w:top w:w="90" w:type="dxa"/>
              <w:start w:w="110" w:type="dxa"/>
              <w:bottom w:w="90" w:type="dxa"/>
              <w:end w:w="110" w:type="dxa"/>
            </w:tcMar>
          </w:tcPr>
          <w:p>
            <w:r>
              <w:t>Specialty trade publisher</w:t>
            </w:r>
          </w:p>
        </w:tc>
        <w:tc>
          <w:tcPr>
            <w:tcW w:type="dxa" w:w="1987"/>
            <w:vAlign w:val="center"/>
            <w:tcMar>
              <w:top w:w="90" w:type="dxa"/>
              <w:start w:w="110" w:type="dxa"/>
              <w:bottom w:w="90" w:type="dxa"/>
              <w:end w:w="110" w:type="dxa"/>
            </w:tcMar>
          </w:tcPr>
          <w:p>
            <w:r>
              <w:t>Medium</w:t>
            </w:r>
          </w:p>
        </w:tc>
        <w:tc>
          <w:tcPr>
            <w:tcW w:type="dxa" w:w="1987"/>
            <w:vAlign w:val="center"/>
            <w:tcMar>
              <w:top w:w="90" w:type="dxa"/>
              <w:start w:w="110" w:type="dxa"/>
              <w:bottom w:w="90" w:type="dxa"/>
              <w:end w:w="110" w:type="dxa"/>
            </w:tcMar>
          </w:tcPr>
          <w:p>
            <w:r>
              <w:t>Medium</w:t>
            </w:r>
          </w:p>
        </w:tc>
        <w:tc>
          <w:tcPr>
            <w:tcW w:type="dxa" w:w="1987"/>
            <w:vAlign w:val="center"/>
            <w:tcMar>
              <w:top w:w="90" w:type="dxa"/>
              <w:start w:w="110" w:type="dxa"/>
              <w:bottom w:w="90" w:type="dxa"/>
              <w:end w:w="110" w:type="dxa"/>
            </w:tcMar>
          </w:tcPr>
          <w:p>
            <w:r>
              <w:t>Medium–High</w:t>
            </w:r>
          </w:p>
        </w:tc>
        <w:tc>
          <w:tcPr>
            <w:tcW w:type="dxa" w:w="1987"/>
            <w:vAlign w:val="center"/>
            <w:tcMar>
              <w:top w:w="90" w:type="dxa"/>
              <w:start w:w="110" w:type="dxa"/>
              <w:bottom w:w="90" w:type="dxa"/>
              <w:end w:w="110" w:type="dxa"/>
            </w:tcMar>
          </w:tcPr>
          <w:p>
            <w:r>
              <w:t>When browseability, production quality, and niche placement matter.</w:t>
            </w:r>
          </w:p>
        </w:tc>
      </w:tr>
      <w:tr>
        <w:tc>
          <w:tcPr>
            <w:tcW w:type="dxa" w:w="1987"/>
            <w:vAlign w:val="center"/>
            <w:tcMar>
              <w:top w:w="90" w:type="dxa"/>
              <w:start w:w="110" w:type="dxa"/>
              <w:bottom w:w="90" w:type="dxa"/>
              <w:end w:w="110" w:type="dxa"/>
            </w:tcMar>
          </w:tcPr>
          <w:p>
            <w:r>
              <w:t>Academic/reference publisher</w:t>
            </w:r>
          </w:p>
        </w:tc>
        <w:tc>
          <w:tcPr>
            <w:tcW w:type="dxa" w:w="1987"/>
            <w:vAlign w:val="center"/>
            <w:tcMar>
              <w:top w:w="90" w:type="dxa"/>
              <w:start w:w="110" w:type="dxa"/>
              <w:bottom w:w="90" w:type="dxa"/>
              <w:end w:w="110" w:type="dxa"/>
            </w:tcMar>
          </w:tcPr>
          <w:p>
            <w:r>
              <w:t>Low–Medium</w:t>
            </w:r>
          </w:p>
        </w:tc>
        <w:tc>
          <w:tcPr>
            <w:tcW w:type="dxa" w:w="1987"/>
            <w:vAlign w:val="center"/>
            <w:tcMar>
              <w:top w:w="90" w:type="dxa"/>
              <w:start w:w="110" w:type="dxa"/>
              <w:bottom w:w="90" w:type="dxa"/>
              <w:end w:w="110" w:type="dxa"/>
            </w:tcMar>
          </w:tcPr>
          <w:p>
            <w:r>
              <w:t>Low</w:t>
            </w:r>
          </w:p>
        </w:tc>
        <w:tc>
          <w:tcPr>
            <w:tcW w:type="dxa" w:w="1987"/>
            <w:vAlign w:val="center"/>
            <w:tcMar>
              <w:top w:w="90" w:type="dxa"/>
              <w:start w:w="110" w:type="dxa"/>
              <w:bottom w:w="90" w:type="dxa"/>
              <w:end w:w="110" w:type="dxa"/>
            </w:tcMar>
          </w:tcPr>
          <w:p>
            <w:r>
              <w:t>High</w:t>
            </w:r>
          </w:p>
        </w:tc>
        <w:tc>
          <w:tcPr>
            <w:tcW w:type="dxa" w:w="1987"/>
            <w:vAlign w:val="center"/>
            <w:tcMar>
              <w:top w:w="90" w:type="dxa"/>
              <w:start w:w="110" w:type="dxa"/>
              <w:bottom w:w="90" w:type="dxa"/>
              <w:end w:w="110" w:type="dxa"/>
            </w:tcMar>
          </w:tcPr>
          <w:p>
            <w:r>
              <w:t>When institutional credibility and reference utility matter.</w:t>
            </w:r>
          </w:p>
        </w:tc>
      </w:tr>
      <w:tr>
        <w:tc>
          <w:tcPr>
            <w:tcW w:type="dxa" w:w="1987"/>
            <w:vAlign w:val="center"/>
            <w:tcMar>
              <w:top w:w="90" w:type="dxa"/>
              <w:start w:w="110" w:type="dxa"/>
              <w:bottom w:w="90" w:type="dxa"/>
              <w:end w:w="110" w:type="dxa"/>
            </w:tcMar>
          </w:tcPr>
          <w:p>
            <w:r>
              <w:t>Grant-assisted hybrid</w:t>
            </w:r>
          </w:p>
        </w:tc>
        <w:tc>
          <w:tcPr>
            <w:tcW w:type="dxa" w:w="1987"/>
            <w:vAlign w:val="center"/>
            <w:tcMar>
              <w:top w:w="90" w:type="dxa"/>
              <w:start w:w="110" w:type="dxa"/>
              <w:bottom w:w="90" w:type="dxa"/>
              <w:end w:w="110" w:type="dxa"/>
            </w:tcMar>
          </w:tcPr>
          <w:p>
            <w:r>
              <w:t>Medium</w:t>
            </w:r>
          </w:p>
        </w:tc>
        <w:tc>
          <w:tcPr>
            <w:tcW w:type="dxa" w:w="1987"/>
            <w:vAlign w:val="center"/>
            <w:tcMar>
              <w:top w:w="90" w:type="dxa"/>
              <w:start w:w="110" w:type="dxa"/>
              <w:bottom w:w="90" w:type="dxa"/>
              <w:end w:w="110" w:type="dxa"/>
            </w:tcMar>
          </w:tcPr>
          <w:p>
            <w:r>
              <w:t>Low–Medium</w:t>
            </w:r>
          </w:p>
        </w:tc>
        <w:tc>
          <w:tcPr>
            <w:tcW w:type="dxa" w:w="1987"/>
            <w:vAlign w:val="center"/>
            <w:tcMar>
              <w:top w:w="90" w:type="dxa"/>
              <w:start w:w="110" w:type="dxa"/>
              <w:bottom w:w="90" w:type="dxa"/>
              <w:end w:w="110" w:type="dxa"/>
            </w:tcMar>
          </w:tcPr>
          <w:p>
            <w:r>
              <w:t>Medium–High</w:t>
            </w:r>
          </w:p>
        </w:tc>
        <w:tc>
          <w:tcPr>
            <w:tcW w:type="dxa" w:w="1987"/>
            <w:vAlign w:val="center"/>
            <w:tcMar>
              <w:top w:w="90" w:type="dxa"/>
              <w:start w:w="110" w:type="dxa"/>
              <w:bottom w:w="90" w:type="dxa"/>
              <w:end w:w="110" w:type="dxa"/>
            </w:tcMar>
          </w:tcPr>
          <w:p>
            <w:r>
              <w:t>When outside support can fund editing, research help, or production without full surrender of control.</w:t>
            </w:r>
          </w:p>
        </w:tc>
      </w:tr>
    </w:tbl>
    <w:p/>
    <w:p>
      <w:pPr>
        <w:pStyle w:val="Heading1"/>
      </w:pPr>
      <w:r>
        <w:t>8. Operational Risks</w:t>
      </w:r>
    </w:p>
    <w:p>
      <w:pPr>
        <w:ind w:left="288" w:hanging="259"/>
      </w:pPr>
      <w:r>
        <w:rPr>
          <w:b/>
        </w:rPr>
        <w:t xml:space="preserve">• </w:t>
      </w:r>
      <w:r>
        <w:t>Treating formatting as the first problem instead of edition strategy.</w:t>
      </w:r>
    </w:p>
    <w:p>
      <w:pPr>
        <w:ind w:left="288" w:hanging="259"/>
      </w:pPr>
      <w:r>
        <w:rPr>
          <w:b/>
        </w:rPr>
        <w:t xml:space="preserve">• </w:t>
      </w:r>
      <w:r>
        <w:t>Using multiple art styles and degrading visual authority.</w:t>
      </w:r>
    </w:p>
    <w:p>
      <w:pPr>
        <w:ind w:left="288" w:hanging="259"/>
      </w:pPr>
      <w:r>
        <w:rPr>
          <w:b/>
        </w:rPr>
        <w:t xml:space="preserve">• </w:t>
      </w:r>
      <w:r>
        <w:t>Oversimplifying science into marketing fluff.</w:t>
      </w:r>
    </w:p>
    <w:p>
      <w:pPr>
        <w:ind w:left="288" w:hanging="259"/>
      </w:pPr>
      <w:r>
        <w:rPr>
          <w:b/>
        </w:rPr>
        <w:t xml:space="preserve">• </w:t>
      </w:r>
      <w:r>
        <w:t>Over-relying on AI without a locked editorial standard or human quality gate.</w:t>
      </w:r>
    </w:p>
    <w:p>
      <w:pPr>
        <w:ind w:left="288" w:hanging="259"/>
      </w:pPr>
      <w:r>
        <w:rPr>
          <w:b/>
        </w:rPr>
        <w:t xml:space="preserve">• </w:t>
      </w:r>
      <w:r>
        <w:t>Confusing distribution strategy with audience identity.</w:t>
      </w:r>
    </w:p>
    <w:p>
      <w:pPr>
        <w:ind w:left="288" w:hanging="259"/>
      </w:pPr>
      <w:r>
        <w:rPr>
          <w:b/>
        </w:rPr>
        <w:t xml:space="preserve">• </w:t>
      </w:r>
      <w:r>
        <w:t>Proceeding with partner outreach before rights, inventory, and positioning are clean.</w:t>
      </w:r>
    </w:p>
    <w:p>
      <w:pPr>
        <w:pStyle w:val="Heading1"/>
      </w:pPr>
      <w:r>
        <w:t>9. Prompt Instruction Set — Master System</w:t>
      </w:r>
    </w:p>
    <w:p>
      <w:r>
        <w:t>The following prompt system is designed to drive high-quality AI support across strategy, editorial conversion, publishing architecture, production planning, and partner briefing. It is written to force structure, preserve scientific integrity, and prevent generic fluff.</w:t>
      </w:r>
    </w:p>
    <w:p>
      <w:r>
        <w:rPr>
          <w:b/>
        </w:rPr>
        <w:t>SYSTEM PROMPT</w:t>
      </w:r>
    </w:p>
    <w:tbl>
      <w:tblPr>
        <w:tblW w:type="auto" w:w="0"/>
        <w:jc w:val="center"/>
        <w:tblLayout w:type="fixed"/>
        <w:tblLook w:firstColumn="1" w:firstRow="1" w:lastColumn="0" w:lastRow="0" w:noHBand="0" w:noVBand="1" w:val="04A0"/>
      </w:tblPr>
      <w:tblGrid>
        <w:gridCol w:w="9936"/>
      </w:tblGrid>
      <w:tr>
        <w:tc>
          <w:tcPr>
            <w:tcW w:type="dxa" w:w="9648"/>
            <w:shd w:fill="F4F7FB"/>
            <w:tcMar>
              <w:top w:w="130" w:type="dxa"/>
              <w:start w:w="140" w:type="dxa"/>
              <w:bottom w:w="130" w:type="dxa"/>
              <w:end w:w="140" w:type="dxa"/>
            </w:tcMar>
          </w:tcPr>
          <w:p>
            <w:pPr/>
            <w:r>
              <w:t>You are the lead publishing strategist, technical editor, illustrated-nonfiction architect, and enterprise project operator for a book project about fungi–cannabis interactions.</w:t>
              <w:br/>
              <w:br/>
              <w:t>Your job is not to generate generic content. Your job is to help turn a dense, scientifically informed manuscript into a commercially viable, visually coherent, technically accurate publishing program.</w:t>
              <w:br/>
              <w:br/>
              <w:t>Operating rules:</w:t>
              <w:br/>
              <w:t>1. Protect scientific integrity. Never simplify by becoming inaccurate.</w:t>
              <w:br/>
              <w:t>2. Separate strategy from execution. Always state what decision is being made, what assumption it depends on, and what artifact should come out next.</w:t>
              <w:br/>
              <w:t>3. Treat the project as a two-track asset unless instructed otherwise: (a) specialty visual edition and (b) fuller digital/reference edition.</w:t>
              <w:br/>
              <w:t>4. Do not collapse audience definition into shallow marketing clichés. Identify reader archetypes, use contexts, and decision-makers.</w:t>
              <w:br/>
              <w:t>5. Do not recommend layout, images, or structure without explaining why that choice supports readability, discoverability, or authority.</w:t>
              <w:br/>
              <w:t>6. When editing, preserve technical meaning, key terminology, and scientific causality while improving accessibility.</w:t>
              <w:br/>
              <w:t>7. Flag all legal/rights, attribution, licensing, and reproduction assumptions explicitly.</w:t>
              <w:br/>
              <w:t>8. Distinguish confirmed facts, working assumptions, and open questions.</w:t>
              <w:br/>
              <w:t>9. Prefer step-gated plans over brainstorming dumps.</w:t>
              <w:br/>
              <w:t>10. Every substantial output must end with: Decision Gate, Inputs Needed, Risks, and Next Artifact.</w:t>
              <w:br/>
              <w:br/>
              <w:t>When given manuscript content, discussion notes, or project files, do the following in order:</w:t>
              <w:br/>
              <w:t>A. Diagnose the current state.</w:t>
              <w:br/>
              <w:t>B. Identify the intended product form.</w:t>
              <w:br/>
              <w:t>C. Map the audience/use-case layers.</w:t>
              <w:br/>
              <w:t>D. Recommend the structural treatment.</w:t>
              <w:br/>
              <w:t>E. Produce the next artifact in publisher-grade language.</w:t>
              <w:br/>
            </w:r>
          </w:p>
        </w:tc>
      </w:tr>
    </w:tbl>
    <w:p/>
    <w:p>
      <w:pPr>
        <w:pStyle w:val="Heading1"/>
      </w:pPr>
      <w:r>
        <w:t>10. Prompt Modules</w:t>
      </w:r>
    </w:p>
    <w:p>
      <w:pPr>
        <w:pStyle w:val="Heading2"/>
      </w:pPr>
      <w:r>
        <w:t>Module A — Conversation Summarizer</w:t>
      </w:r>
    </w:p>
    <w:p>
      <w:r>
        <w:t>Use when feeding in raw calls, meeting notes, or transcripts.</w:t>
      </w:r>
    </w:p>
    <w:tbl>
      <w:tblPr>
        <w:tblW w:type="auto" w:w="0"/>
        <w:jc w:val="center"/>
        <w:tblLayout w:type="fixed"/>
        <w:tblLook w:firstColumn="1" w:firstRow="1" w:lastColumn="0" w:lastRow="0" w:noHBand="0" w:noVBand="1" w:val="04A0"/>
      </w:tblPr>
      <w:tblGrid>
        <w:gridCol w:w="9936"/>
      </w:tblGrid>
      <w:tr>
        <w:tc>
          <w:tcPr>
            <w:tcW w:type="dxa" w:w="9504"/>
            <w:shd w:fill="F8F8F8"/>
            <w:tcMar>
              <w:top w:w="120" w:type="dxa"/>
              <w:start w:w="130" w:type="dxa"/>
              <w:bottom w:w="120" w:type="dxa"/>
              <w:end w:w="130" w:type="dxa"/>
            </w:tcMar>
          </w:tcPr>
          <w:p>
            <w:r>
              <w:rPr>
                <w:rFonts w:ascii="Consolas" w:hAnsi="Consolas"/>
                <w:sz w:val="19"/>
              </w:rPr>
              <w:t>Summarize this discussion as a publisher-grade strategic memo. Extract: objective, blockers, decisions, tensions, confirmed facts, assumptions, rights issues, commercial implications, and next-step actions. Then convert it into an executive brief suitable for internal stakeholders.</w:t>
            </w:r>
          </w:p>
        </w:tc>
      </w:tr>
    </w:tbl>
    <w:p/>
    <w:p>
      <w:pPr>
        <w:pStyle w:val="Heading2"/>
      </w:pPr>
      <w:r>
        <w:t>Module B — Manuscript Repositioning</w:t>
      </w:r>
    </w:p>
    <w:p>
      <w:r>
        <w:t>Use when deciding how the book should be split or reframed.</w:t>
      </w:r>
    </w:p>
    <w:tbl>
      <w:tblPr>
        <w:tblW w:type="auto" w:w="0"/>
        <w:jc w:val="center"/>
        <w:tblLayout w:type="fixed"/>
        <w:tblLook w:firstColumn="1" w:firstRow="1" w:lastColumn="0" w:lastRow="0" w:noHBand="0" w:noVBand="1" w:val="04A0"/>
      </w:tblPr>
      <w:tblGrid>
        <w:gridCol w:w="9936"/>
      </w:tblGrid>
      <w:tr>
        <w:tc>
          <w:tcPr>
            <w:tcW w:type="dxa" w:w="9504"/>
            <w:shd w:fill="F8F8F8"/>
            <w:tcMar>
              <w:top w:w="120" w:type="dxa"/>
              <w:start w:w="130" w:type="dxa"/>
              <w:bottom w:w="120" w:type="dxa"/>
              <w:end w:w="130" w:type="dxa"/>
            </w:tcMar>
          </w:tcPr>
          <w:p>
            <w:r>
              <w:rPr>
                <w:rFonts w:ascii="Consolas" w:hAnsi="Consolas"/>
                <w:sz w:val="19"/>
              </w:rPr>
              <w:t>Based on the material below, redesign this project into the strongest viable publishing architecture. Decide whether the project should exist as one book, two editions, or a staged release. Explain the role, audience, and content logic of each form.</w:t>
            </w:r>
          </w:p>
        </w:tc>
      </w:tr>
    </w:tbl>
    <w:p/>
    <w:p>
      <w:pPr>
        <w:pStyle w:val="Heading2"/>
      </w:pPr>
      <w:r>
        <w:t>Module C — Technical Accessibility Edit</w:t>
      </w:r>
    </w:p>
    <w:p>
      <w:r>
        <w:t>Use on chapter drafts or sections.</w:t>
      </w:r>
    </w:p>
    <w:tbl>
      <w:tblPr>
        <w:tblW w:type="auto" w:w="0"/>
        <w:jc w:val="center"/>
        <w:tblLayout w:type="fixed"/>
        <w:tblLook w:firstColumn="1" w:firstRow="1" w:lastColumn="0" w:lastRow="0" w:noHBand="0" w:noVBand="1" w:val="04A0"/>
      </w:tblPr>
      <w:tblGrid>
        <w:gridCol w:w="9936"/>
      </w:tblGrid>
      <w:tr>
        <w:tc>
          <w:tcPr>
            <w:tcW w:type="dxa" w:w="9504"/>
            <w:shd w:fill="F8F8F8"/>
            <w:tcMar>
              <w:top w:w="120" w:type="dxa"/>
              <w:start w:w="130" w:type="dxa"/>
              <w:bottom w:w="120" w:type="dxa"/>
              <w:end w:w="130" w:type="dxa"/>
            </w:tcMar>
          </w:tcPr>
          <w:p>
            <w:r>
              <w:rPr>
                <w:rFonts w:ascii="Consolas" w:hAnsi="Consolas"/>
                <w:sz w:val="19"/>
              </w:rPr>
              <w:t>Rewrite the passage below so that a non-specialist but serious grower can understand it without dumbing it down. Preserve every scientifically meaningful distinction. Then provide: plain-language version, key-term retention list, optional sidebar/callout opportunities, and any visuals that would reduce cognitive load.</w:t>
            </w:r>
          </w:p>
        </w:tc>
      </w:tr>
    </w:tbl>
    <w:p/>
    <w:p>
      <w:pPr>
        <w:pStyle w:val="Heading2"/>
      </w:pPr>
      <w:r>
        <w:t>Module D — Layout/Art Direction Brief</w:t>
      </w:r>
    </w:p>
    <w:p>
      <w:r>
        <w:t>Use before asking for design or freelance production.</w:t>
      </w:r>
    </w:p>
    <w:tbl>
      <w:tblPr>
        <w:tblW w:type="auto" w:w="0"/>
        <w:jc w:val="center"/>
        <w:tblLayout w:type="fixed"/>
        <w:tblLook w:firstColumn="1" w:firstRow="1" w:lastColumn="0" w:lastRow="0" w:noHBand="0" w:noVBand="1" w:val="04A0"/>
      </w:tblPr>
      <w:tblGrid>
        <w:gridCol w:w="9936"/>
      </w:tblGrid>
      <w:tr>
        <w:tc>
          <w:tcPr>
            <w:tcW w:type="dxa" w:w="9504"/>
            <w:shd w:fill="F8F8F8"/>
            <w:tcMar>
              <w:top w:w="120" w:type="dxa"/>
              <w:start w:w="130" w:type="dxa"/>
              <w:bottom w:w="120" w:type="dxa"/>
              <w:end w:w="130" w:type="dxa"/>
            </w:tcMar>
          </w:tcPr>
          <w:p>
            <w:r>
              <w:rPr>
                <w:rFonts w:ascii="Consolas" w:hAnsi="Consolas"/>
                <w:sz w:val="19"/>
              </w:rPr>
              <w:t>Create a professional layout brief for this section of the book. Specify page behavior, figure treatment, caption style, sidebars, text density, visual rhythm, and any required illustration rules so the final result feels cohesive, premium, and readable.</w:t>
            </w:r>
          </w:p>
        </w:tc>
      </w:tr>
    </w:tbl>
    <w:p/>
    <w:p>
      <w:pPr>
        <w:pStyle w:val="Heading2"/>
      </w:pPr>
      <w:r>
        <w:t>Module E — Route-to-Market Evaluation</w:t>
      </w:r>
    </w:p>
    <w:p>
      <w:r>
        <w:t>Use when comparing publishing paths.</w:t>
      </w:r>
    </w:p>
    <w:tbl>
      <w:tblPr>
        <w:tblW w:type="auto" w:w="0"/>
        <w:jc w:val="center"/>
        <w:tblLayout w:type="fixed"/>
        <w:tblLook w:firstColumn="1" w:firstRow="1" w:lastColumn="0" w:lastRow="0" w:noHBand="0" w:noVBand="1" w:val="04A0"/>
      </w:tblPr>
      <w:tblGrid>
        <w:gridCol w:w="9936"/>
      </w:tblGrid>
      <w:tr>
        <w:tc>
          <w:tcPr>
            <w:tcW w:type="dxa" w:w="9504"/>
            <w:shd w:fill="F8F8F8"/>
            <w:tcMar>
              <w:top w:w="120" w:type="dxa"/>
              <w:start w:w="130" w:type="dxa"/>
              <w:bottom w:w="120" w:type="dxa"/>
              <w:end w:w="130" w:type="dxa"/>
            </w:tcMar>
          </w:tcPr>
          <w:p>
            <w:r>
              <w:rPr>
                <w:rFonts w:ascii="Consolas" w:hAnsi="Consolas"/>
                <w:sz w:val="19"/>
              </w:rPr>
              <w:t>Compare self-publishing, specialty publisher, academic/reference publisher, and grant-assisted hybrid for this project. Score each route for control, speed, cost, prestige, discoverability, rights retention, and operational load. Then recommend one primary path and one fallback path.</w:t>
            </w:r>
          </w:p>
        </w:tc>
      </w:tr>
    </w:tbl>
    <w:p/>
    <w:p>
      <w:pPr>
        <w:pStyle w:val="Heading2"/>
      </w:pPr>
      <w:r>
        <w:t>Module F — Partner Outreach Drafting</w:t>
      </w:r>
    </w:p>
    <w:p>
      <w:r>
        <w:t>Use for artists, publishers, grant bodies, and freelancers.</w:t>
      </w:r>
    </w:p>
    <w:tbl>
      <w:tblPr>
        <w:tblW w:type="auto" w:w="0"/>
        <w:jc w:val="center"/>
        <w:tblLayout w:type="fixed"/>
        <w:tblLook w:firstColumn="1" w:firstRow="1" w:lastColumn="0" w:lastRow="0" w:noHBand="0" w:noVBand="1" w:val="04A0"/>
      </w:tblPr>
      <w:tblGrid>
        <w:gridCol w:w="9936"/>
      </w:tblGrid>
      <w:tr>
        <w:tc>
          <w:tcPr>
            <w:tcW w:type="dxa" w:w="9504"/>
            <w:shd w:fill="F8F8F8"/>
            <w:tcMar>
              <w:top w:w="120" w:type="dxa"/>
              <w:start w:w="130" w:type="dxa"/>
              <w:bottom w:w="120" w:type="dxa"/>
              <w:end w:w="130" w:type="dxa"/>
            </w:tcMar>
          </w:tcPr>
          <w:p>
            <w:r>
              <w:rPr>
                <w:rFonts w:ascii="Consolas" w:hAnsi="Consolas"/>
                <w:sz w:val="19"/>
              </w:rPr>
              <w:t>Draft a professional outreach message for the contact below. Tone: credible, concise, publisher-grade. The message must communicate project state, why the recipient matters, the type of collaboration requested, and the next step we want.</w:t>
            </w:r>
          </w:p>
        </w:tc>
      </w:tr>
    </w:tbl>
    <w:p/>
    <w:p>
      <w:pPr>
        <w:pStyle w:val="Heading1"/>
      </w:pPr>
      <w:r>
        <w:t>11. Required Output Format for Future AI Runs</w:t>
      </w:r>
    </w:p>
    <w:p>
      <w:pPr>
        <w:ind w:left="288" w:hanging="259"/>
      </w:pPr>
      <w:r>
        <w:rPr>
          <w:b/>
        </w:rPr>
        <w:t xml:space="preserve">• </w:t>
      </w:r>
      <w:r>
        <w:t>State the task objective in one sentence.</w:t>
      </w:r>
    </w:p>
    <w:p>
      <w:pPr>
        <w:ind w:left="288" w:hanging="259"/>
      </w:pPr>
      <w:r>
        <w:rPr>
          <w:b/>
        </w:rPr>
        <w:t xml:space="preserve">• </w:t>
      </w:r>
      <w:r>
        <w:t>List Confirmed Facts, Assumptions, and Open Questions separately.</w:t>
      </w:r>
    </w:p>
    <w:p>
      <w:pPr>
        <w:ind w:left="288" w:hanging="259"/>
      </w:pPr>
      <w:r>
        <w:rPr>
          <w:b/>
        </w:rPr>
        <w:t xml:space="preserve">• </w:t>
      </w:r>
      <w:r>
        <w:t>Provide the analysis or rewrite.</w:t>
      </w:r>
    </w:p>
    <w:p>
      <w:pPr>
        <w:ind w:left="288" w:hanging="259"/>
      </w:pPr>
      <w:r>
        <w:rPr>
          <w:b/>
        </w:rPr>
        <w:t xml:space="preserve">• </w:t>
      </w:r>
      <w:r>
        <w:t>Provide a Decision Gate: what must be chosen or approved next.</w:t>
      </w:r>
    </w:p>
    <w:p>
      <w:pPr>
        <w:ind w:left="288" w:hanging="259"/>
      </w:pPr>
      <w:r>
        <w:rPr>
          <w:b/>
        </w:rPr>
        <w:t xml:space="preserve">• </w:t>
      </w:r>
      <w:r>
        <w:t>Provide Inputs Needed: files, rights evidence, chapter text, image inventory, publisher list, etc.</w:t>
      </w:r>
    </w:p>
    <w:p>
      <w:pPr>
        <w:ind w:left="288" w:hanging="259"/>
      </w:pPr>
      <w:r>
        <w:rPr>
          <w:b/>
        </w:rPr>
        <w:t xml:space="preserve">• </w:t>
      </w:r>
      <w:r>
        <w:t>Provide the Next Artifact: exactly what the next deliverable should be (memo, outreach email, chapter rewrite, layout brief, decision matrix, etc.).</w:t>
      </w:r>
    </w:p>
    <w:p>
      <w:pPr>
        <w:pStyle w:val="Heading1"/>
      </w:pPr>
      <w:r>
        <w:t>12. Immediate Next Artifacts to Produce</w:t>
      </w:r>
    </w:p>
    <w:p>
      <w:pPr>
        <w:ind w:left="216" w:hanging="216"/>
      </w:pPr>
      <w:r>
        <w:rPr>
          <w:b/>
        </w:rPr>
        <w:t xml:space="preserve">1. </w:t>
      </w:r>
      <w:r>
        <w:t>Artist outreach brief and email draft.</w:t>
      </w:r>
    </w:p>
    <w:p>
      <w:pPr>
        <w:ind w:left="216" w:hanging="216"/>
      </w:pPr>
      <w:r>
        <w:rPr>
          <w:b/>
        </w:rPr>
        <w:t xml:space="preserve">2. </w:t>
      </w:r>
      <w:r>
        <w:t>Edition architecture memo: physical specialty edition vs digital/reference edition.</w:t>
      </w:r>
    </w:p>
    <w:p>
      <w:pPr>
        <w:ind w:left="216" w:hanging="216"/>
      </w:pPr>
      <w:r>
        <w:rPr>
          <w:b/>
        </w:rPr>
        <w:t xml:space="preserve">3. </w:t>
      </w:r>
      <w:r>
        <w:t>Rights and asset inventory sheet.</w:t>
      </w:r>
    </w:p>
    <w:p>
      <w:pPr>
        <w:ind w:left="216" w:hanging="216"/>
      </w:pPr>
      <w:r>
        <w:rPr>
          <w:b/>
        </w:rPr>
        <w:t xml:space="preserve">4. </w:t>
      </w:r>
      <w:r>
        <w:t>Pilot technical edit of one representative chapter.</w:t>
      </w:r>
    </w:p>
    <w:p>
      <w:pPr>
        <w:ind w:left="216" w:hanging="216"/>
      </w:pPr>
      <w:r>
        <w:rPr>
          <w:b/>
        </w:rPr>
        <w:t xml:space="preserve">5. </w:t>
      </w:r>
      <w:r>
        <w:t>Design brief for a five- to eight-page sample spread set.</w:t>
      </w:r>
    </w:p>
    <w:p>
      <w:pPr>
        <w:ind w:left="216" w:hanging="216"/>
      </w:pPr>
      <w:r>
        <w:rPr>
          <w:b/>
        </w:rPr>
        <w:t xml:space="preserve">6. </w:t>
      </w:r>
      <w:r>
        <w:t>Publishing route scorecard.</w:t>
      </w:r>
    </w:p>
    <w:p>
      <w:pPr>
        <w:pStyle w:val="Heading1"/>
      </w:pPr>
      <w:r>
        <w:t>13. Closing Assessment</w:t>
      </w:r>
    </w:p>
    <w:p>
      <w:r>
        <w:t>This project is viable, but only if it stops behaving like a vague book aspiration and starts behaving like a managed publishing program. The discussion already produced the core strategic insight: the manuscript is valuable, but the form is wrong. Once the project is split into the right product expressions, the rest becomes operational rather than existential.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