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Table 12.2. Common organic preventatives and treatments for Powdery Mildew that are acceptable for use on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Cannabis.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All sprays, even water, have some action by physically removing spores and hyphae from the plant surfaces. </w:t>
      </w:r>
    </w:p>
    <w:p w:rsidR="00000000" w:rsidDel="00000000" w:rsidP="00000000" w:rsidRDefault="00000000" w:rsidRPr="00000000" w14:paraId="00000004">
      <w:pPr>
        <w:spacing w:line="240" w:lineRule="auto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Ind w:w="-100.0" w:type="dxa"/>
        <w:tblLayout w:type="fixed"/>
        <w:tblLook w:val="0400"/>
      </w:tblPr>
      <w:tblGrid>
        <w:gridCol w:w="2242"/>
        <w:gridCol w:w="2889"/>
        <w:gridCol w:w="4229"/>
        <w:tblGridChange w:id="0">
          <w:tblGrid>
            <w:gridCol w:w="2242"/>
            <w:gridCol w:w="2889"/>
            <w:gridCol w:w="42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48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48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Active ingredient(s)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48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Mode of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line="48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Serenade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line="48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Double Nickle   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4"/>
                <w:szCs w:val="24"/>
                <w:highlight w:val="white"/>
                <w:rtl w:val="0"/>
              </w:rPr>
              <w:t xml:space="preserve">Bacillus subtilis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4"/>
                <w:szCs w:val="24"/>
                <w:highlight w:val="white"/>
                <w:rtl w:val="0"/>
              </w:rPr>
              <w:t xml:space="preserve">Bacillus amyloliquifaciens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numPr>
                <w:ilvl w:val="0"/>
                <w:numId w:val="26"/>
              </w:numPr>
              <w:spacing w:line="48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Direct competition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6"/>
              </w:numPr>
              <w:spacing w:line="48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Activates induced systemic resistance (ISR)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numPr>
                <w:ilvl w:val="0"/>
                <w:numId w:val="7"/>
              </w:numPr>
              <w:spacing w:line="48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GreenCure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Potassium bicarbonate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numPr>
                <w:ilvl w:val="0"/>
                <w:numId w:val="15"/>
              </w:numPr>
              <w:spacing w:line="48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Raise pH leaf surface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5"/>
              </w:numPr>
              <w:spacing w:line="48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Dries out mycelium due to osmotic potential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spacing w:line="48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Actinovate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4"/>
                <w:szCs w:val="24"/>
                <w:highlight w:val="white"/>
                <w:rtl w:val="0"/>
              </w:rPr>
              <w:t xml:space="preserve">Streptomyces lydicus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numPr>
                <w:ilvl w:val="0"/>
                <w:numId w:val="14"/>
              </w:numPr>
              <w:spacing w:line="48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Secretes antifungal compounds (natamycin)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4"/>
              </w:numPr>
              <w:spacing w:line="48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Direct competition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numPr>
                <w:ilvl w:val="0"/>
                <w:numId w:val="9"/>
              </w:numPr>
              <w:spacing w:line="48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Regalia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4"/>
                <w:szCs w:val="24"/>
                <w:highlight w:val="white"/>
                <w:rtl w:val="0"/>
              </w:rPr>
              <w:t xml:space="preserve">Raenoutria sachalinensis 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numPr>
                <w:ilvl w:val="0"/>
                <w:numId w:val="18"/>
              </w:numPr>
              <w:spacing w:line="48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Activates induced systemic resistance (ISR)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spacing w:line="48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Elemental sulfur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Sulfur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0"/>
                <w:numId w:val="11"/>
              </w:numPr>
              <w:spacing w:line="48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Interferes with several fungal life functions (e.g. spore germination)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numPr>
                <w:ilvl w:val="0"/>
                <w:numId w:val="23"/>
              </w:numPr>
              <w:spacing w:line="48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Bordeaux mixture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Copper sulfate and hydrated lime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numPr>
                <w:ilvl w:val="0"/>
                <w:numId w:val="8"/>
              </w:numPr>
              <w:spacing w:line="48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Copper ions inhibit spore germination, hydrated lime raises 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0"/>
                <w:numId w:val="17"/>
              </w:numPr>
              <w:spacing w:line="480" w:lineRule="auto"/>
              <w:ind w:left="720" w:hanging="360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Neem Oil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Plant oils, azadirachtin and other terpenoids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line="48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Antifungal compounds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48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Physical barrier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0"/>
                <w:numId w:val="25"/>
              </w:numPr>
              <w:spacing w:line="480" w:lineRule="auto"/>
              <w:ind w:left="720" w:hanging="360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Dr. Zymes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480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Citric acid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line="480" w:lineRule="auto"/>
              <w:ind w:left="720" w:hanging="360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Unfavorable pH </w:t>
            </w:r>
          </w:p>
        </w:tc>
      </w:tr>
    </w:tbl>
    <w:p w:rsidR="00000000" w:rsidDel="00000000" w:rsidP="00000000" w:rsidRDefault="00000000" w:rsidRPr="00000000" w14:paraId="0000002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13.3. Fungicidal products effective against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B. cinerea.</w:t>
      </w:r>
    </w:p>
    <w:tbl>
      <w:tblPr>
        <w:tblStyle w:val="Table2"/>
        <w:tblW w:w="9360.0" w:type="dxa"/>
        <w:jc w:val="left"/>
        <w:tblInd w:w="-100.0" w:type="dxa"/>
        <w:tblLayout w:type="fixed"/>
        <w:tblLook w:val="0400"/>
      </w:tblPr>
      <w:tblGrid>
        <w:gridCol w:w="2333"/>
        <w:gridCol w:w="3358"/>
        <w:gridCol w:w="3669"/>
        <w:tblGridChange w:id="0">
          <w:tblGrid>
            <w:gridCol w:w="2333"/>
            <w:gridCol w:w="3358"/>
            <w:gridCol w:w="36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Active ingredient(s)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Mode of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numPr>
                <w:ilvl w:val="0"/>
                <w:numId w:val="20"/>
              </w:numPr>
              <w:spacing w:line="24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Serenade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0"/>
              </w:numPr>
              <w:spacing w:line="24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Cease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4"/>
                <w:szCs w:val="24"/>
                <w:highlight w:val="white"/>
                <w:rtl w:val="0"/>
              </w:rPr>
              <w:t xml:space="preserve">Bacillus subtilus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Direct competition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Activates induce plant resistance (ISR)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ZeroTolerance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Method1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Essential oils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Thyme oil, peppermint oil, rosemary oil, clove oil, garlic oil, sesame oil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0"/>
                <w:numId w:val="19"/>
              </w:numPr>
              <w:spacing w:line="24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All have varying degrees of antifungal 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Nuke ‘em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Dr. Zyme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Citric acid (maybe other active ingredients)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numPr>
                <w:ilvl w:val="0"/>
                <w:numId w:val="22"/>
              </w:numPr>
              <w:spacing w:line="24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Citric acid has some antifungal properties, but it varies fungus to fungus  and is usually not very effective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numPr>
                <w:ilvl w:val="0"/>
                <w:numId w:val="21"/>
              </w:numPr>
              <w:spacing w:line="24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Oxidate 2.0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1"/>
              </w:numPr>
              <w:spacing w:line="24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Zerotol 2.0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1"/>
              </w:numPr>
              <w:spacing w:line="24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Jet-AG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Hydrogen dioxide, Peroxyacetic acid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numPr>
                <w:ilvl w:val="0"/>
                <w:numId w:val="24"/>
              </w:numPr>
              <w:spacing w:line="24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Oxidizing agent that destroys cell membranes and DNA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numPr>
                <w:ilvl w:val="0"/>
                <w:numId w:val="13"/>
              </w:numPr>
              <w:spacing w:line="24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Botector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4"/>
                <w:szCs w:val="24"/>
                <w:highlight w:val="white"/>
                <w:rtl w:val="0"/>
              </w:rPr>
              <w:t xml:space="preserve">Aureobasidium pullulans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Direct competition for space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Table 22.5. Examples of commercially available root inoculants. Most are both pathogen antagonists and plant growth promoting species.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Species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Commercial brands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Trichoderma harzianum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Root Shield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Trichoderma aspergillum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Tenet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Trichoderma gamsii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Tenet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Bacillus subtilis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Serenade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Bacillus amyloliquefaciens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DoubleNickle, Hydroguard</w:t>
            </w:r>
          </w:p>
        </w:tc>
      </w:tr>
    </w:tbl>
    <w:p w:rsidR="00000000" w:rsidDel="00000000" w:rsidP="00000000" w:rsidRDefault="00000000" w:rsidRPr="00000000" w14:paraId="0000005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Table 23.1. Biological and chemical control agents commercially available for use in </w:t>
      </w:r>
      <w:r w:rsidDel="00000000" w:rsidR="00000000" w:rsidRPr="00000000">
        <w:rPr>
          <w:i w:val="1"/>
          <w:iCs w:val="1"/>
          <w:rtl w:val="0"/>
        </w:rPr>
        <w:t xml:space="preserve">Cannabis</w:t>
      </w:r>
      <w:r w:rsidDel="00000000" w:rsidR="00000000" w:rsidRPr="00000000">
        <w:rPr>
          <w:rtl w:val="0"/>
        </w:rPr>
        <w:t xml:space="preserve"> production capable of plant protection against aerial fungal pathogens.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 Ingredient or biocontrol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Brand names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Bacillus subtilis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Serenade, Cease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Gliocladium catenulatum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Beauveria bassiana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Mycotrol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333333"/>
                <w:rtl w:val="0"/>
              </w:rPr>
              <w:t xml:space="preserve">Ulocladium oudemansii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Botrystop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Streptomyces griseoviridis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Mycostop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Streptomyces lydicus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Actinovate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444444"/>
                <w:highlight w:val="white"/>
                <w:rtl w:val="0"/>
              </w:rPr>
              <w:t xml:space="preserve">Bacillus amyloliquefaciens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Stargus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Trichoderma harzianum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RootShield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44444"/>
                <w:highlight w:val="white"/>
                <w:rtl w:val="0"/>
              </w:rPr>
              <w:t xml:space="preserve">Reynoutria sachalinensis</w:t>
            </w:r>
            <w:r w:rsidDel="00000000" w:rsidR="00000000" w:rsidRPr="00000000">
              <w:rPr>
                <w:rtl w:val="0"/>
              </w:rPr>
              <w:t xml:space="preserve"> (plant extract)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Regalia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Neem oil and azadirachtin (plant extract)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Commonly available as an oil extract from many brands. Trilogy is a clarified oil. Azatrol and azamax contain isolated azadirachtin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Potassium carbonate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Milstop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Potassium silicate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AgSil 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Micronized sulfur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Elemental sulfur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Copper sulfate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Copper Sulfate Heptahydrate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Calcium oxide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Hydrated Lime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Mineral oil/paraffins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Suffoil 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Peroxyacetic acid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Jet 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Hydrogen peroxide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Oxidate 2.0, Hydrogaurd</w:t>
            </w:r>
          </w:p>
        </w:tc>
      </w:tr>
    </w:tbl>
    <w:p w:rsidR="00000000" w:rsidDel="00000000" w:rsidP="00000000" w:rsidRDefault="00000000" w:rsidRPr="00000000" w14:paraId="0000007E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