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11/5/24 Kyle To do list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Move chapter 11 to section 3?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conclusions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Insert Works cited section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Word Count V2.0 65,000, 300 pages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Description of life cycle diagrams of pathogens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strike w:val="1"/>
          <w:color w:val="333333"/>
          <w:highlight w:val="white"/>
        </w:rPr>
      </w:pPr>
      <w:r w:rsidDel="00000000" w:rsidR="00000000" w:rsidRPr="00000000">
        <w:rPr>
          <w:strike w:val="1"/>
          <w:color w:val="333333"/>
          <w:highlight w:val="white"/>
          <w:rtl w:val="0"/>
        </w:rPr>
        <w:t xml:space="preserve">PM-purchased from carlson stock art, 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strike w:val="1"/>
          <w:color w:val="333333"/>
          <w:highlight w:val="white"/>
        </w:rPr>
      </w:pPr>
      <w:r w:rsidDel="00000000" w:rsidR="00000000" w:rsidRPr="00000000">
        <w:rPr>
          <w:strike w:val="1"/>
          <w:color w:val="333333"/>
          <w:highlight w:val="white"/>
          <w:rtl w:val="0"/>
        </w:rPr>
        <w:t xml:space="preserve">Budrot-we have a good diagram from Mahoud et al 23, purchase from carlson?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strike w:val="1"/>
          <w:color w:val="333333"/>
          <w:highlight w:val="white"/>
        </w:rPr>
      </w:pPr>
      <w:r w:rsidDel="00000000" w:rsidR="00000000" w:rsidRPr="00000000">
        <w:rPr>
          <w:strike w:val="1"/>
          <w:color w:val="333333"/>
          <w:highlight w:val="white"/>
          <w:rtl w:val="0"/>
        </w:rPr>
        <w:t xml:space="preserve">Damping off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strike w:val="1"/>
          <w:color w:val="333333"/>
          <w:highlight w:val="white"/>
        </w:rPr>
      </w:pPr>
      <w:r w:rsidDel="00000000" w:rsidR="00000000" w:rsidRPr="00000000">
        <w:rPr>
          <w:strike w:val="1"/>
          <w:color w:val="333333"/>
          <w:highlight w:val="white"/>
          <w:rtl w:val="0"/>
        </w:rPr>
        <w:t xml:space="preserve">Crown rot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strike w:val="1"/>
          <w:color w:val="333333"/>
          <w:highlight w:val="white"/>
        </w:rPr>
      </w:pPr>
      <w:r w:rsidDel="00000000" w:rsidR="00000000" w:rsidRPr="00000000">
        <w:rPr>
          <w:strike w:val="1"/>
          <w:color w:val="333333"/>
          <w:highlight w:val="white"/>
          <w:rtl w:val="0"/>
        </w:rPr>
        <w:t xml:space="preserve">Hemp canker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strike w:val="1"/>
          <w:color w:val="333333"/>
          <w:highlight w:val="white"/>
        </w:rPr>
      </w:pPr>
      <w:r w:rsidDel="00000000" w:rsidR="00000000" w:rsidRPr="00000000">
        <w:rPr>
          <w:strike w:val="1"/>
          <w:color w:val="333333"/>
          <w:highlight w:val="white"/>
          <w:rtl w:val="0"/>
        </w:rPr>
        <w:t xml:space="preserve">Leaf spot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strike w:val="1"/>
          <w:color w:val="333333"/>
          <w:highlight w:val="white"/>
        </w:rPr>
      </w:pPr>
      <w:r w:rsidDel="00000000" w:rsidR="00000000" w:rsidRPr="00000000">
        <w:rPr>
          <w:strike w:val="1"/>
          <w:color w:val="333333"/>
          <w:highlight w:val="white"/>
          <w:rtl w:val="0"/>
        </w:rPr>
        <w:t xml:space="preserve">Fusarium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strike w:val="1"/>
          <w:color w:val="333333"/>
          <w:highlight w:val="white"/>
        </w:rPr>
      </w:pPr>
      <w:r w:rsidDel="00000000" w:rsidR="00000000" w:rsidRPr="00000000">
        <w:rPr>
          <w:strike w:val="1"/>
          <w:color w:val="333333"/>
          <w:highlight w:val="white"/>
          <w:rtl w:val="0"/>
        </w:rPr>
        <w:t xml:space="preserve">Sclerotina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strike w:val="1"/>
          <w:color w:val="333333"/>
          <w:highlight w:val="white"/>
        </w:rPr>
      </w:pPr>
      <w:r w:rsidDel="00000000" w:rsidR="00000000" w:rsidRPr="00000000">
        <w:rPr>
          <w:strike w:val="1"/>
          <w:color w:val="333333"/>
          <w:highlight w:val="white"/>
          <w:rtl w:val="0"/>
        </w:rPr>
        <w:t xml:space="preserve">Verticillium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Description cover art ideas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glossary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 to section 2 ‘plant growth promoting fungi’.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