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Chapter 20</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Breeding For Plant Resistance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Vertical vs. Horizontal resistance: how to breed for durable resistance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commentRangeStart w:id="0"/>
      <w:r w:rsidDel="00000000" w:rsidR="00000000" w:rsidRPr="00000000">
        <w:rPr>
          <w:rFonts w:ascii="Times New Roman" w:cs="Times New Roman" w:eastAsia="Times New Roman" w:hAnsi="Times New Roman"/>
          <w:sz w:val="24"/>
          <w:szCs w:val="24"/>
          <w:rtl w:val="0"/>
        </w:rPr>
        <w:t xml:space="preserve">Flor, 1942</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w:t>
      </w:r>
      <w:r w:rsidDel="00000000" w:rsidR="00000000" w:rsidRPr="00000000">
        <w:rPr>
          <w:rFonts w:ascii="Times New Roman" w:cs="Times New Roman" w:eastAsia="Times New Roman" w:hAnsi="Times New Roman"/>
          <w:sz w:val="24"/>
          <w:szCs w:val="24"/>
          <w:rtl w:val="0"/>
        </w:rPr>
        <w:t xml:space="preserve">as effector</w:t>
      </w:r>
      <w:r w:rsidDel="00000000" w:rsidR="00000000" w:rsidRPr="00000000">
        <w:rPr>
          <w:rFonts w:ascii="Times New Roman" w:cs="Times New Roman" w:eastAsia="Times New Roman" w:hAnsi="Times New Roman"/>
          <w:sz w:val="24"/>
          <w:szCs w:val="24"/>
          <w:rtl w:val="0"/>
        </w:rPr>
        <w:t xml:space="preserve">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6">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are MLO mutants (Pepin et al, 2021). In a number of other crop species mlo mutants provide durable, single gene mediated resistance to powdery mildew. </w:t>
      </w:r>
      <w:r w:rsidDel="00000000" w:rsidR="00000000" w:rsidRPr="00000000">
        <w:rPr>
          <w:rFonts w:ascii="Times New Roman" w:cs="Times New Roman" w:eastAsia="Times New Roman" w:hAnsi="Times New Roman"/>
          <w:sz w:val="24"/>
          <w:szCs w:val="24"/>
          <w:rtl w:val="0"/>
        </w:rPr>
        <w:t xml:space="preserve">MLO</w:t>
      </w:r>
      <w:r w:rsidDel="00000000" w:rsidR="00000000" w:rsidRPr="00000000">
        <w:rPr>
          <w:rFonts w:ascii="Times New Roman" w:cs="Times New Roman" w:eastAsia="Times New Roman" w:hAnsi="Times New Roman"/>
          <w:sz w:val="24"/>
          <w:szCs w:val="24"/>
          <w:rtl w:val="0"/>
        </w:rPr>
        <w:t xml:space="preserve">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iCs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Planting Resistant Crops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 form of biocontrol (Cook and Baker, 1983) (Fig 19.1). A characteristic of all biocontrol agents is that they involve at least two, usually more, interacting species which exist under the continuing action of natural selection.  </w:t>
      </w:r>
    </w:p>
    <w:p w:rsidR="00000000" w:rsidDel="00000000" w:rsidP="00000000" w:rsidRDefault="00000000" w:rsidRPr="00000000" w14:paraId="00000010">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2818192"/>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24163" cy="28181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20.1. Poster released by organicconsumers.org depicting 6 of the most imminent dangers of monocropping any plant.</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w:t>
      </w:r>
      <w:r w:rsidDel="00000000" w:rsidR="00000000" w:rsidRPr="00000000">
        <w:rPr>
          <w:rFonts w:ascii="Times New Roman" w:cs="Times New Roman" w:eastAsia="Times New Roman" w:hAnsi="Times New Roman"/>
          <w:sz w:val="24"/>
          <w:szCs w:val="24"/>
          <w:rtl w:val="0"/>
        </w:rPr>
        <w:t xml:space="preserve">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grey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If, knowing the difficulty of this path, one chooses to pursue this goal anyway, they must first determine what variety of resistance to pests and pathogens exists in their available breeding stock. To do so, representative lots of seed  are grown under conditions where the pest and pathogens of concern are either naturally present or introduced.  Following evaluation, if desirable resistances are identified, an important distinction arises: are these qualitative (vertical) or quantitative (horizontal) traits? </w:t>
      </w:r>
    </w:p>
    <w:p w:rsidR="00000000" w:rsidDel="00000000" w:rsidP="00000000" w:rsidRDefault="00000000" w:rsidRPr="00000000" w14:paraId="00000016">
      <w:pPr>
        <w:spacing w:line="4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Multilines: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locesses from pest and pathogen damage that may occur during each individual season, while slowing the emergence of resistant pathogen races over time.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2241581"/>
            <wp:effectExtent b="0" l="0" r="0" t="0"/>
            <wp:docPr id="3"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3929063" cy="22415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20.2. Seed lots must be tested in fields with pest pressure to determine a given genetics’ resistance to particular pathogens. Reddy 2017.</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19.2). Both within-season disease pressure, as well as the likelihood of resistant pathogen races overcoming crop resistance, are reduced with the use of miltilines;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Monocropping:</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iCs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(The reason for this was that the seed bearing plants all shared a mitochondrial gene conferring male sterility. This allowed hybrid seed to be produced by pollinating these male-sterile females with a different male variety without the need to manually detassel every mother plant). A pathovar of </w:t>
      </w:r>
      <w:r w:rsidDel="00000000" w:rsidR="00000000" w:rsidRPr="00000000">
        <w:rPr>
          <w:rFonts w:ascii="Times New Roman" w:cs="Times New Roman" w:eastAsia="Times New Roman" w:hAnsi="Times New Roman"/>
          <w:i w:val="1"/>
          <w:iCs w:val="1"/>
          <w:sz w:val="24"/>
          <w:szCs w:val="24"/>
          <w:rtl w:val="0"/>
        </w:rPr>
        <w:t xml:space="preserve">Helminthosporium maydis </w:t>
      </w:r>
      <w:r w:rsidDel="00000000" w:rsidR="00000000" w:rsidRPr="00000000">
        <w:rPr>
          <w:rFonts w:ascii="Times New Roman" w:cs="Times New Roman" w:eastAsia="Times New Roman" w:hAnsi="Times New Roman"/>
          <w:sz w:val="24"/>
          <w:szCs w:val="24"/>
          <w:rtl w:val="0"/>
        </w:rPr>
        <w:t xml:space="preserve">(southern corn leaf blight) emerged and was able to infect all varieties that relied on this cytoplasm. In order to overcome this pathogen, resistant varieties of corn had to be developed in order to avoid ongoing, devastating losses to blight. Ultimately, this was the same solution required to overcome late-blight in potatoes.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8">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090988" cy="2207967"/>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090988" cy="220796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20.3. An example of a beautiful, biodiverse and biodynamic farming operation.</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Exceptions to the rule: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2F">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6170" cy="1839664"/>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6170" cy="183966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20.4. Wheat crowns and roots infected with </w:t>
      </w:r>
      <w:r w:rsidDel="00000000" w:rsidR="00000000" w:rsidRPr="00000000">
        <w:rPr>
          <w:rFonts w:ascii="Times New Roman" w:cs="Times New Roman" w:eastAsia="Times New Roman" w:hAnsi="Times New Roman"/>
          <w:i w:val="1"/>
          <w:iCs w:val="1"/>
          <w:sz w:val="24"/>
          <w:szCs w:val="24"/>
          <w:rtl w:val="0"/>
        </w:rPr>
        <w:t xml:space="preserve">G. graminis </w:t>
      </w:r>
      <w:r w:rsidDel="00000000" w:rsidR="00000000" w:rsidRPr="00000000">
        <w:rPr>
          <w:rFonts w:ascii="Times New Roman" w:cs="Times New Roman" w:eastAsia="Times New Roman" w:hAnsi="Times New Roman"/>
          <w:sz w:val="24"/>
          <w:szCs w:val="24"/>
          <w:rtl w:val="0"/>
        </w:rPr>
        <w:t xml:space="preserve">of increasing severity (left to right)</w:t>
      </w:r>
    </w:p>
    <w:p w:rsidR="00000000" w:rsidDel="00000000" w:rsidP="00000000" w:rsidRDefault="00000000" w:rsidRPr="00000000" w14:paraId="00000031">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iCs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iCs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iCs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iCs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 Similarly, A research breeding plot at the University of Minnesota known to be infested with potato diseases was rendered ineffective as a screening tool for susceptible varieties after the soil developed a microbiome suppressive to potato scab (</w:t>
      </w:r>
      <w:r w:rsidDel="00000000" w:rsidR="00000000" w:rsidRPr="00000000">
        <w:rPr>
          <w:rFonts w:ascii="Times New Roman" w:cs="Times New Roman" w:eastAsia="Times New Roman" w:hAnsi="Times New Roman"/>
          <w:i w:val="1"/>
          <w:iCs w:val="1"/>
          <w:sz w:val="24"/>
          <w:szCs w:val="24"/>
          <w:rtl w:val="0"/>
        </w:rPr>
        <w:t xml:space="preserve">Streptomyces scabies</w:t>
      </w:r>
      <w:r w:rsidDel="00000000" w:rsidR="00000000" w:rsidRPr="00000000">
        <w:rPr>
          <w:rFonts w:ascii="Times New Roman" w:cs="Times New Roman" w:eastAsia="Times New Roman" w:hAnsi="Times New Roman"/>
          <w:sz w:val="24"/>
          <w:szCs w:val="24"/>
          <w:rtl w:val="0"/>
        </w:rPr>
        <w:t xml:space="preserve">) and Verticillium wilt (ASM: Meet the microbiologist, March 26, 2020). </w:t>
      </w:r>
    </w:p>
    <w:p w:rsidR="00000000" w:rsidDel="00000000" w:rsidP="00000000" w:rsidRDefault="00000000" w:rsidRPr="00000000" w14:paraId="00000034">
      <w:pPr>
        <w:spacing w:line="480" w:lineRule="auto"/>
        <w:ind w:firstLine="720"/>
        <w:rPr>
          <w:rFonts w:ascii="Times New Roman" w:cs="Times New Roman" w:eastAsia="Times New Roman" w:hAnsi="Times New Roman"/>
          <w:strike w:val="1"/>
          <w:color w:val="ff0000"/>
          <w:sz w:val="24"/>
          <w:szCs w:val="24"/>
        </w:rPr>
      </w:pPr>
      <w:r w:rsidDel="00000000" w:rsidR="00000000" w:rsidRPr="00000000">
        <w:rPr>
          <w:rFonts w:ascii="Times New Roman" w:cs="Times New Roman" w:eastAsia="Times New Roman" w:hAnsi="Times New Roman"/>
          <w:strike w:val="1"/>
          <w:sz w:val="24"/>
          <w:szCs w:val="24"/>
          <w:rtl w:val="0"/>
        </w:rPr>
        <w:t xml:space="preserve">In another agricultural plot where lettuce was being bred over several decades, all lettuce growing in the area became infected with leaf mosaic virus, although the varieties had all developed tolerance and showed no ill effects of the virus (Harold personal communication). Unfortunately, this virus is seed borne and the tolerant lettuce lines are capable of introducing the virus in areas where susceptible lettuce is being grown. </w:t>
      </w: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Hyperparasites is a term which describes parasites </w:t>
      </w:r>
      <w:r w:rsidDel="00000000" w:rsidR="00000000" w:rsidRPr="00000000">
        <w:rPr>
          <w:rFonts w:ascii="Times New Roman" w:cs="Times New Roman" w:eastAsia="Times New Roman" w:hAnsi="Times New Roman"/>
          <w:i w:val="1"/>
          <w:iCs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However if population densities or soil conditions favor pathogen growth, successive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Natural Sources of Resistance</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The papaya, </w:t>
      </w:r>
      <w:r w:rsidDel="00000000" w:rsidR="00000000" w:rsidRPr="00000000">
        <w:rPr>
          <w:rFonts w:ascii="Times New Roman" w:cs="Times New Roman" w:eastAsia="Times New Roman" w:hAnsi="Times New Roman"/>
          <w:i w:val="1"/>
          <w:iCs w:val="1"/>
          <w:sz w:val="24"/>
          <w:szCs w:val="24"/>
          <w:rtl w:val="0"/>
        </w:rPr>
        <w:t xml:space="preserve">Carica papaya</w:t>
      </w:r>
      <w:r w:rsidDel="00000000" w:rsidR="00000000" w:rsidRPr="00000000">
        <w:rPr>
          <w:rFonts w:ascii="Times New Roman" w:cs="Times New Roman" w:eastAsia="Times New Roman" w:hAnsi="Times New Roman"/>
          <w:sz w:val="24"/>
          <w:szCs w:val="24"/>
          <w:rtl w:val="0"/>
        </w:rPr>
        <w:t xml:space="preserve">, for instance is susceptible to papaya ringspot virus. There is no natural resistance to ringspot virus known among all papaya germplasm. Genetic modification was used to create resistant varieties utilizing a variety of novel mechanisms (siRNA, etc). Closely related species are resistant, but are sexually incompatible.  Efforts are underway to create fertile intergeneric hybrids among papaya and </w:t>
      </w:r>
      <w:r w:rsidDel="00000000" w:rsidR="00000000" w:rsidRPr="00000000">
        <w:rPr>
          <w:rFonts w:ascii="Times New Roman" w:cs="Times New Roman" w:eastAsia="Times New Roman" w:hAnsi="Times New Roman"/>
          <w:i w:val="1"/>
          <w:iCs w:val="1"/>
          <w:sz w:val="24"/>
          <w:szCs w:val="24"/>
          <w:rtl w:val="0"/>
        </w:rPr>
        <w:t xml:space="preserve">Vasconcellea</w:t>
      </w:r>
      <w:r w:rsidDel="00000000" w:rsidR="00000000" w:rsidRPr="00000000">
        <w:rPr>
          <w:rFonts w:ascii="Times New Roman" w:cs="Times New Roman" w:eastAsia="Times New Roman" w:hAnsi="Times New Roman"/>
          <w:sz w:val="24"/>
          <w:szCs w:val="24"/>
          <w:rtl w:val="0"/>
        </w:rPr>
        <w:t xml:space="preserve"> in order to create resistant varieties of non-genetically modified germplasm. This method has its own load of problems from the perspective of the agriculturalist. It shares all the same problems that arise from the use of sexually compatible but unimproved wild varieties as genetic sources of a desired trait. These issues will be discussed below. </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w:t>
      </w:r>
      <w:r w:rsidDel="00000000" w:rsidR="00000000" w:rsidRPr="00000000">
        <w:rPr>
          <w:rFonts w:ascii="Times New Roman" w:cs="Times New Roman" w:eastAsia="Times New Roman" w:hAnsi="Times New Roman"/>
          <w:sz w:val="24"/>
          <w:szCs w:val="24"/>
          <w:rtl w:val="0"/>
        </w:rPr>
        <w:t xml:space="preserve">Small and Cronquist 1976, McPartland 2018).  Agricultural institutions often keep libraries of wild germplasm and resistant varieties of crop species. Much of the United States supply of hemp germplasm was destroyed in the hysteria of the 1970’s drug war (OSU personal communication). Luckily,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Variety of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 </w:t>
            </w:r>
          </w:p>
        </w:tc>
      </w:tr>
      <w:tr>
        <w:trPr>
          <w:cantSplit w:val="0"/>
          <w:tblHeader w:val="0"/>
        </w:trPr>
        <w:tc>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p>
        </w:tc>
      </w:tr>
    </w:tbl>
    <w:p w:rsidR="00000000" w:rsidDel="00000000" w:rsidP="00000000" w:rsidRDefault="00000000" w:rsidRPr="00000000" w14:paraId="0000004D">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F">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Issues with I</w:t>
      </w:r>
      <w:commentRangeStart w:id="3"/>
      <w:commentRangeStart w:id="4"/>
      <w:r w:rsidDel="00000000" w:rsidR="00000000" w:rsidRPr="00000000">
        <w:rPr>
          <w:rFonts w:ascii="Times New Roman" w:cs="Times New Roman" w:eastAsia="Times New Roman" w:hAnsi="Times New Roman"/>
          <w:b w:val="1"/>
          <w:bCs w:val="1"/>
          <w:sz w:val="24"/>
          <w:szCs w:val="24"/>
          <w:rtl w:val="0"/>
        </w:rPr>
        <w:t xml:space="preserve">ntrogression: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Introgressing</w:t>
      </w:r>
      <w:r w:rsidDel="00000000" w:rsidR="00000000" w:rsidRPr="00000000">
        <w:rPr>
          <w:rFonts w:ascii="Times New Roman" w:cs="Times New Roman" w:eastAsia="Times New Roman" w:hAnsi="Times New Roman"/>
          <w:sz w:val="24"/>
          <w:szCs w:val="24"/>
          <w:rtl w:val="0"/>
        </w:rPr>
        <w:t xml:space="preserve"> genes of interest from a foreign line into a desired cultivar will also introduce a lot of unwanted genes that will alter the desired agronomic characteristics of the cultivar being improved. A line chosen as the donor parent of the trait to be introduced should be as close to type as the cultivar to be improved as possible. The more different in character it is, the more work will need to be done in subsequent generations to return the cultivar to type while retaining the introduced trait. This often involves backcrossing the resulting progeny back to the desired cultivar (the recurrent parent). This can be done as many times as desired in order to remove as much unintended introduced genetic material as possible from the improved cultivar.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backcross generation reduces the amount of introduced genetic information by half, so that the F5 generation only contains about 3% of the donor line's genetic code. Regardless of how many backcross generations are performed, part of the donated genome will represent the gene(s) which code for the introduced trait, because that trait will be selected for at every generation. DNA flanking the target locus or loci will be the most persistent non-target DNA from the donor variety to remain through multiple generations of backcrossing.  The increased likelihood of two genes to segregate together during meiosis is known as linkage. The strength of linkage between any two genes measured by the chance they are chromosome of they both are a part; if gene loci are on different chromosomes, they are not linked and segregate independently of each other. </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breeder reaches a desired level of purity in the cultivar to be improved, which may be as soon as the F1 generation or after a series of backcrossing, the line may be inbred to fix the introduced trait. Backcrossing will never fix an introduced trait into a line because all backcross progeny will be heterozygous for the trait of interest (which has been introduced by the nonrecurrent parent). In order to achieve a line homozygous for an introduced trait, inbreeding must be performed. </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Backcrossing is useful for the introgression of a trait into a homogenous line. Backcrossing will not stabilize a clone-only plant in seed form unless the original clone is highly inbred already. If you start with a highly heterozygous recurrent parent, heterozygosity will be restored at every backcross generation. You can succeed in </w:t>
      </w:r>
      <w:r w:rsidDel="00000000" w:rsidR="00000000" w:rsidRPr="00000000">
        <w:rPr>
          <w:rFonts w:ascii="Times New Roman" w:cs="Times New Roman" w:eastAsia="Times New Roman" w:hAnsi="Times New Roman"/>
          <w:sz w:val="24"/>
          <w:szCs w:val="24"/>
          <w:rtl w:val="0"/>
        </w:rPr>
        <w:t xml:space="preserve">introgressing</w:t>
      </w:r>
      <w:r w:rsidDel="00000000" w:rsidR="00000000" w:rsidRPr="00000000">
        <w:rPr>
          <w:rFonts w:ascii="Times New Roman" w:cs="Times New Roman" w:eastAsia="Times New Roman" w:hAnsi="Times New Roman"/>
          <w:sz w:val="24"/>
          <w:szCs w:val="24"/>
          <w:rtl w:val="0"/>
        </w:rPr>
        <w:t xml:space="preserve"> the male chromosome into a seed population that is otherwise mostly derived from the desirable clone parent. Exactly this is commonly performed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breeders. However this is not an inbred line and will not breed true, rather this is a heterozygous family derived from the parent clone. You will have progeny clustered around the parent type, but quite varied nonetheless. Hypothetically, two inbred lineages could be derived from a clone, each fixed for opposing alleles at each heterozygous loci. If these are then crossed back together their seed all grow out a copy of the original clone. Practically, this is numerically impossible for a breeding program.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1" w:date="2021-10-13T15:42:13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Condense section</w:t>
      </w:r>
    </w:p>
  </w:comment>
  <w:comment w:author="Deleted user" w:id="2" w:date="2021-11-10T00:38:00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else you want to take out other than the strike through.</w:t>
      </w:r>
    </w:p>
  </w:comment>
  <w:comment w:author="kyle kaszynski" w:id="0" w:date="2023-04-02T00:22:3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find this citation</w:t>
      </w:r>
    </w:p>
  </w:comment>
  <w:comment w:author="kyle kaszynski" w:id="3" w:date="2021-10-13T15:45:40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section?</w:t>
      </w:r>
    </w:p>
  </w:comment>
  <w:comment w:author="Deleted user" w:id="4" w:date="2021-11-09T22:36:1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