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jc w:val="left"/>
        <w:rPr/>
      </w:pPr>
      <w:r w:rsidDel="00000000" w:rsidR="00000000" w:rsidRPr="00000000">
        <w:rPr>
          <w:b w:val="1"/>
          <w:rtl w:val="0"/>
        </w:rPr>
        <w:t xml:space="preserve">Appendix A: </w:t>
      </w:r>
      <w:r w:rsidDel="00000000" w:rsidR="00000000" w:rsidRPr="00000000">
        <w:rPr>
          <w:b w:val="1"/>
          <w:i w:val="1"/>
          <w:rtl w:val="0"/>
        </w:rPr>
        <w:t xml:space="preserve">Botrytis </w:t>
      </w:r>
      <w:r w:rsidDel="00000000" w:rsidR="00000000" w:rsidRPr="00000000">
        <w:rPr>
          <w:b w:val="1"/>
          <w:rtl w:val="0"/>
        </w:rPr>
        <w:t xml:space="preserve">experiments</w:t>
      </w:r>
      <w:r w:rsidDel="00000000" w:rsidR="00000000" w:rsidRPr="00000000">
        <w:rPr>
          <w:rtl w:val="0"/>
        </w:rPr>
      </w:r>
    </w:p>
    <w:p w:rsidR="00000000" w:rsidDel="00000000" w:rsidP="00000000" w:rsidRDefault="00000000" w:rsidRPr="00000000" w14:paraId="00000002">
      <w:pPr>
        <w:pageBreakBefore w:val="0"/>
        <w:ind w:firstLine="720"/>
        <w:rPr/>
      </w:pPr>
      <w:bookmarkStart w:colFirst="0" w:colLast="0" w:name="_gjdgxs" w:id="0"/>
      <w:bookmarkEnd w:id="0"/>
      <w:r w:rsidDel="00000000" w:rsidR="00000000" w:rsidRPr="00000000">
        <w:rPr>
          <w:rtl w:val="0"/>
        </w:rPr>
        <w:t xml:space="preserve">There are some fungal pathogens known and dreaded among all </w:t>
      </w:r>
      <w:r w:rsidDel="00000000" w:rsidR="00000000" w:rsidRPr="00000000">
        <w:rPr>
          <w:i w:val="1"/>
          <w:rtl w:val="0"/>
        </w:rPr>
        <w:t xml:space="preserve">Cannabis</w:t>
      </w:r>
      <w:r w:rsidDel="00000000" w:rsidR="00000000" w:rsidRPr="00000000">
        <w:rPr>
          <w:rtl w:val="0"/>
        </w:rPr>
        <w:t xml:space="preserve"> farmers.  Perhaps none, however, is as ubiquitous and damaging as </w:t>
      </w:r>
      <w:r w:rsidDel="00000000" w:rsidR="00000000" w:rsidRPr="00000000">
        <w:rPr>
          <w:i w:val="1"/>
          <w:rtl w:val="0"/>
        </w:rPr>
        <w:t xml:space="preserve">Botrytis cinerea</w:t>
      </w:r>
      <w:r w:rsidDel="00000000" w:rsidR="00000000" w:rsidRPr="00000000">
        <w:rPr>
          <w:rtl w:val="0"/>
        </w:rPr>
        <w:t xml:space="preserve">. Commonly referred to as “budrot” or “gray mold.” </w:t>
      </w:r>
      <w:r w:rsidDel="00000000" w:rsidR="00000000" w:rsidRPr="00000000">
        <w:rPr>
          <w:i w:val="1"/>
          <w:rtl w:val="0"/>
        </w:rPr>
        <w:t xml:space="preserve">B. cinerea</w:t>
      </w:r>
      <w:r w:rsidDel="00000000" w:rsidR="00000000" w:rsidRPr="00000000">
        <w:rPr>
          <w:rtl w:val="0"/>
        </w:rPr>
        <w:t xml:space="preserve"> is the asexual (anamorphic) stage of an ascomycete fungus (think morels).  Fungi are able to produce asexual conidia more quickly than sexual spores, and may do so before finding another individual with which to mate. Fungi referred to as “molds” usually reproduce asexually. The sexual (telomorphic) stage of this fungus, </w:t>
      </w:r>
      <w:r w:rsidDel="00000000" w:rsidR="00000000" w:rsidRPr="00000000">
        <w:rPr>
          <w:i w:val="1"/>
          <w:rtl w:val="0"/>
        </w:rPr>
        <w:t xml:space="preserve">Botryotinia fuckeliana</w:t>
      </w:r>
      <w:r w:rsidDel="00000000" w:rsidR="00000000" w:rsidRPr="00000000">
        <w:rPr>
          <w:rtl w:val="0"/>
        </w:rPr>
        <w:t xml:space="preserve">, is rarely seen.  </w:t>
      </w:r>
      <w:r w:rsidDel="00000000" w:rsidR="00000000" w:rsidRPr="00000000">
        <w:rPr>
          <w:i w:val="1"/>
          <w:rtl w:val="0"/>
        </w:rPr>
        <w:t xml:space="preserve">Botrytis cinerea</w:t>
      </w:r>
      <w:r w:rsidDel="00000000" w:rsidR="00000000" w:rsidRPr="00000000">
        <w:rPr>
          <w:rtl w:val="0"/>
        </w:rPr>
        <w:t xml:space="preserve"> is a common plant pathogen that affects a wide range of hosts; it is the same fungus that often causes post-harvest rot of strawberries and is responsible for “noble rot” in viticulture. </w:t>
      </w:r>
    </w:p>
    <w:p w:rsidR="00000000" w:rsidDel="00000000" w:rsidP="00000000" w:rsidRDefault="00000000" w:rsidRPr="00000000" w14:paraId="00000003">
      <w:pPr>
        <w:pageBreakBefore w:val="0"/>
        <w:jc w:val="left"/>
        <w:rPr>
          <w:b w:val="1"/>
        </w:rPr>
      </w:pPr>
      <w:r w:rsidDel="00000000" w:rsidR="00000000" w:rsidRPr="00000000">
        <w:rPr>
          <w:b w:val="1"/>
          <w:rtl w:val="0"/>
        </w:rPr>
        <w:t xml:space="preserve">A.1. </w:t>
      </w:r>
      <w:r w:rsidDel="00000000" w:rsidR="00000000" w:rsidRPr="00000000">
        <w:rPr>
          <w:b w:val="1"/>
          <w:rtl w:val="0"/>
        </w:rPr>
        <w:t xml:space="preserve">Battling </w:t>
      </w:r>
      <w:r w:rsidDel="00000000" w:rsidR="00000000" w:rsidRPr="00000000">
        <w:rPr>
          <w:b w:val="1"/>
          <w:i w:val="1"/>
          <w:rtl w:val="0"/>
        </w:rPr>
        <w:t xml:space="preserve">Botrytis</w:t>
      </w:r>
      <w:r w:rsidDel="00000000" w:rsidR="00000000" w:rsidRPr="00000000">
        <w:rPr>
          <w:b w:val="1"/>
          <w:rtl w:val="0"/>
        </w:rPr>
        <w:t xml:space="preserve"> Budrot: Antifungal Failures</w:t>
      </w:r>
    </w:p>
    <w:p w:rsidR="00000000" w:rsidDel="00000000" w:rsidP="00000000" w:rsidRDefault="00000000" w:rsidRPr="00000000" w14:paraId="00000004">
      <w:pPr>
        <w:pageBreakBefore w:val="0"/>
        <w:jc w:val="left"/>
        <w:rPr/>
      </w:pPr>
      <w:r w:rsidDel="00000000" w:rsidR="00000000" w:rsidRPr="00000000">
        <w:rPr>
          <w:rtl w:val="0"/>
        </w:rPr>
        <w:t xml:space="preserve">Introduction:</w:t>
      </w:r>
    </w:p>
    <w:p w:rsidR="00000000" w:rsidDel="00000000" w:rsidP="00000000" w:rsidRDefault="00000000" w:rsidRPr="00000000" w14:paraId="00000005">
      <w:pPr>
        <w:pageBreakBefore w:val="0"/>
        <w:ind w:firstLine="720"/>
        <w:rPr>
          <w:i w:val="1"/>
        </w:rPr>
      </w:pPr>
      <w:r w:rsidDel="00000000" w:rsidR="00000000" w:rsidRPr="00000000">
        <w:rPr>
          <w:i w:val="1"/>
          <w:rtl w:val="0"/>
        </w:rPr>
        <w:t xml:space="preserve">Cannabis</w:t>
      </w:r>
      <w:r w:rsidDel="00000000" w:rsidR="00000000" w:rsidRPr="00000000">
        <w:rPr>
          <w:rtl w:val="0"/>
        </w:rPr>
        <w:t xml:space="preserve"> growers face unique difficulties among farmers when managing for pests and diseases, particularly fungal pathogens.  Because </w:t>
      </w:r>
      <w:r w:rsidDel="00000000" w:rsidR="00000000" w:rsidRPr="00000000">
        <w:rPr>
          <w:i w:val="1"/>
          <w:rtl w:val="0"/>
        </w:rPr>
        <w:t xml:space="preserve">Cannabis</w:t>
      </w:r>
      <w:r w:rsidDel="00000000" w:rsidR="00000000" w:rsidRPr="00000000">
        <w:rPr>
          <w:rtl w:val="0"/>
        </w:rPr>
        <w:t xml:space="preserve"> flowers and products are often destined to be inhaled via smoking or vaporization, particular care must be taken when deciding products for application onto the crop.  This concern is exacerbated if plant material is first extracted, concentrating not just desirable compounds but contaminants as well. No conventional fungicidal products in the United States have been developed specifically for </w:t>
      </w:r>
      <w:r w:rsidDel="00000000" w:rsidR="00000000" w:rsidRPr="00000000">
        <w:rPr>
          <w:i w:val="1"/>
          <w:rtl w:val="0"/>
        </w:rPr>
        <w:t xml:space="preserve">Cannabis</w:t>
      </w:r>
      <w:r w:rsidDel="00000000" w:rsidR="00000000" w:rsidRPr="00000000">
        <w:rPr>
          <w:rtl w:val="0"/>
        </w:rPr>
        <w:t xml:space="preserve">. What is currently permitted for use on legal </w:t>
      </w:r>
      <w:r w:rsidDel="00000000" w:rsidR="00000000" w:rsidRPr="00000000">
        <w:rPr>
          <w:i w:val="1"/>
          <w:rtl w:val="0"/>
        </w:rPr>
        <w:t xml:space="preserve">Cannabis</w:t>
      </w:r>
      <w:r w:rsidDel="00000000" w:rsidR="00000000" w:rsidRPr="00000000">
        <w:rPr>
          <w:rtl w:val="0"/>
        </w:rPr>
        <w:t xml:space="preserve"> crops varies by jurisdiction. Research into the effectiveness of allowable products is lacking. This information is an essential variable every farmer needs in order to determine if the benefits of product application are worth the costs.  Luckily, Oregon’s regulatory system, which limits grows based on canopy size rather than plant number, is adventitious for research. Statistically sound research designs with adequate replicates may be applied to marijuana agriculture (not just the industry standard side-by-side comparisons!). I took advantage of this fact by carrying out a field trial comparing different combinations of allowable products (from Oregon Department of Agriculture’s </w:t>
      </w:r>
      <w:r w:rsidDel="00000000" w:rsidR="00000000" w:rsidRPr="00000000">
        <w:rPr>
          <w:i w:val="1"/>
          <w:rtl w:val="0"/>
        </w:rPr>
        <w:t xml:space="preserve">Cannabis</w:t>
      </w:r>
      <w:r w:rsidDel="00000000" w:rsidR="00000000" w:rsidRPr="00000000">
        <w:rPr>
          <w:rtl w:val="0"/>
        </w:rPr>
        <w:t xml:space="preserve"> Pesticide Guidelist) intended to reduce crop loss to </w:t>
      </w:r>
      <w:r w:rsidDel="00000000" w:rsidR="00000000" w:rsidRPr="00000000">
        <w:rPr>
          <w:i w:val="1"/>
          <w:rtl w:val="0"/>
        </w:rPr>
        <w:t xml:space="preserve">B. cinerea</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6">
      <w:pPr>
        <w:pageBreakBefore w:val="0"/>
        <w:rPr/>
      </w:pPr>
      <w:r w:rsidDel="00000000" w:rsidR="00000000" w:rsidRPr="00000000">
        <w:rPr>
          <w:rtl w:val="0"/>
        </w:rPr>
        <w:t xml:space="preserve">Hypothesis:</w:t>
      </w:r>
    </w:p>
    <w:p w:rsidR="00000000" w:rsidDel="00000000" w:rsidP="00000000" w:rsidRDefault="00000000" w:rsidRPr="00000000" w14:paraId="00000007">
      <w:pPr>
        <w:pageBreakBefore w:val="0"/>
        <w:rPr/>
      </w:pPr>
      <w:r w:rsidDel="00000000" w:rsidR="00000000" w:rsidRPr="00000000">
        <w:rPr>
          <w:rtl w:val="0"/>
        </w:rPr>
        <w:tab/>
        <w:t xml:space="preserve">Commercial agriculture products designed to limit fungal pathogens should reduce </w:t>
      </w:r>
      <w:r w:rsidDel="00000000" w:rsidR="00000000" w:rsidRPr="00000000">
        <w:rPr>
          <w:i w:val="1"/>
          <w:rtl w:val="0"/>
        </w:rPr>
        <w:t xml:space="preserve">B. cinerea </w:t>
      </w:r>
      <w:r w:rsidDel="00000000" w:rsidR="00000000" w:rsidRPr="00000000">
        <w:rPr>
          <w:rtl w:val="0"/>
        </w:rPr>
        <w:t xml:space="preserve">incidence compared to no treatment among maturing </w:t>
      </w:r>
      <w:r w:rsidDel="00000000" w:rsidR="00000000" w:rsidRPr="00000000">
        <w:rPr>
          <w:i w:val="1"/>
          <w:rtl w:val="0"/>
        </w:rPr>
        <w:t xml:space="preserve">Cannabis</w:t>
      </w:r>
      <w:r w:rsidDel="00000000" w:rsidR="00000000" w:rsidRPr="00000000">
        <w:rPr>
          <w:rtl w:val="0"/>
        </w:rPr>
        <w:t xml:space="preserve"> inflorescences. </w:t>
      </w:r>
    </w:p>
    <w:p w:rsidR="00000000" w:rsidDel="00000000" w:rsidP="00000000" w:rsidRDefault="00000000" w:rsidRPr="00000000" w14:paraId="00000008">
      <w:pPr>
        <w:pageBreakBefore w:val="0"/>
        <w:rPr/>
      </w:pPr>
      <w:r w:rsidDel="00000000" w:rsidR="00000000" w:rsidRPr="00000000">
        <w:rPr>
          <w:rtl w:val="0"/>
        </w:rPr>
        <w:t xml:space="preserve">Methods:</w:t>
      </w:r>
    </w:p>
    <w:p w:rsidR="00000000" w:rsidDel="00000000" w:rsidP="00000000" w:rsidRDefault="00000000" w:rsidRPr="00000000" w14:paraId="00000009">
      <w:pPr>
        <w:pageBreakBefore w:val="0"/>
        <w:rPr/>
      </w:pPr>
      <w:bookmarkStart w:colFirst="0" w:colLast="0" w:name="_30j0zll" w:id="1"/>
      <w:bookmarkEnd w:id="1"/>
      <w:r w:rsidDel="00000000" w:rsidR="00000000" w:rsidRPr="00000000">
        <w:rPr>
          <w:rtl w:val="0"/>
        </w:rPr>
        <w:tab/>
        <w:t xml:space="preserve">The total number of plants included in this study, 816 individuals, comprises 68 seed-grown plants from each of six different, day-neutral (autoflowering) cultivar lineages (seeds were from New Breed Seed, a </w:t>
      </w:r>
      <w:r w:rsidDel="00000000" w:rsidR="00000000" w:rsidRPr="00000000">
        <w:rPr>
          <w:i w:val="1"/>
          <w:rtl w:val="0"/>
        </w:rPr>
        <w:t xml:space="preserve">Cannabis</w:t>
      </w:r>
      <w:r w:rsidDel="00000000" w:rsidR="00000000" w:rsidRPr="00000000">
        <w:rPr>
          <w:rtl w:val="0"/>
        </w:rPr>
        <w:t xml:space="preserve"> seed producer located in Cottage Grove, Oregon). Rows of each strain, grown at two foot spacing, were split into 4 groups of 34 in a randomly assigned split-plot design so that each treatment group contained 204 plants spread evenly across the six strains (n=204). Plants (grown outdoor in Cottage Grove, Oregon) were direct seeded on June 1, 2017 into 3 gallon fabric pots filled with Sunshine mix #4 soil potting media.  All plants were fertigated with the same nutrient solution (Jack’s Professional 15-5-15, calcium nitrate, and magnesium sulfate).  Once a week, beginning at 4 weeks from seed and ending at 8 weeks from seed, antifungal treatments were applied to the experimental groups. Treatment solution was applied with a gas powered backpack sprayer until foliage was covered (between 3 and 4 gallons of each solution was spread among the 204 plants in each treatment). The severity of </w:t>
      </w:r>
      <w:r w:rsidDel="00000000" w:rsidR="00000000" w:rsidRPr="00000000">
        <w:rPr>
          <w:i w:val="1"/>
          <w:rtl w:val="0"/>
        </w:rPr>
        <w:t xml:space="preserve">Botrytis</w:t>
      </w:r>
      <w:r w:rsidDel="00000000" w:rsidR="00000000" w:rsidRPr="00000000">
        <w:rPr>
          <w:rtl w:val="0"/>
        </w:rPr>
        <w:t xml:space="preserve"> infection  was assessed at 11 weeks (day 77) from seed by visually inspecting plants individually. Active treatment combinations included Chemical, Biological, and Plant Extract combinations (Table 1). The control group received no treatment.   A one-way ANOVA was performed to determine statistical significance. </w:t>
      </w:r>
    </w:p>
    <w:p w:rsidR="00000000" w:rsidDel="00000000" w:rsidP="00000000" w:rsidRDefault="00000000" w:rsidRPr="00000000" w14:paraId="0000000A">
      <w:pPr>
        <w:pageBreakBefore w:val="0"/>
        <w:rPr/>
      </w:pPr>
      <w:r w:rsidDel="00000000" w:rsidR="00000000" w:rsidRPr="00000000">
        <w:rPr>
          <w:rtl w:val="0"/>
        </w:rPr>
        <w:t xml:space="preserve">Table 1. Active products in each treatment combination. </w:t>
      </w:r>
    </w:p>
    <w:tbl>
      <w:tblPr>
        <w:tblStyle w:val="Table1"/>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58"/>
        <w:gridCol w:w="2457"/>
        <w:gridCol w:w="2554"/>
        <w:gridCol w:w="2107"/>
        <w:tblGridChange w:id="0">
          <w:tblGrid>
            <w:gridCol w:w="2458"/>
            <w:gridCol w:w="2457"/>
            <w:gridCol w:w="2554"/>
            <w:gridCol w:w="2107"/>
          </w:tblGrid>
        </w:tblGridChange>
      </w:tblGrid>
      <w:tr>
        <w:trPr>
          <w:cantSplit w:val="0"/>
          <w:tblHeader w:val="0"/>
        </w:trPr>
        <w:tc>
          <w:tcPr/>
          <w:p w:rsidR="00000000" w:rsidDel="00000000" w:rsidP="00000000" w:rsidRDefault="00000000" w:rsidRPr="00000000" w14:paraId="0000000B">
            <w:pPr>
              <w:pageBreakBefore w:val="0"/>
              <w:rPr/>
            </w:pPr>
            <w:r w:rsidDel="00000000" w:rsidR="00000000" w:rsidRPr="00000000">
              <w:rPr>
                <w:rtl w:val="0"/>
              </w:rPr>
              <w:t xml:space="preserve">Treatment</w:t>
            </w:r>
          </w:p>
        </w:tc>
        <w:tc>
          <w:tcPr/>
          <w:p w:rsidR="00000000" w:rsidDel="00000000" w:rsidP="00000000" w:rsidRDefault="00000000" w:rsidRPr="00000000" w14:paraId="0000000C">
            <w:pPr>
              <w:pageBreakBefore w:val="0"/>
              <w:rPr/>
            </w:pPr>
            <w:r w:rsidDel="00000000" w:rsidR="00000000" w:rsidRPr="00000000">
              <w:rPr>
                <w:rtl w:val="0"/>
              </w:rPr>
              <w:t xml:space="preserve">Product Name</w:t>
            </w:r>
          </w:p>
        </w:tc>
        <w:tc>
          <w:tcPr/>
          <w:p w:rsidR="00000000" w:rsidDel="00000000" w:rsidP="00000000" w:rsidRDefault="00000000" w:rsidRPr="00000000" w14:paraId="0000000D">
            <w:pPr>
              <w:pageBreakBefore w:val="0"/>
              <w:rPr/>
            </w:pPr>
            <w:r w:rsidDel="00000000" w:rsidR="00000000" w:rsidRPr="00000000">
              <w:rPr>
                <w:rtl w:val="0"/>
              </w:rPr>
              <w:t xml:space="preserve">Active ingredients</w:t>
            </w:r>
          </w:p>
        </w:tc>
        <w:tc>
          <w:tcPr/>
          <w:p w:rsidR="00000000" w:rsidDel="00000000" w:rsidP="00000000" w:rsidRDefault="00000000" w:rsidRPr="00000000" w14:paraId="0000000E">
            <w:pPr>
              <w:pageBreakBefore w:val="0"/>
              <w:rPr/>
            </w:pPr>
            <w:r w:rsidDel="00000000" w:rsidR="00000000" w:rsidRPr="00000000">
              <w:rPr>
                <w:rtl w:val="0"/>
              </w:rPr>
              <w:t xml:space="preserve">Application rate </w:t>
            </w:r>
          </w:p>
        </w:tc>
      </w:tr>
      <w:tr>
        <w:trPr>
          <w:cantSplit w:val="0"/>
          <w:tblHeader w:val="0"/>
        </w:trPr>
        <w:tc>
          <w:tcPr/>
          <w:p w:rsidR="00000000" w:rsidDel="00000000" w:rsidP="00000000" w:rsidRDefault="00000000" w:rsidRPr="00000000" w14:paraId="0000000F">
            <w:pPr>
              <w:pageBreakBefore w:val="0"/>
              <w:rPr/>
            </w:pPr>
            <w:r w:rsidDel="00000000" w:rsidR="00000000" w:rsidRPr="00000000">
              <w:rPr>
                <w:rtl w:val="0"/>
              </w:rPr>
              <w:t xml:space="preserve">Control</w:t>
            </w:r>
          </w:p>
        </w:tc>
        <w:tc>
          <w:tcPr/>
          <w:p w:rsidR="00000000" w:rsidDel="00000000" w:rsidP="00000000" w:rsidRDefault="00000000" w:rsidRPr="00000000" w14:paraId="00000010">
            <w:pPr>
              <w:pageBreakBefore w:val="0"/>
              <w:rPr/>
            </w:pPr>
            <w:r w:rsidDel="00000000" w:rsidR="00000000" w:rsidRPr="00000000">
              <w:rPr>
                <w:rtl w:val="0"/>
              </w:rPr>
              <w:t xml:space="preserve">None</w:t>
            </w:r>
          </w:p>
        </w:tc>
        <w:tc>
          <w:tcPr/>
          <w:p w:rsidR="00000000" w:rsidDel="00000000" w:rsidP="00000000" w:rsidRDefault="00000000" w:rsidRPr="00000000" w14:paraId="00000011">
            <w:pPr>
              <w:pageBreakBefore w:val="0"/>
              <w:rPr/>
            </w:pPr>
            <w:r w:rsidDel="00000000" w:rsidR="00000000" w:rsidRPr="00000000">
              <w:rPr>
                <w:rtl w:val="0"/>
              </w:rPr>
              <w:t xml:space="preserve">None</w:t>
            </w:r>
          </w:p>
        </w:tc>
        <w:tc>
          <w:tcPr/>
          <w:p w:rsidR="00000000" w:rsidDel="00000000" w:rsidP="00000000" w:rsidRDefault="00000000" w:rsidRPr="00000000" w14:paraId="00000012">
            <w:pPr>
              <w:pageBreakBefore w:val="0"/>
              <w:rPr/>
            </w:pPr>
            <w:r w:rsidDel="00000000" w:rsidR="00000000" w:rsidRPr="00000000">
              <w:rPr>
                <w:rtl w:val="0"/>
              </w:rPr>
            </w:r>
          </w:p>
        </w:tc>
      </w:tr>
      <w:tr>
        <w:trPr>
          <w:cantSplit w:val="0"/>
          <w:tblHeader w:val="0"/>
        </w:trPr>
        <w:tc>
          <w:tcPr/>
          <w:p w:rsidR="00000000" w:rsidDel="00000000" w:rsidP="00000000" w:rsidRDefault="00000000" w:rsidRPr="00000000" w14:paraId="00000013">
            <w:pPr>
              <w:pageBreakBefore w:val="0"/>
              <w:rPr/>
            </w:pPr>
            <w:r w:rsidDel="00000000" w:rsidR="00000000" w:rsidRPr="00000000">
              <w:rPr>
                <w:rtl w:val="0"/>
              </w:rPr>
              <w:t xml:space="preserve">Chemical*</w:t>
            </w:r>
          </w:p>
        </w:tc>
        <w:tc>
          <w:tcPr/>
          <w:p w:rsidR="00000000" w:rsidDel="00000000" w:rsidP="00000000" w:rsidRDefault="00000000" w:rsidRPr="00000000" w14:paraId="00000014">
            <w:pPr>
              <w:pageBreakBefore w:val="0"/>
              <w:rPr/>
            </w:pPr>
            <w:r w:rsidDel="00000000" w:rsidR="00000000" w:rsidRPr="00000000">
              <w:rPr>
                <w:rtl w:val="0"/>
              </w:rPr>
              <w:t xml:space="preserve">Cueva</w:t>
            </w:r>
          </w:p>
          <w:p w:rsidR="00000000" w:rsidDel="00000000" w:rsidP="00000000" w:rsidRDefault="00000000" w:rsidRPr="00000000" w14:paraId="00000015">
            <w:pPr>
              <w:pageBreakBefore w:val="0"/>
              <w:rPr/>
            </w:pPr>
            <w:r w:rsidDel="00000000" w:rsidR="00000000" w:rsidRPr="00000000">
              <w:rPr>
                <w:rtl w:val="0"/>
              </w:rPr>
              <w:t xml:space="preserve">Sil-Matrix</w:t>
            </w:r>
          </w:p>
        </w:tc>
        <w:tc>
          <w:tcPr/>
          <w:p w:rsidR="00000000" w:rsidDel="00000000" w:rsidP="00000000" w:rsidRDefault="00000000" w:rsidRPr="00000000" w14:paraId="00000016">
            <w:pPr>
              <w:pageBreakBefore w:val="0"/>
              <w:rPr/>
            </w:pPr>
            <w:r w:rsidDel="00000000" w:rsidR="00000000" w:rsidRPr="00000000">
              <w:rPr>
                <w:rtl w:val="0"/>
              </w:rPr>
              <w:t xml:space="preserve">Copper octanoate</w:t>
            </w:r>
          </w:p>
          <w:p w:rsidR="00000000" w:rsidDel="00000000" w:rsidP="00000000" w:rsidRDefault="00000000" w:rsidRPr="00000000" w14:paraId="00000017">
            <w:pPr>
              <w:pageBreakBefore w:val="0"/>
              <w:rPr/>
            </w:pPr>
            <w:r w:rsidDel="00000000" w:rsidR="00000000" w:rsidRPr="00000000">
              <w:rPr>
                <w:rtl w:val="0"/>
              </w:rPr>
              <w:t xml:space="preserve">Potassium silicate</w:t>
            </w:r>
          </w:p>
        </w:tc>
        <w:tc>
          <w:tcPr/>
          <w:p w:rsidR="00000000" w:rsidDel="00000000" w:rsidP="00000000" w:rsidRDefault="00000000" w:rsidRPr="00000000" w14:paraId="00000018">
            <w:pPr>
              <w:pageBreakBefore w:val="0"/>
              <w:rPr/>
            </w:pPr>
            <w:r w:rsidDel="00000000" w:rsidR="00000000" w:rsidRPr="00000000">
              <w:rPr>
                <w:rtl w:val="0"/>
              </w:rPr>
              <w:t xml:space="preserve">2.5 oz/gal</w:t>
            </w:r>
          </w:p>
          <w:p w:rsidR="00000000" w:rsidDel="00000000" w:rsidP="00000000" w:rsidRDefault="00000000" w:rsidRPr="00000000" w14:paraId="00000019">
            <w:pPr>
              <w:pageBreakBefore w:val="0"/>
              <w:rPr/>
            </w:pPr>
            <w:r w:rsidDel="00000000" w:rsidR="00000000" w:rsidRPr="00000000">
              <w:rPr>
                <w:rtl w:val="0"/>
              </w:rPr>
              <w:t xml:space="preserve">1 oz/gal</w:t>
            </w:r>
          </w:p>
        </w:tc>
      </w:tr>
      <w:tr>
        <w:trPr>
          <w:cantSplit w:val="0"/>
          <w:tblHeader w:val="0"/>
        </w:trPr>
        <w:tc>
          <w:tcPr/>
          <w:p w:rsidR="00000000" w:rsidDel="00000000" w:rsidP="00000000" w:rsidRDefault="00000000" w:rsidRPr="00000000" w14:paraId="0000001A">
            <w:pPr>
              <w:pageBreakBefore w:val="0"/>
              <w:rPr/>
            </w:pPr>
            <w:r w:rsidDel="00000000" w:rsidR="00000000" w:rsidRPr="00000000">
              <w:rPr>
                <w:rtl w:val="0"/>
              </w:rPr>
              <w:t xml:space="preserve">Biological*</w:t>
            </w:r>
          </w:p>
        </w:tc>
        <w:tc>
          <w:tcPr/>
          <w:p w:rsidR="00000000" w:rsidDel="00000000" w:rsidP="00000000" w:rsidRDefault="00000000" w:rsidRPr="00000000" w14:paraId="0000001B">
            <w:pPr>
              <w:pageBreakBefore w:val="0"/>
              <w:rPr/>
            </w:pPr>
            <w:r w:rsidDel="00000000" w:rsidR="00000000" w:rsidRPr="00000000">
              <w:rPr>
                <w:rtl w:val="0"/>
              </w:rPr>
              <w:t xml:space="preserve">Rootshield WS</w:t>
            </w:r>
          </w:p>
          <w:p w:rsidR="00000000" w:rsidDel="00000000" w:rsidP="00000000" w:rsidRDefault="00000000" w:rsidRPr="00000000" w14:paraId="0000001C">
            <w:pPr>
              <w:pageBreakBefore w:val="0"/>
              <w:rPr/>
            </w:pPr>
            <w:r w:rsidDel="00000000" w:rsidR="00000000" w:rsidRPr="00000000">
              <w:rPr>
                <w:rtl w:val="0"/>
              </w:rPr>
              <w:t xml:space="preserve">Actinovate</w:t>
            </w:r>
          </w:p>
          <w:p w:rsidR="00000000" w:rsidDel="00000000" w:rsidP="00000000" w:rsidRDefault="00000000" w:rsidRPr="00000000" w14:paraId="0000001D">
            <w:pPr>
              <w:pageBreakBefore w:val="0"/>
              <w:rPr/>
            </w:pPr>
            <w:r w:rsidDel="00000000" w:rsidR="00000000" w:rsidRPr="00000000">
              <w:rPr>
                <w:rtl w:val="0"/>
              </w:rPr>
              <w:t xml:space="preserve">Serenade</w:t>
            </w:r>
          </w:p>
        </w:tc>
        <w:tc>
          <w:tcPr/>
          <w:p w:rsidR="00000000" w:rsidDel="00000000" w:rsidP="00000000" w:rsidRDefault="00000000" w:rsidRPr="00000000" w14:paraId="0000001E">
            <w:pPr>
              <w:pageBreakBefore w:val="0"/>
              <w:rPr>
                <w:i w:val="1"/>
              </w:rPr>
            </w:pPr>
            <w:r w:rsidDel="00000000" w:rsidR="00000000" w:rsidRPr="00000000">
              <w:rPr>
                <w:i w:val="1"/>
                <w:rtl w:val="0"/>
              </w:rPr>
              <w:t xml:space="preserve">Trichoderma harzianum</w:t>
            </w:r>
          </w:p>
          <w:p w:rsidR="00000000" w:rsidDel="00000000" w:rsidP="00000000" w:rsidRDefault="00000000" w:rsidRPr="00000000" w14:paraId="0000001F">
            <w:pPr>
              <w:pageBreakBefore w:val="0"/>
              <w:rPr>
                <w:i w:val="1"/>
              </w:rPr>
            </w:pPr>
            <w:r w:rsidDel="00000000" w:rsidR="00000000" w:rsidRPr="00000000">
              <w:rPr>
                <w:i w:val="1"/>
                <w:rtl w:val="0"/>
              </w:rPr>
              <w:t xml:space="preserve">Streptomyces lydicus</w:t>
            </w:r>
          </w:p>
          <w:p w:rsidR="00000000" w:rsidDel="00000000" w:rsidP="00000000" w:rsidRDefault="00000000" w:rsidRPr="00000000" w14:paraId="00000020">
            <w:pPr>
              <w:pageBreakBefore w:val="0"/>
              <w:rPr>
                <w:i w:val="1"/>
              </w:rPr>
            </w:pPr>
            <w:r w:rsidDel="00000000" w:rsidR="00000000" w:rsidRPr="00000000">
              <w:rPr>
                <w:i w:val="1"/>
                <w:rtl w:val="0"/>
              </w:rPr>
              <w:t xml:space="preserve">Bacillus Subtilis</w:t>
            </w:r>
          </w:p>
        </w:tc>
        <w:tc>
          <w:tcPr/>
          <w:p w:rsidR="00000000" w:rsidDel="00000000" w:rsidP="00000000" w:rsidRDefault="00000000" w:rsidRPr="00000000" w14:paraId="00000021">
            <w:pPr>
              <w:pageBreakBefore w:val="0"/>
              <w:rPr/>
            </w:pPr>
            <w:r w:rsidDel="00000000" w:rsidR="00000000" w:rsidRPr="00000000">
              <w:rPr>
                <w:rtl w:val="0"/>
              </w:rPr>
              <w:t xml:space="preserve">4 oz/100 gal</w:t>
            </w:r>
          </w:p>
          <w:p w:rsidR="00000000" w:rsidDel="00000000" w:rsidP="00000000" w:rsidRDefault="00000000" w:rsidRPr="00000000" w14:paraId="00000022">
            <w:pPr>
              <w:pageBreakBefore w:val="0"/>
              <w:rPr/>
            </w:pPr>
            <w:r w:rsidDel="00000000" w:rsidR="00000000" w:rsidRPr="00000000">
              <w:rPr>
                <w:rtl w:val="0"/>
              </w:rPr>
              <w:t xml:space="preserve">1 tsp/gal</w:t>
            </w:r>
          </w:p>
          <w:p w:rsidR="00000000" w:rsidDel="00000000" w:rsidP="00000000" w:rsidRDefault="00000000" w:rsidRPr="00000000" w14:paraId="00000023">
            <w:pPr>
              <w:pageBreakBefore w:val="0"/>
              <w:rPr/>
            </w:pPr>
            <w:r w:rsidDel="00000000" w:rsidR="00000000" w:rsidRPr="00000000">
              <w:rPr>
                <w:rtl w:val="0"/>
              </w:rPr>
              <w:t xml:space="preserve">2 oz/gal</w:t>
            </w:r>
          </w:p>
        </w:tc>
      </w:tr>
      <w:tr>
        <w:trPr>
          <w:cantSplit w:val="0"/>
          <w:tblHeader w:val="0"/>
        </w:trPr>
        <w:tc>
          <w:tcPr/>
          <w:p w:rsidR="00000000" w:rsidDel="00000000" w:rsidP="00000000" w:rsidRDefault="00000000" w:rsidRPr="00000000" w14:paraId="00000024">
            <w:pPr>
              <w:pageBreakBefore w:val="0"/>
              <w:rPr/>
            </w:pPr>
            <w:r w:rsidDel="00000000" w:rsidR="00000000" w:rsidRPr="00000000">
              <w:rPr>
                <w:rtl w:val="0"/>
              </w:rPr>
              <w:t xml:space="preserve">Plant Extract*</w:t>
            </w:r>
          </w:p>
        </w:tc>
        <w:tc>
          <w:tcPr/>
          <w:p w:rsidR="00000000" w:rsidDel="00000000" w:rsidP="00000000" w:rsidRDefault="00000000" w:rsidRPr="00000000" w14:paraId="00000025">
            <w:pPr>
              <w:pageBreakBefore w:val="0"/>
              <w:rPr/>
            </w:pPr>
            <w:r w:rsidDel="00000000" w:rsidR="00000000" w:rsidRPr="00000000">
              <w:rPr>
                <w:rtl w:val="0"/>
              </w:rPr>
              <w:t xml:space="preserve">Regalia</w:t>
            </w:r>
          </w:p>
          <w:p w:rsidR="00000000" w:rsidDel="00000000" w:rsidP="00000000" w:rsidRDefault="00000000" w:rsidRPr="00000000" w14:paraId="00000026">
            <w:pPr>
              <w:pageBreakBefore w:val="0"/>
              <w:rPr/>
            </w:pPr>
            <w:r w:rsidDel="00000000" w:rsidR="00000000" w:rsidRPr="00000000">
              <w:rPr>
                <w:rtl w:val="0"/>
              </w:rPr>
              <w:t xml:space="preserve">Trilogy</w:t>
            </w:r>
          </w:p>
        </w:tc>
        <w:tc>
          <w:tcPr/>
          <w:p w:rsidR="00000000" w:rsidDel="00000000" w:rsidP="00000000" w:rsidRDefault="00000000" w:rsidRPr="00000000" w14:paraId="00000027">
            <w:pPr>
              <w:pageBreakBefore w:val="0"/>
              <w:rPr>
                <w:i w:val="1"/>
              </w:rPr>
            </w:pPr>
            <w:r w:rsidDel="00000000" w:rsidR="00000000" w:rsidRPr="00000000">
              <w:rPr>
                <w:i w:val="1"/>
                <w:rtl w:val="0"/>
              </w:rPr>
              <w:t xml:space="preserve">Reynoutria sachalinensis </w:t>
            </w:r>
          </w:p>
          <w:p w:rsidR="00000000" w:rsidDel="00000000" w:rsidP="00000000" w:rsidRDefault="00000000" w:rsidRPr="00000000" w14:paraId="00000028">
            <w:pPr>
              <w:pageBreakBefore w:val="0"/>
              <w:rPr/>
            </w:pPr>
            <w:r w:rsidDel="00000000" w:rsidR="00000000" w:rsidRPr="00000000">
              <w:rPr>
                <w:i w:val="1"/>
                <w:rtl w:val="0"/>
              </w:rPr>
              <w:t xml:space="preserve">Azadirachta indica </w:t>
            </w:r>
            <w:r w:rsidDel="00000000" w:rsidR="00000000" w:rsidRPr="00000000">
              <w:rPr>
                <w:rtl w:val="0"/>
              </w:rPr>
              <w:t xml:space="preserve">(Neem Oil)</w:t>
            </w:r>
          </w:p>
        </w:tc>
        <w:tc>
          <w:tcPr/>
          <w:p w:rsidR="00000000" w:rsidDel="00000000" w:rsidP="00000000" w:rsidRDefault="00000000" w:rsidRPr="00000000" w14:paraId="00000029">
            <w:pPr>
              <w:pageBreakBefore w:val="0"/>
              <w:rPr/>
            </w:pPr>
            <w:r w:rsidDel="00000000" w:rsidR="00000000" w:rsidRPr="00000000">
              <w:rPr>
                <w:rtl w:val="0"/>
              </w:rPr>
              <w:t xml:space="preserve">1 oz/gal</w:t>
            </w:r>
          </w:p>
          <w:p w:rsidR="00000000" w:rsidDel="00000000" w:rsidP="00000000" w:rsidRDefault="00000000" w:rsidRPr="00000000" w14:paraId="0000002A">
            <w:pPr>
              <w:pageBreakBefore w:val="0"/>
              <w:rPr/>
            </w:pPr>
            <w:r w:rsidDel="00000000" w:rsidR="00000000" w:rsidRPr="00000000">
              <w:rPr>
                <w:rtl w:val="0"/>
              </w:rPr>
              <w:t xml:space="preserve">1 oz.gal</w:t>
            </w:r>
          </w:p>
        </w:tc>
      </w:tr>
    </w:tbl>
    <w:p w:rsidR="00000000" w:rsidDel="00000000" w:rsidP="00000000" w:rsidRDefault="00000000" w:rsidRPr="00000000" w14:paraId="0000002B">
      <w:pPr>
        <w:pageBreakBefore w:val="0"/>
        <w:rPr/>
      </w:pPr>
      <w:r w:rsidDel="00000000" w:rsidR="00000000" w:rsidRPr="00000000">
        <w:rPr>
          <w:rtl w:val="0"/>
        </w:rPr>
        <w:t xml:space="preserve">*Safer Soap added to each treatment as an adjuvant/spreader at a rate of 1 oz/gal</w:t>
      </w:r>
    </w:p>
    <w:p w:rsidR="00000000" w:rsidDel="00000000" w:rsidP="00000000" w:rsidRDefault="00000000" w:rsidRPr="00000000" w14:paraId="0000002C">
      <w:pPr>
        <w:pageBreakBefore w:val="0"/>
        <w:rPr/>
      </w:pPr>
      <w:r w:rsidDel="00000000" w:rsidR="00000000" w:rsidRPr="00000000">
        <w:rPr>
          <w:rtl w:val="0"/>
        </w:rPr>
        <w:t xml:space="preserve">Results:</w:t>
      </w:r>
    </w:p>
    <w:p w:rsidR="00000000" w:rsidDel="00000000" w:rsidP="00000000" w:rsidRDefault="00000000" w:rsidRPr="00000000" w14:paraId="0000002D">
      <w:pPr>
        <w:pageBreakBefore w:val="0"/>
        <w:rPr>
          <w:color w:val="ff0000"/>
        </w:rPr>
      </w:pPr>
      <w:r w:rsidDel="00000000" w:rsidR="00000000" w:rsidRPr="00000000">
        <w:rPr>
          <w:rtl w:val="0"/>
        </w:rPr>
        <w:tab/>
        <w:t xml:space="preserve">No significant differences in </w:t>
      </w:r>
      <w:r w:rsidDel="00000000" w:rsidR="00000000" w:rsidRPr="00000000">
        <w:rPr>
          <w:i w:val="1"/>
          <w:rtl w:val="0"/>
        </w:rPr>
        <w:t xml:space="preserve">B. cinerea</w:t>
      </w:r>
      <w:r w:rsidDel="00000000" w:rsidR="00000000" w:rsidRPr="00000000">
        <w:rPr>
          <w:rtl w:val="0"/>
        </w:rPr>
        <w:t xml:space="preserve"> incidence were found among any of the groups. Surprisingly, none of the treatment combinations as applied provided control of </w:t>
      </w:r>
      <w:r w:rsidDel="00000000" w:rsidR="00000000" w:rsidRPr="00000000">
        <w:rPr>
          <w:i w:val="1"/>
          <w:rtl w:val="0"/>
        </w:rPr>
        <w:t xml:space="preserve">Botrytis cinerea</w:t>
      </w:r>
      <w:r w:rsidDel="00000000" w:rsidR="00000000" w:rsidRPr="00000000">
        <w:rPr>
          <w:rtl w:val="0"/>
        </w:rPr>
        <w:t xml:space="preserve"> under the conditions of this field trial compared to the control group, which received no treatment (Figure 1).  While the Chemical treatment appears to have had the most percent of plants affected, this was not statistically significant (p=0.42, F=0.94). </w:t>
      </w:r>
      <w:r w:rsidDel="00000000" w:rsidR="00000000" w:rsidRPr="00000000">
        <w:rPr>
          <w:rtl w:val="0"/>
        </w:rPr>
      </w:r>
    </w:p>
    <w:p w:rsidR="00000000" w:rsidDel="00000000" w:rsidP="00000000" w:rsidRDefault="00000000" w:rsidRPr="00000000" w14:paraId="0000002E">
      <w:pPr>
        <w:pageBreakBefore w:val="0"/>
        <w:rPr/>
      </w:pPr>
      <w:r w:rsidDel="00000000" w:rsidR="00000000" w:rsidRPr="00000000">
        <w:rPr/>
        <w:drawing>
          <wp:inline distB="114300" distT="114300" distL="114300" distR="114300">
            <wp:extent cx="5205413" cy="28003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205413" cy="280035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pageBreakBefore w:val="0"/>
        <w:rPr/>
      </w:pPr>
      <w:r w:rsidDel="00000000" w:rsidR="00000000" w:rsidRPr="00000000">
        <w:rPr>
          <w:rtl w:val="0"/>
        </w:rPr>
        <w:t xml:space="preserve">Figure 1. The average percent of each plant affected by </w:t>
      </w:r>
      <w:r w:rsidDel="00000000" w:rsidR="00000000" w:rsidRPr="00000000">
        <w:rPr>
          <w:i w:val="1"/>
          <w:rtl w:val="0"/>
        </w:rPr>
        <w:t xml:space="preserve">Botrytis cinerea</w:t>
      </w:r>
      <w:r w:rsidDel="00000000" w:rsidR="00000000" w:rsidRPr="00000000">
        <w:rPr>
          <w:rtl w:val="0"/>
        </w:rPr>
        <w:t xml:space="preserve"> within each treatment group. Standard error of the mean is shown. There were no significant differences among any treatment groups (p=0.42, F=0.94). </w:t>
      </w:r>
    </w:p>
    <w:p w:rsidR="00000000" w:rsidDel="00000000" w:rsidP="00000000" w:rsidRDefault="00000000" w:rsidRPr="00000000" w14:paraId="00000030">
      <w:pPr>
        <w:pageBreakBefore w:val="0"/>
        <w:rPr/>
      </w:pPr>
      <w:r w:rsidDel="00000000" w:rsidR="00000000" w:rsidRPr="00000000">
        <w:rPr>
          <w:rtl w:val="0"/>
        </w:rPr>
        <w:t xml:space="preserve">Discussion:</w:t>
      </w:r>
    </w:p>
    <w:p w:rsidR="00000000" w:rsidDel="00000000" w:rsidP="00000000" w:rsidRDefault="00000000" w:rsidRPr="00000000" w14:paraId="00000031">
      <w:pPr>
        <w:pageBreakBefore w:val="0"/>
        <w:rPr/>
      </w:pPr>
      <w:r w:rsidDel="00000000" w:rsidR="00000000" w:rsidRPr="00000000">
        <w:rPr>
          <w:rtl w:val="0"/>
        </w:rPr>
        <w:tab/>
        <w:t xml:space="preserve">The lack of efficacy of the treatments tested underscores the difficulty facing </w:t>
      </w:r>
      <w:r w:rsidDel="00000000" w:rsidR="00000000" w:rsidRPr="00000000">
        <w:rPr>
          <w:i w:val="1"/>
          <w:rtl w:val="0"/>
        </w:rPr>
        <w:t xml:space="preserve">Cannabis</w:t>
      </w:r>
      <w:r w:rsidDel="00000000" w:rsidR="00000000" w:rsidRPr="00000000">
        <w:rPr>
          <w:rtl w:val="0"/>
        </w:rPr>
        <w:t xml:space="preserve"> farmers in managing fungal pathogens. It was thought that choosing combinations of treatments to compare would be more likely to yield positive results than individual product treatments.  If there had been combinations that worked, a subsequent study would have been repeated that separated out individual components. Since none of the chosen treatment combinations were effective at reducing </w:t>
      </w:r>
      <w:r w:rsidDel="00000000" w:rsidR="00000000" w:rsidRPr="00000000">
        <w:rPr>
          <w:i w:val="1"/>
          <w:rtl w:val="0"/>
        </w:rPr>
        <w:t xml:space="preserve">B. cinerea </w:t>
      </w:r>
      <w:r w:rsidDel="00000000" w:rsidR="00000000" w:rsidRPr="00000000">
        <w:rPr>
          <w:rtl w:val="0"/>
        </w:rPr>
        <w:t xml:space="preserve">incidence, it is unlikely any of the products tested would perform better individually. Different, more intense treatment regimens –more frequent, or earlier/later application during crop growth- may have yielded positive results. Some permitted products not included in this study which may show efficacy in limiting </w:t>
      </w:r>
      <w:r w:rsidDel="00000000" w:rsidR="00000000" w:rsidRPr="00000000">
        <w:rPr>
          <w:i w:val="1"/>
          <w:rtl w:val="0"/>
        </w:rPr>
        <w:t xml:space="preserve">B. cinerea</w:t>
      </w:r>
      <w:r w:rsidDel="00000000" w:rsidR="00000000" w:rsidRPr="00000000">
        <w:rPr>
          <w:rtl w:val="0"/>
        </w:rPr>
        <w:t xml:space="preserve"> damage include micronized sulfur, sulfur burners, variations of Bordeaux mixture (solution of copper sulfate and calcium hydroxide), potassium bicarbonate, and perhaps specifically developed biological control agents. </w:t>
      </w:r>
    </w:p>
    <w:p w:rsidR="00000000" w:rsidDel="00000000" w:rsidP="00000000" w:rsidRDefault="00000000" w:rsidRPr="00000000" w14:paraId="00000032">
      <w:pPr>
        <w:pageBreakBefore w:val="0"/>
        <w:rPr/>
      </w:pPr>
      <w:r w:rsidDel="00000000" w:rsidR="00000000" w:rsidRPr="00000000">
        <w:rPr>
          <w:rtl w:val="0"/>
        </w:rPr>
        <w:tab/>
        <w:t xml:space="preserve">In light of these negative results in limiting </w:t>
      </w:r>
      <w:r w:rsidDel="00000000" w:rsidR="00000000" w:rsidRPr="00000000">
        <w:rPr>
          <w:i w:val="1"/>
          <w:rtl w:val="0"/>
        </w:rPr>
        <w:t xml:space="preserve">Botrytis</w:t>
      </w:r>
      <w:r w:rsidDel="00000000" w:rsidR="00000000" w:rsidRPr="00000000">
        <w:rPr>
          <w:rtl w:val="0"/>
        </w:rPr>
        <w:t xml:space="preserve"> damage using allowable agriculture products currently on the market, </w:t>
      </w:r>
      <w:r w:rsidDel="00000000" w:rsidR="00000000" w:rsidRPr="00000000">
        <w:rPr>
          <w:i w:val="1"/>
          <w:rtl w:val="0"/>
        </w:rPr>
        <w:t xml:space="preserve">Cannabis</w:t>
      </w:r>
      <w:r w:rsidDel="00000000" w:rsidR="00000000" w:rsidRPr="00000000">
        <w:rPr>
          <w:rtl w:val="0"/>
        </w:rPr>
        <w:t xml:space="preserve"> farmers should be skeptical of spending money on products intended for this purpose. A more productive effort is likely to maintain cultural practices proven to reduce the likelihood of </w:t>
      </w:r>
      <w:r w:rsidDel="00000000" w:rsidR="00000000" w:rsidRPr="00000000">
        <w:rPr>
          <w:i w:val="1"/>
          <w:rtl w:val="0"/>
        </w:rPr>
        <w:t xml:space="preserve">B. cinerea</w:t>
      </w:r>
      <w:r w:rsidDel="00000000" w:rsidR="00000000" w:rsidRPr="00000000">
        <w:rPr>
          <w:rtl w:val="0"/>
        </w:rPr>
        <w:t xml:space="preserve"> damage.  </w:t>
      </w:r>
    </w:p>
    <w:p w:rsidR="00000000" w:rsidDel="00000000" w:rsidP="00000000" w:rsidRDefault="00000000" w:rsidRPr="00000000" w14:paraId="00000033">
      <w:pPr>
        <w:pageBreakBefore w:val="0"/>
        <w:ind w:firstLine="720"/>
        <w:rPr/>
      </w:pPr>
      <w:r w:rsidDel="00000000" w:rsidR="00000000" w:rsidRPr="00000000">
        <w:rPr>
          <w:rtl w:val="0"/>
        </w:rPr>
        <w:t xml:space="preserve">Budrot outbreaks are correlated with high relative humidity and high canopy density. </w:t>
      </w:r>
      <w:r w:rsidDel="00000000" w:rsidR="00000000" w:rsidRPr="00000000">
        <w:rPr>
          <w:i w:val="1"/>
          <w:rtl w:val="0"/>
        </w:rPr>
        <w:t xml:space="preserve">Botrytis cinerea</w:t>
      </w:r>
      <w:r w:rsidDel="00000000" w:rsidR="00000000" w:rsidRPr="00000000">
        <w:rPr>
          <w:rtl w:val="0"/>
        </w:rPr>
        <w:t xml:space="preserve"> grows quickly in warm moist areas, and high canopy density promotes a quick succession of secondary disease cycles so that one bad bud can spoil the bunch.  Where possible growers should manipulate the environment or plant seasonally so that flowers are maturing in low humidity. Care should be taken to prune and plant for an appropriate canopy density. The productivity of a dense canopy must be balanced against increasing losses to </w:t>
      </w:r>
      <w:r w:rsidDel="00000000" w:rsidR="00000000" w:rsidRPr="00000000">
        <w:rPr>
          <w:i w:val="1"/>
          <w:rtl w:val="0"/>
        </w:rPr>
        <w:t xml:space="preserve">B. cinerea</w:t>
      </w:r>
      <w:r w:rsidDel="00000000" w:rsidR="00000000" w:rsidRPr="00000000">
        <w:rPr>
          <w:rtl w:val="0"/>
        </w:rPr>
        <w:t xml:space="preserve">.   Growers that are in controlled environments (some indoor and greenhouse growers) are able to directly limit inocula by filtering spores from intake air with HEPA filters and instituting clean-room protocols.  Cultivars also vary widely in susceptibility and disease resistance, qualities that are insufficiently described among currently available strains.  Knowledge is currently restricted to trial and error among growers. Characterization of and selection for reduced susceptibility and increased disease resistance among varieties are additional areas in need of research and development within the industry. </w:t>
      </w:r>
    </w:p>
    <w:p w:rsidR="00000000" w:rsidDel="00000000" w:rsidP="00000000" w:rsidRDefault="00000000" w:rsidRPr="00000000" w14:paraId="00000034">
      <w:pPr>
        <w:pageBreakBefore w:val="0"/>
        <w:ind w:left="0" w:firstLine="0"/>
        <w:rPr>
          <w:b w:val="1"/>
        </w:rPr>
      </w:pPr>
      <w:r w:rsidDel="00000000" w:rsidR="00000000" w:rsidRPr="00000000">
        <w:rPr>
          <w:rtl w:val="0"/>
        </w:rPr>
      </w:r>
    </w:p>
    <w:p w:rsidR="00000000" w:rsidDel="00000000" w:rsidP="00000000" w:rsidRDefault="00000000" w:rsidRPr="00000000" w14:paraId="00000035">
      <w:pPr>
        <w:pageBreakBefore w:val="0"/>
        <w:ind w:left="0" w:firstLine="0"/>
        <w:rPr>
          <w:b w:val="1"/>
        </w:rPr>
      </w:pPr>
      <w:r w:rsidDel="00000000" w:rsidR="00000000" w:rsidRPr="00000000">
        <w:rPr>
          <w:b w:val="1"/>
          <w:rtl w:val="0"/>
        </w:rPr>
        <w:t xml:space="preserve">A.2. </w:t>
      </w:r>
      <w:r w:rsidDel="00000000" w:rsidR="00000000" w:rsidRPr="00000000">
        <w:rPr>
          <w:b w:val="1"/>
          <w:i w:val="1"/>
          <w:rtl w:val="0"/>
        </w:rPr>
        <w:t xml:space="preserve">Botrytis </w:t>
      </w:r>
      <w:r w:rsidDel="00000000" w:rsidR="00000000" w:rsidRPr="00000000">
        <w:rPr>
          <w:b w:val="1"/>
          <w:rtl w:val="0"/>
        </w:rPr>
        <w:t xml:space="preserve">seedling assay</w:t>
      </w:r>
    </w:p>
    <w:p w:rsidR="00000000" w:rsidDel="00000000" w:rsidP="00000000" w:rsidRDefault="00000000" w:rsidRPr="00000000" w14:paraId="00000036">
      <w:pPr>
        <w:pageBreakBefore w:val="0"/>
        <w:rPr>
          <w:b w:val="1"/>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7">
      <w:pPr>
        <w:pageBreakBefore w:val="0"/>
        <w:ind w:left="0" w:firstLine="0"/>
        <w:rPr/>
      </w:pPr>
      <w:r w:rsidDel="00000000" w:rsidR="00000000" w:rsidRPr="00000000">
        <w:rPr>
          <w:rtl w:val="0"/>
        </w:rPr>
        <w:tab/>
        <w:t xml:space="preserve">Selecting individuals or cultivars among heterogenous parental germplasm with superior pathogen resistance is complicated if disease symptoms can only be accurately characterized in fully mature plants. </w:t>
      </w:r>
      <w:r w:rsidDel="00000000" w:rsidR="00000000" w:rsidRPr="00000000">
        <w:rPr>
          <w:i w:val="1"/>
          <w:rtl w:val="0"/>
        </w:rPr>
        <w:t xml:space="preserve">Cannabis </w:t>
      </w:r>
      <w:r w:rsidDel="00000000" w:rsidR="00000000" w:rsidRPr="00000000">
        <w:rPr>
          <w:rtl w:val="0"/>
        </w:rPr>
        <w:t xml:space="preserve">crop losses caused by </w:t>
      </w:r>
      <w:r w:rsidDel="00000000" w:rsidR="00000000" w:rsidRPr="00000000">
        <w:rPr>
          <w:i w:val="1"/>
          <w:rtl w:val="0"/>
        </w:rPr>
        <w:t xml:space="preserve">Botrytis cinearea</w:t>
      </w:r>
      <w:r w:rsidDel="00000000" w:rsidR="00000000" w:rsidRPr="00000000">
        <w:rPr>
          <w:rtl w:val="0"/>
        </w:rPr>
        <w:t xml:space="preserve"> occur mostly during the mid to late flowering stage when senescent portions of the plant, such as stigmas on individual flowers among an overall unripe inflorescence, become susceptible to necrotrophic disease. Germinating seeds and very young seedlings, however, are also susceptible to necrotrophic infection; when this occurs it manifests as a fatal “dampening off,” where </w:t>
      </w:r>
      <w:r w:rsidDel="00000000" w:rsidR="00000000" w:rsidRPr="00000000">
        <w:rPr>
          <w:i w:val="1"/>
          <w:rtl w:val="0"/>
        </w:rPr>
        <w:t xml:space="preserve">Botrytis </w:t>
      </w:r>
      <w:r w:rsidDel="00000000" w:rsidR="00000000" w:rsidRPr="00000000">
        <w:rPr>
          <w:rtl w:val="0"/>
        </w:rPr>
        <w:t xml:space="preserve">can often be seen sporulating along the seedling stem. Most seedlings quickly become resistant to fatal </w:t>
      </w:r>
      <w:r w:rsidDel="00000000" w:rsidR="00000000" w:rsidRPr="00000000">
        <w:rPr>
          <w:i w:val="1"/>
          <w:rtl w:val="0"/>
        </w:rPr>
        <w:t xml:space="preserve">Botrytis </w:t>
      </w:r>
      <w:r w:rsidDel="00000000" w:rsidR="00000000" w:rsidRPr="00000000">
        <w:rPr>
          <w:rtl w:val="0"/>
        </w:rPr>
        <w:t xml:space="preserve">infection in the days following emergence from the soil. </w:t>
      </w:r>
    </w:p>
    <w:p w:rsidR="00000000" w:rsidDel="00000000" w:rsidP="00000000" w:rsidRDefault="00000000" w:rsidRPr="00000000" w14:paraId="00000038">
      <w:pPr>
        <w:pageBreakBefore w:val="0"/>
        <w:ind w:left="0" w:firstLine="720"/>
        <w:rPr/>
      </w:pPr>
      <w:r w:rsidDel="00000000" w:rsidR="00000000" w:rsidRPr="00000000">
        <w:rPr>
          <w:rtl w:val="0"/>
        </w:rPr>
        <w:t xml:space="preserve">In other crop species, resistance at the seedling stage is correlated with increased disease susceptibility which persists into maturity.  If seedling susceptibility of </w:t>
      </w:r>
      <w:r w:rsidDel="00000000" w:rsidR="00000000" w:rsidRPr="00000000">
        <w:rPr>
          <w:i w:val="1"/>
          <w:rtl w:val="0"/>
        </w:rPr>
        <w:t xml:space="preserve">Cannabis </w:t>
      </w:r>
      <w:r w:rsidDel="00000000" w:rsidR="00000000" w:rsidRPr="00000000">
        <w:rPr>
          <w:rtl w:val="0"/>
        </w:rPr>
        <w:t xml:space="preserve">to </w:t>
      </w:r>
      <w:r w:rsidDel="00000000" w:rsidR="00000000" w:rsidRPr="00000000">
        <w:rPr>
          <w:i w:val="1"/>
          <w:rtl w:val="0"/>
        </w:rPr>
        <w:t xml:space="preserve">Botrytis</w:t>
      </w:r>
      <w:r w:rsidDel="00000000" w:rsidR="00000000" w:rsidRPr="00000000">
        <w:rPr>
          <w:rtl w:val="0"/>
        </w:rPr>
        <w:t xml:space="preserve"> induced dampening-off is correlated with the extent of disease among mature flowering tops, an effective seedling assay could be used to screen for superior clones or genetic lines. Effective seedling assays can offer low-tech, low-cost methods widely applicable for any scale farmer. Genomic methods are increasingly applied to such problems, though they require extensive characterization of relevant genes in order to be applicable to breeding programs. Some genes, like the MLO genes which confer powdery mildew resistance in many plant species, are conserved across different crop families. Because </w:t>
      </w:r>
      <w:r w:rsidDel="00000000" w:rsidR="00000000" w:rsidRPr="00000000">
        <w:rPr>
          <w:i w:val="1"/>
          <w:rtl w:val="0"/>
        </w:rPr>
        <w:t xml:space="preserve">Cannabis </w:t>
      </w:r>
      <w:r w:rsidDel="00000000" w:rsidR="00000000" w:rsidRPr="00000000">
        <w:rPr>
          <w:rtl w:val="0"/>
        </w:rPr>
        <w:t xml:space="preserve">likely shares homologous MLO genes which confer PM resistance, much of the work done on other crops can be applied to </w:t>
      </w:r>
      <w:r w:rsidDel="00000000" w:rsidR="00000000" w:rsidRPr="00000000">
        <w:rPr>
          <w:i w:val="1"/>
          <w:rtl w:val="0"/>
        </w:rPr>
        <w:t xml:space="preserve">Cannabis</w:t>
      </w:r>
      <w:r w:rsidDel="00000000" w:rsidR="00000000" w:rsidRPr="00000000">
        <w:rPr>
          <w:rtl w:val="0"/>
        </w:rPr>
        <w:t xml:space="preserve">; researchers are working currently to apply this method to </w:t>
      </w:r>
      <w:r w:rsidDel="00000000" w:rsidR="00000000" w:rsidRPr="00000000">
        <w:rPr>
          <w:i w:val="1"/>
          <w:rtl w:val="0"/>
        </w:rPr>
        <w:t xml:space="preserve">Cannabis</w:t>
      </w:r>
      <w:r w:rsidDel="00000000" w:rsidR="00000000" w:rsidRPr="00000000">
        <w:rPr>
          <w:rtl w:val="0"/>
        </w:rPr>
        <w:t xml:space="preserve">. </w:t>
      </w:r>
    </w:p>
    <w:p w:rsidR="00000000" w:rsidDel="00000000" w:rsidP="00000000" w:rsidRDefault="00000000" w:rsidRPr="00000000" w14:paraId="00000039">
      <w:pPr>
        <w:pageBreakBefore w:val="0"/>
        <w:ind w:left="0" w:firstLine="0"/>
        <w:rPr/>
      </w:pPr>
      <w:r w:rsidDel="00000000" w:rsidR="00000000" w:rsidRPr="00000000">
        <w:rPr>
          <w:rtl w:val="0"/>
        </w:rPr>
        <w:t xml:space="preserve">Hypothesis: </w:t>
      </w:r>
    </w:p>
    <w:p w:rsidR="00000000" w:rsidDel="00000000" w:rsidP="00000000" w:rsidRDefault="00000000" w:rsidRPr="00000000" w14:paraId="0000003A">
      <w:pPr>
        <w:pageBreakBefore w:val="0"/>
        <w:ind w:left="0" w:firstLine="720"/>
        <w:rPr/>
      </w:pPr>
      <w:r w:rsidDel="00000000" w:rsidR="00000000" w:rsidRPr="00000000">
        <w:rPr>
          <w:rtl w:val="0"/>
        </w:rPr>
        <w:t xml:space="preserve">Seedling susceptibility to </w:t>
      </w:r>
      <w:r w:rsidDel="00000000" w:rsidR="00000000" w:rsidRPr="00000000">
        <w:rPr>
          <w:i w:val="1"/>
          <w:rtl w:val="0"/>
        </w:rPr>
        <w:t xml:space="preserve">Botrytis</w:t>
      </w:r>
      <w:r w:rsidDel="00000000" w:rsidR="00000000" w:rsidRPr="00000000">
        <w:rPr>
          <w:rtl w:val="0"/>
        </w:rPr>
        <w:t xml:space="preserve">-dampening off</w:t>
      </w:r>
      <w:r w:rsidDel="00000000" w:rsidR="00000000" w:rsidRPr="00000000">
        <w:rPr>
          <w:i w:val="1"/>
          <w:rtl w:val="0"/>
        </w:rPr>
        <w:t xml:space="preserve"> </w:t>
      </w:r>
      <w:r w:rsidDel="00000000" w:rsidR="00000000" w:rsidRPr="00000000">
        <w:rPr>
          <w:rtl w:val="0"/>
        </w:rPr>
        <w:t xml:space="preserve">will correlate with disease severity of mature flowering crops of the same cultivar. </w:t>
      </w:r>
    </w:p>
    <w:p w:rsidR="00000000" w:rsidDel="00000000" w:rsidP="00000000" w:rsidRDefault="00000000" w:rsidRPr="00000000" w14:paraId="0000003B">
      <w:pPr>
        <w:pageBreakBefore w:val="0"/>
        <w:ind w:left="0" w:firstLine="0"/>
        <w:rPr/>
      </w:pPr>
      <w:r w:rsidDel="00000000" w:rsidR="00000000" w:rsidRPr="00000000">
        <w:rPr>
          <w:rtl w:val="0"/>
        </w:rPr>
        <w:t xml:space="preserve">Methods:</w:t>
      </w:r>
    </w:p>
    <w:p w:rsidR="00000000" w:rsidDel="00000000" w:rsidP="00000000" w:rsidRDefault="00000000" w:rsidRPr="00000000" w14:paraId="0000003C">
      <w:pPr>
        <w:pageBreakBefore w:val="0"/>
        <w:ind w:left="0" w:firstLine="0"/>
        <w:rPr/>
      </w:pPr>
      <w:r w:rsidDel="00000000" w:rsidR="00000000" w:rsidRPr="00000000">
        <w:rPr>
          <w:rtl w:val="0"/>
        </w:rPr>
        <w:tab/>
        <w:t xml:space="preserve">Seed of five, day-neutral cultivars with known, differing </w:t>
      </w:r>
      <w:r w:rsidDel="00000000" w:rsidR="00000000" w:rsidRPr="00000000">
        <w:rPr>
          <w:i w:val="1"/>
          <w:rtl w:val="0"/>
        </w:rPr>
        <w:t xml:space="preserve">Botrytis </w:t>
      </w:r>
      <w:r w:rsidDel="00000000" w:rsidR="00000000" w:rsidRPr="00000000">
        <w:rPr>
          <w:rtl w:val="0"/>
        </w:rPr>
        <w:t xml:space="preserve">susceptibility as mature flower crops were provided by a </w:t>
      </w:r>
      <w:r w:rsidDel="00000000" w:rsidR="00000000" w:rsidRPr="00000000">
        <w:rPr>
          <w:i w:val="1"/>
          <w:rtl w:val="0"/>
        </w:rPr>
        <w:t xml:space="preserve">Cannabis </w:t>
      </w:r>
      <w:r w:rsidDel="00000000" w:rsidR="00000000" w:rsidRPr="00000000">
        <w:rPr>
          <w:rtl w:val="0"/>
        </w:rPr>
        <w:t xml:space="preserve">plant breeder (Harold Frazier of New Breed Seed). The technician performing the experiment was blind of the identity and susceptibility of all varieties. Seeds were surface sterilized by stirring them ina bleach solution (1 part 5.25% v/v sodium hypochlorite; 4 parts water) for 30 seconds then dried on a paper towel. After surface sterilization, each of the five varieties were direct seeded into two, 72-cell seedling trays of sterilized media (Sunshine mix #4). The soil in one of the two seedling trays for each of the seed lots was inoculated with </w:t>
      </w:r>
      <w:r w:rsidDel="00000000" w:rsidR="00000000" w:rsidRPr="00000000">
        <w:rPr>
          <w:i w:val="1"/>
          <w:rtl w:val="0"/>
        </w:rPr>
        <w:t xml:space="preserve">B. cinerea </w:t>
      </w:r>
      <w:r w:rsidDel="00000000" w:rsidR="00000000" w:rsidRPr="00000000">
        <w:rPr>
          <w:rtl w:val="0"/>
        </w:rPr>
        <w:t xml:space="preserve">grain spawn prior to seeding at a rate of 4 oz/gal. The </w:t>
      </w:r>
      <w:r w:rsidDel="00000000" w:rsidR="00000000" w:rsidRPr="00000000">
        <w:rPr>
          <w:i w:val="1"/>
          <w:rtl w:val="0"/>
        </w:rPr>
        <w:t xml:space="preserve">B. cinerea</w:t>
      </w:r>
      <w:r w:rsidDel="00000000" w:rsidR="00000000" w:rsidRPr="00000000">
        <w:rPr>
          <w:rtl w:val="0"/>
        </w:rPr>
        <w:t xml:space="preserve"> culture used was isolated from a mature, greenhouse grown </w:t>
      </w:r>
      <w:r w:rsidDel="00000000" w:rsidR="00000000" w:rsidRPr="00000000">
        <w:rPr>
          <w:i w:val="1"/>
          <w:rtl w:val="0"/>
        </w:rPr>
        <w:t xml:space="preserve">Cannabis </w:t>
      </w:r>
      <w:r w:rsidDel="00000000" w:rsidR="00000000" w:rsidRPr="00000000">
        <w:rPr>
          <w:rtl w:val="0"/>
        </w:rPr>
        <w:t xml:space="preserve">flower from Cottage Grove, OR in October 2018.  Seedling emergence was noted at 10 days from direct seeding. At day 14, half of the seedlings in each control tray (sterilized, uninoculated soil) were sprayed with a liquid inocula produced by blending grain spawn in water and filtering out large particles with a tea screen. </w:t>
      </w:r>
    </w:p>
    <w:p w:rsidR="00000000" w:rsidDel="00000000" w:rsidP="00000000" w:rsidRDefault="00000000" w:rsidRPr="00000000" w14:paraId="0000003D">
      <w:pPr>
        <w:pageBreakBefore w:val="0"/>
        <w:ind w:left="0" w:firstLine="0"/>
        <w:rPr/>
      </w:pPr>
      <w:r w:rsidDel="00000000" w:rsidR="00000000" w:rsidRPr="00000000">
        <w:rPr>
          <w:rtl w:val="0"/>
        </w:rPr>
        <w:t xml:space="preserve">Results:</w:t>
      </w:r>
    </w:p>
    <w:p w:rsidR="00000000" w:rsidDel="00000000" w:rsidP="00000000" w:rsidRDefault="00000000" w:rsidRPr="00000000" w14:paraId="0000003E">
      <w:pPr>
        <w:pageBreakBefore w:val="0"/>
        <w:ind w:left="0" w:firstLine="0"/>
        <w:rPr/>
      </w:pPr>
      <w:r w:rsidDel="00000000" w:rsidR="00000000" w:rsidRPr="00000000">
        <w:rPr>
          <w:rtl w:val="0"/>
        </w:rPr>
        <w:t xml:space="preserve">Discussion:</w:t>
      </w:r>
    </w:p>
    <w:p w:rsidR="00000000" w:rsidDel="00000000" w:rsidP="00000000" w:rsidRDefault="00000000" w:rsidRPr="00000000" w14:paraId="0000003F">
      <w:pPr>
        <w:pageBreakBefore w:val="0"/>
        <w:ind w:left="0" w:firstLine="0"/>
        <w:rPr/>
      </w:pPr>
      <w:r w:rsidDel="00000000" w:rsidR="00000000" w:rsidRPr="00000000">
        <w:rPr>
          <w:rtl w:val="0"/>
        </w:rPr>
      </w:r>
    </w:p>
    <w:p w:rsidR="00000000" w:rsidDel="00000000" w:rsidP="00000000" w:rsidRDefault="00000000" w:rsidRPr="00000000" w14:paraId="00000040">
      <w:pPr>
        <w:pageBreakBefore w:val="0"/>
        <w:ind w:left="0" w:firstLine="0"/>
        <w:rPr/>
      </w:pPr>
      <w:r w:rsidDel="00000000" w:rsidR="00000000" w:rsidRPr="00000000">
        <w:rPr>
          <w:rtl w:val="0"/>
        </w:rPr>
      </w:r>
    </w:p>
    <w:p w:rsidR="00000000" w:rsidDel="00000000" w:rsidP="00000000" w:rsidRDefault="00000000" w:rsidRPr="00000000" w14:paraId="00000041">
      <w:pPr>
        <w:pageBreakBefore w:val="0"/>
        <w:ind w:left="0" w:firstLine="0"/>
        <w:rPr/>
      </w:pPr>
      <w:r w:rsidDel="00000000" w:rsidR="00000000" w:rsidRPr="00000000">
        <w:rPr>
          <w:rtl w:val="0"/>
        </w:rPr>
        <w:t xml:space="preserve">Appendix X: Glossary</w:t>
      </w:r>
    </w:p>
    <w:p w:rsidR="00000000" w:rsidDel="00000000" w:rsidP="00000000" w:rsidRDefault="00000000" w:rsidRPr="00000000" w14:paraId="00000042">
      <w:pPr>
        <w:pageBreakBefore w:val="0"/>
        <w:ind w:left="0" w:firstLine="0"/>
        <w:rPr/>
      </w:pPr>
      <w:r w:rsidDel="00000000" w:rsidR="00000000" w:rsidRPr="00000000">
        <w:rPr>
          <w:rtl w:val="0"/>
        </w:rPr>
        <w:br w:type="textWrapping"/>
        <w:t xml:space="preserve">Spore- a sexual or asexual unit of propagation. Can be uni- or multicellular. Usually haploid (Urediniospores and Teliospores of rusts are dikaryotic).</w:t>
      </w:r>
    </w:p>
    <w:p w:rsidR="00000000" w:rsidDel="00000000" w:rsidP="00000000" w:rsidRDefault="00000000" w:rsidRPr="00000000" w14:paraId="00000043">
      <w:pPr>
        <w:pageBreakBefore w:val="0"/>
        <w:ind w:left="0" w:firstLine="0"/>
        <w:rPr/>
      </w:pPr>
      <w:r w:rsidDel="00000000" w:rsidR="00000000" w:rsidRPr="00000000">
        <w:rPr>
          <w:rtl w:val="0"/>
        </w:rPr>
        <w:br w:type="textWrapping"/>
        <w:t xml:space="preserve">Conidium- pl. conidia. Uni-, bi- or multicellular, haploid spore produced via mitosis from a haploid parent. May be produced directly from hyphae or on specialized structures (see conidiophore). Most conidia producing species belong to the Ascomycetes, followed by Basidiomycetes. Fungi known only from their asexual, conidia producing state are classified under the polyphyletic “Deuteromycetes.”</w:t>
      </w:r>
    </w:p>
    <w:p w:rsidR="00000000" w:rsidDel="00000000" w:rsidP="00000000" w:rsidRDefault="00000000" w:rsidRPr="00000000" w14:paraId="00000044">
      <w:pPr>
        <w:pageBreakBefore w:val="0"/>
        <w:ind w:left="0" w:firstLine="0"/>
        <w:rPr/>
      </w:pPr>
      <w:r w:rsidDel="00000000" w:rsidR="00000000" w:rsidRPr="00000000">
        <w:rPr>
          <w:rtl w:val="0"/>
        </w:rPr>
        <w:t xml:space="preserve">Conidiophore- Specialized cells or hyphae that bear conidia. Conidiophore features are important in visual  identification of Deuteromycetes (“molds”).</w:t>
      </w:r>
    </w:p>
    <w:p w:rsidR="00000000" w:rsidDel="00000000" w:rsidP="00000000" w:rsidRDefault="00000000" w:rsidRPr="00000000" w14:paraId="00000045">
      <w:pPr>
        <w:pageBreakBefore w:val="0"/>
        <w:ind w:left="0" w:firstLine="0"/>
        <w:rPr/>
      </w:pPr>
      <w:r w:rsidDel="00000000" w:rsidR="00000000" w:rsidRPr="00000000">
        <w:rPr>
          <w:rtl w:val="0"/>
        </w:rPr>
        <w:br w:type="textWrapping"/>
        <w:t xml:space="preserve">Ascus- pl. asci. A sac-like structure containing sexually produced ascospores. Borne on the sexual fruiting body of members of the Ascomycetes </w:t>
      </w:r>
    </w:p>
    <w:p w:rsidR="00000000" w:rsidDel="00000000" w:rsidP="00000000" w:rsidRDefault="00000000" w:rsidRPr="00000000" w14:paraId="00000046">
      <w:pPr>
        <w:pageBreakBefore w:val="0"/>
        <w:ind w:left="0" w:firstLine="0"/>
        <w:rPr/>
      </w:pPr>
      <w:r w:rsidDel="00000000" w:rsidR="00000000" w:rsidRPr="00000000">
        <w:rPr>
          <w:rtl w:val="0"/>
        </w:rPr>
        <w:br w:type="textWrapping"/>
        <w:t xml:space="preserve">Basidium- pl. basidia. A specialized cell on which basidiospores are borne. Found on the spore bearing surfaces (i.e. the gills) of the fruiting body of Basidomycetes. </w:t>
      </w:r>
    </w:p>
    <w:p w:rsidR="00000000" w:rsidDel="00000000" w:rsidP="00000000" w:rsidRDefault="00000000" w:rsidRPr="00000000" w14:paraId="00000047">
      <w:pPr>
        <w:pageBreakBefore w:val="0"/>
        <w:ind w:left="0" w:firstLine="0"/>
        <w:rPr/>
      </w:pPr>
      <w:r w:rsidDel="00000000" w:rsidR="00000000" w:rsidRPr="00000000">
        <w:rPr>
          <w:rtl w:val="0"/>
        </w:rPr>
        <w:br w:type="textWrapping"/>
        <w:t xml:space="preserve">Mushroom- A conspicuous sporocarp of an Ascomycete or Basidiomycete which produces sexual, haploid spores. </w:t>
      </w:r>
    </w:p>
    <w:p w:rsidR="00000000" w:rsidDel="00000000" w:rsidP="00000000" w:rsidRDefault="00000000" w:rsidRPr="00000000" w14:paraId="00000048">
      <w:pPr>
        <w:pageBreakBefore w:val="0"/>
        <w:ind w:left="0" w:firstLine="0"/>
        <w:rPr/>
      </w:pPr>
      <w:r w:rsidDel="00000000" w:rsidR="00000000" w:rsidRPr="00000000">
        <w:rPr>
          <w:rtl w:val="0"/>
        </w:rPr>
        <w:br w:type="textWrapping"/>
        <w:t xml:space="preserve">Fruiting body- A general term for the hyphal structure on which sexual or asexual, spore producing cells are borne. </w:t>
      </w:r>
    </w:p>
    <w:p w:rsidR="00000000" w:rsidDel="00000000" w:rsidP="00000000" w:rsidRDefault="00000000" w:rsidRPr="00000000" w14:paraId="00000049">
      <w:pPr>
        <w:pageBreakBefore w:val="0"/>
        <w:ind w:left="0" w:firstLine="0"/>
        <w:rPr/>
      </w:pPr>
      <w:r w:rsidDel="00000000" w:rsidR="00000000" w:rsidRPr="00000000">
        <w:rPr>
          <w:rtl w:val="0"/>
        </w:rPr>
        <w:br w:type="textWrapping"/>
        <w:t xml:space="preserve">Appressorium- pl. appressoria. A swelling of hypha that arises from the germ tube of a germinating spore or along vegetative hyphae specialized for the purpose of penetrating host tissue. Appressoria build very high turgor pressure while releasing exoenzymes that degrade plant cuticle and wall components before extending a peg-like infection hypha into the plant body underneath. </w:t>
      </w:r>
    </w:p>
    <w:p w:rsidR="00000000" w:rsidDel="00000000" w:rsidP="00000000" w:rsidRDefault="00000000" w:rsidRPr="00000000" w14:paraId="0000004A">
      <w:pPr>
        <w:pageBreakBefore w:val="0"/>
        <w:ind w:left="0" w:firstLine="0"/>
        <w:rPr/>
      </w:pPr>
      <w:r w:rsidDel="00000000" w:rsidR="00000000" w:rsidRPr="00000000">
        <w:rPr>
          <w:rtl w:val="0"/>
        </w:rPr>
        <w:t xml:space="preserve">Haustorium- pl. haustoria. A specialized class of hyphae formed by parasites and some mutualistic fungi that penetrates plant cell walls, though not the cell membrane, and serves as a nutrient transfer interface. Powdery mildews and mycorrhizae both from haustoria when they infect </w:t>
      </w:r>
      <w:r w:rsidDel="00000000" w:rsidR="00000000" w:rsidRPr="00000000">
        <w:rPr>
          <w:i w:val="1"/>
          <w:rtl w:val="0"/>
        </w:rPr>
        <w:t xml:space="preserve">Cannabis</w:t>
      </w:r>
      <w:r w:rsidDel="00000000" w:rsidR="00000000" w:rsidRPr="00000000">
        <w:rPr>
          <w:rtl w:val="0"/>
        </w:rPr>
        <w:t xml:space="preserve">. </w:t>
      </w:r>
    </w:p>
    <w:p w:rsidR="00000000" w:rsidDel="00000000" w:rsidP="00000000" w:rsidRDefault="00000000" w:rsidRPr="00000000" w14:paraId="0000004B">
      <w:pPr>
        <w:pageBreakBefore w:val="0"/>
        <w:ind w:left="0" w:firstLine="0"/>
        <w:rPr/>
      </w:pPr>
      <w:r w:rsidDel="00000000" w:rsidR="00000000" w:rsidRPr="00000000">
        <w:rPr>
          <w:rtl w:val="0"/>
        </w:rPr>
        <w:t xml:space="preserve">Hypha= pl. hyphae. The tubelike thallus of the filamentous fungi. All intricate fungal macrostructures, including mushrooms, are ultimately made up of highly organized hyphal growth. Variously specialized subtypes permit a great variety of form (i.e. skelatal hyphae, binding hyphae, lactiferous hyphae).</w:t>
      </w:r>
    </w:p>
    <w:p w:rsidR="00000000" w:rsidDel="00000000" w:rsidP="00000000" w:rsidRDefault="00000000" w:rsidRPr="00000000" w14:paraId="0000004C">
      <w:pPr>
        <w:pageBreakBefore w:val="0"/>
        <w:ind w:left="0" w:firstLine="0"/>
        <w:rPr/>
      </w:pPr>
      <w:r w:rsidDel="00000000" w:rsidR="00000000" w:rsidRPr="00000000">
        <w:rPr>
          <w:rtl w:val="0"/>
        </w:rPr>
        <w:br w:type="textWrapping"/>
        <w:t xml:space="preserve">Mycelium- The entirety of the hyphae of a single fungal individual. The plural, mycelia, refers to multiple fungal individuals. </w:t>
      </w:r>
    </w:p>
    <w:p w:rsidR="00000000" w:rsidDel="00000000" w:rsidP="00000000" w:rsidRDefault="00000000" w:rsidRPr="00000000" w14:paraId="0000004D">
      <w:pPr>
        <w:pageBreakBefore w:val="0"/>
        <w:ind w:left="0" w:firstLine="0"/>
        <w:rPr/>
      </w:pPr>
      <w:r w:rsidDel="00000000" w:rsidR="00000000" w:rsidRPr="00000000">
        <w:rPr>
          <w:rtl w:val="0"/>
        </w:rPr>
        <w:br w:type="textWrapping"/>
        <w:t xml:space="preserve">Rhizomorph-</w:t>
      </w:r>
    </w:p>
    <w:p w:rsidR="00000000" w:rsidDel="00000000" w:rsidP="00000000" w:rsidRDefault="00000000" w:rsidRPr="00000000" w14:paraId="0000004E">
      <w:pPr>
        <w:pageBreakBefore w:val="0"/>
        <w:ind w:left="0" w:firstLine="0"/>
        <w:rPr/>
      </w:pPr>
      <w:r w:rsidDel="00000000" w:rsidR="00000000" w:rsidRPr="00000000">
        <w:rPr>
          <w:rtl w:val="0"/>
        </w:rPr>
        <w:br w:type="textWrapping"/>
        <w:t xml:space="preserve">Cleistothecium</w:t>
      </w:r>
    </w:p>
    <w:p w:rsidR="00000000" w:rsidDel="00000000" w:rsidP="00000000" w:rsidRDefault="00000000" w:rsidRPr="00000000" w14:paraId="0000004F">
      <w:pPr>
        <w:pageBreakBefore w:val="0"/>
        <w:ind w:left="0" w:firstLine="0"/>
        <w:rPr/>
      </w:pPr>
      <w:r w:rsidDel="00000000" w:rsidR="00000000" w:rsidRPr="00000000">
        <w:rPr>
          <w:rtl w:val="0"/>
        </w:rPr>
        <w:br w:type="textWrapping"/>
        <w:t xml:space="preserve">Scelrotia</w:t>
      </w:r>
    </w:p>
    <w:p w:rsidR="00000000" w:rsidDel="00000000" w:rsidP="00000000" w:rsidRDefault="00000000" w:rsidRPr="00000000" w14:paraId="00000050">
      <w:pPr>
        <w:pageBreakBefore w:val="0"/>
        <w:ind w:left="0" w:firstLine="0"/>
        <w:rPr/>
      </w:pPr>
      <w:r w:rsidDel="00000000" w:rsidR="00000000" w:rsidRPr="00000000">
        <w:rPr>
          <w:rtl w:val="0"/>
        </w:rPr>
        <w:br w:type="textWrapping"/>
        <w:t xml:space="preserve">Dikaryotic- Fungal hyphae containing two types of haploid nuclei of compatible mating types (n+n)</w:t>
      </w:r>
    </w:p>
    <w:p w:rsidR="00000000" w:rsidDel="00000000" w:rsidP="00000000" w:rsidRDefault="00000000" w:rsidRPr="00000000" w14:paraId="00000051">
      <w:pPr>
        <w:pageBreakBefore w:val="0"/>
        <w:ind w:left="0" w:firstLine="0"/>
        <w:rPr/>
      </w:pPr>
      <w:r w:rsidDel="00000000" w:rsidR="00000000" w:rsidRPr="00000000">
        <w:rPr>
          <w:rtl w:val="0"/>
        </w:rPr>
        <w:br w:type="textWrapping"/>
        <w:t xml:space="preserve">Monokaryotic- Fungal hyphae with homogenous nuclei of a single type (1n)</w:t>
      </w:r>
    </w:p>
    <w:p w:rsidR="00000000" w:rsidDel="00000000" w:rsidP="00000000" w:rsidRDefault="00000000" w:rsidRPr="00000000" w14:paraId="00000052">
      <w:pPr>
        <w:pageBreakBefore w:val="0"/>
        <w:ind w:left="0" w:firstLine="0"/>
        <w:rPr/>
      </w:pPr>
      <w:r w:rsidDel="00000000" w:rsidR="00000000" w:rsidRPr="00000000">
        <w:rPr>
          <w:rtl w:val="0"/>
        </w:rPr>
        <w:br w:type="textWrapping"/>
        <w:t xml:space="preserve">Diploid- A cell with a single nucleus containing two complete genomes (2n)</w:t>
      </w:r>
    </w:p>
    <w:p w:rsidR="00000000" w:rsidDel="00000000" w:rsidP="00000000" w:rsidRDefault="00000000" w:rsidRPr="00000000" w14:paraId="00000053">
      <w:pPr>
        <w:pageBreakBefore w:val="0"/>
        <w:ind w:left="0" w:firstLine="0"/>
        <w:rPr/>
      </w:pPr>
      <w:r w:rsidDel="00000000" w:rsidR="00000000" w:rsidRPr="00000000">
        <w:rPr>
          <w:rtl w:val="0"/>
        </w:rPr>
        <w:br w:type="textWrapping"/>
        <w:t xml:space="preserve">Hapliod- A cell containing only one genome (1n)</w:t>
      </w:r>
    </w:p>
    <w:p w:rsidR="00000000" w:rsidDel="00000000" w:rsidP="00000000" w:rsidRDefault="00000000" w:rsidRPr="00000000" w14:paraId="00000054">
      <w:pPr>
        <w:pageBreakBefore w:val="0"/>
        <w:ind w:left="0" w:firstLine="0"/>
        <w:rPr/>
      </w:pPr>
      <w:r w:rsidDel="00000000" w:rsidR="00000000" w:rsidRPr="00000000">
        <w:rPr>
          <w:rtl w:val="0"/>
        </w:rPr>
        <w:br w:type="textWrapping"/>
        <w:t xml:space="preserve">Alternation of generations</w:t>
      </w:r>
    </w:p>
    <w:p w:rsidR="00000000" w:rsidDel="00000000" w:rsidP="00000000" w:rsidRDefault="00000000" w:rsidRPr="00000000" w14:paraId="00000055">
      <w:pPr>
        <w:pageBreakBefore w:val="0"/>
        <w:ind w:left="0" w:firstLine="0"/>
        <w:rPr/>
      </w:pPr>
      <w:r w:rsidDel="00000000" w:rsidR="00000000" w:rsidRPr="00000000">
        <w:rPr>
          <w:rtl w:val="0"/>
        </w:rPr>
        <w:br w:type="textWrapping"/>
        <w:t xml:space="preserve">Karyogamy- The fusion of nuclei within a single cell.</w:t>
      </w:r>
    </w:p>
    <w:p w:rsidR="00000000" w:rsidDel="00000000" w:rsidP="00000000" w:rsidRDefault="00000000" w:rsidRPr="00000000" w14:paraId="00000056">
      <w:pPr>
        <w:pageBreakBefore w:val="0"/>
        <w:ind w:left="0" w:firstLine="0"/>
        <w:rPr/>
      </w:pPr>
      <w:r w:rsidDel="00000000" w:rsidR="00000000" w:rsidRPr="00000000">
        <w:rPr>
          <w:rtl w:val="0"/>
        </w:rPr>
        <w:br w:type="textWrapping"/>
        <w:t xml:space="preserve">Plasmogamy- Cytoplasmic fusion of two cells. </w:t>
      </w:r>
    </w:p>
    <w:p w:rsidR="00000000" w:rsidDel="00000000" w:rsidP="00000000" w:rsidRDefault="00000000" w:rsidRPr="00000000" w14:paraId="00000057">
      <w:pPr>
        <w:pageBreakBefore w:val="0"/>
        <w:ind w:left="0" w:firstLine="0"/>
        <w:rPr/>
      </w:pPr>
      <w:r w:rsidDel="00000000" w:rsidR="00000000" w:rsidRPr="00000000">
        <w:rPr>
          <w:rtl w:val="0"/>
        </w:rPr>
        <w:br w:type="textWrapping"/>
        <w:t xml:space="preserve">Anastomosis</w:t>
      </w:r>
    </w:p>
    <w:p w:rsidR="00000000" w:rsidDel="00000000" w:rsidP="00000000" w:rsidRDefault="00000000" w:rsidRPr="00000000" w14:paraId="00000058">
      <w:pPr>
        <w:pageBreakBefore w:val="0"/>
        <w:ind w:left="0" w:firstLine="0"/>
        <w:rPr/>
      </w:pPr>
      <w:r w:rsidDel="00000000" w:rsidR="00000000" w:rsidRPr="00000000">
        <w:rPr>
          <w:rtl w:val="0"/>
        </w:rPr>
        <w:br w:type="textWrapping"/>
        <w:t xml:space="preserve">Ascogonium </w:t>
        <w:br w:type="textWrapping"/>
        <w:t xml:space="preserve">Cleistothecium</w:t>
        <w:br w:type="textWrapping"/>
        <w:t xml:space="preserve">Chasmothecia</w:t>
        <w:br w:type="textWrapping"/>
        <w:t xml:space="preserve">Rhizosphere</w:t>
        <w:br w:type="textWrapping"/>
        <w:t xml:space="preserve">Phyllosphere-</w:t>
        <w:br w:type="textWrapping"/>
        <w:t xml:space="preserve">Crozier</w:t>
        <w:br w:type="textWrapping"/>
        <w:t xml:space="preserve">Clamp connection</w:t>
        <w:br w:type="textWrapping"/>
        <w:t xml:space="preserve">Pseudoappressoria</w:t>
        <w:br w:type="textWrapping"/>
        <w:t xml:space="preserve">Perithecia</w:t>
      </w:r>
    </w:p>
    <w:p w:rsidR="00000000" w:rsidDel="00000000" w:rsidP="00000000" w:rsidRDefault="00000000" w:rsidRPr="00000000" w14:paraId="00000059">
      <w:pPr>
        <w:pageBreakBefore w:val="0"/>
        <w:ind w:left="0" w:firstLine="0"/>
        <w:rPr/>
      </w:pPr>
      <w:r w:rsidDel="00000000" w:rsidR="00000000" w:rsidRPr="00000000">
        <w:rPr>
          <w:rtl w:val="0"/>
        </w:rPr>
        <w:t xml:space="preserve">Endocytosis</w:t>
      </w:r>
    </w:p>
    <w:p w:rsidR="00000000" w:rsidDel="00000000" w:rsidP="00000000" w:rsidRDefault="00000000" w:rsidRPr="00000000" w14:paraId="0000005A">
      <w:pPr>
        <w:pageBreakBefore w:val="0"/>
        <w:ind w:left="0" w:firstLine="0"/>
        <w:rPr/>
      </w:pPr>
      <w:r w:rsidDel="00000000" w:rsidR="00000000" w:rsidRPr="00000000">
        <w:rPr>
          <w:rtl w:val="0"/>
        </w:rPr>
        <w:t xml:space="preserve">Exocytosis</w:t>
      </w:r>
    </w:p>
    <w:p w:rsidR="00000000" w:rsidDel="00000000" w:rsidP="00000000" w:rsidRDefault="00000000" w:rsidRPr="00000000" w14:paraId="0000005B">
      <w:pPr>
        <w:pageBreakBefore w:val="0"/>
        <w:ind w:left="0" w:firstLine="0"/>
        <w:rPr/>
      </w:pPr>
      <w:r w:rsidDel="00000000" w:rsidR="00000000" w:rsidRPr="00000000">
        <w:rPr>
          <w:rtl w:val="0"/>
        </w:rPr>
        <w:t xml:space="preserve">Hyperplasia</w:t>
      </w:r>
    </w:p>
    <w:p w:rsidR="00000000" w:rsidDel="00000000" w:rsidP="00000000" w:rsidRDefault="00000000" w:rsidRPr="00000000" w14:paraId="0000005C">
      <w:pPr>
        <w:pageBreakBefore w:val="0"/>
        <w:ind w:left="0" w:firstLine="0"/>
        <w:rPr/>
      </w:pPr>
      <w:r w:rsidDel="00000000" w:rsidR="00000000" w:rsidRPr="00000000">
        <w:rPr>
          <w:rtl w:val="0"/>
        </w:rPr>
        <w:t xml:space="preserve">Hypertrophy</w:t>
      </w:r>
    </w:p>
    <w:p w:rsidR="00000000" w:rsidDel="00000000" w:rsidP="00000000" w:rsidRDefault="00000000" w:rsidRPr="00000000" w14:paraId="0000005D">
      <w:pPr>
        <w:pageBreakBefore w:val="0"/>
        <w:ind w:left="0" w:firstLine="0"/>
        <w:rPr/>
      </w:pPr>
      <w:r w:rsidDel="00000000" w:rsidR="00000000" w:rsidRPr="00000000">
        <w:rPr>
          <w:rtl w:val="0"/>
        </w:rPr>
        <w:t xml:space="preserve">Boundary layer -</w:t>
      </w:r>
      <w:r w:rsidDel="00000000" w:rsidR="00000000" w:rsidRPr="00000000">
        <w:rPr>
          <w:rFonts w:ascii="Arial" w:cs="Arial" w:eastAsia="Arial" w:hAnsi="Arial"/>
          <w:color w:val="222222"/>
          <w:highlight w:val="white"/>
          <w:rtl w:val="0"/>
        </w:rPr>
        <w:t xml:space="preserve">a boundary layer is the layer of air (or fluid) in the immediate vicinity of a plant surface, such as a leaf,  where the effects of viscosity are significant. the size and persistence of boundary layer affects a plant in such ways as modulating transpiration, CO2 exchange, and heat transfer. Leaf shape, trichome coverage, and positioning will affect boundry layer size. </w:t>
      </w:r>
      <w:r w:rsidDel="00000000" w:rsidR="00000000" w:rsidRPr="00000000">
        <w:rPr>
          <w:rtl w:val="0"/>
        </w:rPr>
      </w:r>
    </w:p>
    <w:p w:rsidR="00000000" w:rsidDel="00000000" w:rsidP="00000000" w:rsidRDefault="00000000" w:rsidRPr="00000000" w14:paraId="0000005E">
      <w:pPr>
        <w:pageBreakBefore w:val="0"/>
        <w:ind w:left="0" w:firstLine="0"/>
        <w:rPr/>
      </w:pPr>
      <w:r w:rsidDel="00000000" w:rsidR="00000000" w:rsidRPr="00000000">
        <w:rPr>
          <w:rtl w:val="0"/>
        </w:rPr>
        <w:br w:type="textWrapping"/>
        <w:t xml:space="preserve">Cliestothecia- Synonym of Chasmothecia. This older term frequently still appears in the literature. </w:t>
      </w:r>
    </w:p>
    <w:p w:rsidR="00000000" w:rsidDel="00000000" w:rsidP="00000000" w:rsidRDefault="00000000" w:rsidRPr="00000000" w14:paraId="0000005F">
      <w:pPr>
        <w:pageBreakBefore w:val="0"/>
        <w:ind w:left="0" w:firstLine="0"/>
        <w:rPr/>
      </w:pPr>
      <w:r w:rsidDel="00000000" w:rsidR="00000000" w:rsidRPr="00000000">
        <w:rPr>
          <w:rtl w:val="0"/>
        </w:rPr>
        <w:br w:type="textWrapping"/>
        <w:t xml:space="preserve">Fruiting body vs mushroom- A fruiting body may apply to any spore producing structure among both macro- and micro-fungi. The term “mushroom” is usually limited to conspicuous fruiting bodies of Ascomycetes and Basidiomycetes.</w:t>
        <w:br w:type="textWrapping"/>
      </w:r>
    </w:p>
    <w:p w:rsidR="00000000" w:rsidDel="00000000" w:rsidP="00000000" w:rsidRDefault="00000000" w:rsidRPr="00000000" w14:paraId="00000060">
      <w:pPr>
        <w:pageBreakBefore w:val="0"/>
        <w:ind w:left="0" w:firstLine="0"/>
        <w:rPr/>
      </w:pPr>
      <w:r w:rsidDel="00000000" w:rsidR="00000000" w:rsidRPr="00000000">
        <w:rPr>
          <w:rtl w:val="0"/>
        </w:rPr>
      </w:r>
    </w:p>
    <w:p w:rsidR="00000000" w:rsidDel="00000000" w:rsidP="00000000" w:rsidRDefault="00000000" w:rsidRPr="00000000" w14:paraId="00000061">
      <w:pPr>
        <w:pageBreakBefore w:val="0"/>
        <w:ind w:left="0" w:firstLine="0"/>
        <w:rPr/>
      </w:pPr>
      <w:r w:rsidDel="00000000" w:rsidR="00000000" w:rsidRPr="00000000">
        <w:rPr>
          <w:rtl w:val="0"/>
        </w:rPr>
      </w:r>
    </w:p>
    <w:p w:rsidR="00000000" w:rsidDel="00000000" w:rsidP="00000000" w:rsidRDefault="00000000" w:rsidRPr="00000000" w14:paraId="00000062">
      <w:pPr>
        <w:pageBreakBefore w:val="0"/>
        <w:rPr/>
      </w:pPr>
      <w:r w:rsidDel="00000000" w:rsidR="00000000" w:rsidRPr="00000000">
        <w:rPr>
          <w:rtl w:val="0"/>
        </w:rPr>
      </w:r>
    </w:p>
    <w:p w:rsidR="00000000" w:rsidDel="00000000" w:rsidP="00000000" w:rsidRDefault="00000000" w:rsidRPr="00000000" w14:paraId="00000063">
      <w:pPr>
        <w:pageBreakBefore w:val="0"/>
        <w:rPr/>
      </w:pPr>
      <w:r w:rsidDel="00000000" w:rsidR="00000000" w:rsidRPr="00000000">
        <w:rPr>
          <w:rtl w:val="0"/>
        </w:rPr>
      </w:r>
    </w:p>
    <w:p w:rsidR="00000000" w:rsidDel="00000000" w:rsidP="00000000" w:rsidRDefault="00000000" w:rsidRPr="00000000" w14:paraId="00000064">
      <w:pPr>
        <w:pageBreakBefore w:val="0"/>
        <w:rPr/>
      </w:pPr>
      <w:r w:rsidDel="00000000" w:rsidR="00000000" w:rsidRPr="00000000">
        <w:rPr>
          <w:rtl w:val="0"/>
        </w:rPr>
      </w:r>
    </w:p>
    <w:p w:rsidR="00000000" w:rsidDel="00000000" w:rsidP="00000000" w:rsidRDefault="00000000" w:rsidRPr="00000000" w14:paraId="00000065">
      <w:pPr>
        <w:pageBreakBefore w:val="0"/>
        <w:rPr/>
      </w:pPr>
      <w:r w:rsidDel="00000000" w:rsidR="00000000" w:rsidRPr="00000000">
        <w:rPr>
          <w:rtl w:val="0"/>
        </w:rPr>
      </w:r>
    </w:p>
    <w:p w:rsidR="00000000" w:rsidDel="00000000" w:rsidP="00000000" w:rsidRDefault="00000000" w:rsidRPr="00000000" w14:paraId="00000066">
      <w:pPr>
        <w:pageBreakBefore w:val="0"/>
        <w:rPr/>
      </w:pPr>
      <w:r w:rsidDel="00000000" w:rsidR="00000000" w:rsidRPr="00000000">
        <w:rPr>
          <w:rtl w:val="0"/>
        </w:rPr>
      </w:r>
    </w:p>
    <w:p w:rsidR="00000000" w:rsidDel="00000000" w:rsidP="00000000" w:rsidRDefault="00000000" w:rsidRPr="00000000" w14:paraId="00000067">
      <w:pPr>
        <w:pageBreakBefore w:val="0"/>
        <w:ind w:firstLine="72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