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Introduction</w:t>
      </w:r>
    </w:p>
    <w:p w:rsidR="00000000" w:rsidDel="00000000" w:rsidP="00000000" w:rsidRDefault="00000000" w:rsidRPr="00000000" w14:paraId="00000002">
      <w:pPr>
        <w:pageBreakBefore w:val="0"/>
        <w:jc w:val="center"/>
        <w:rPr>
          <w:b w:val="1"/>
        </w:rPr>
      </w:pPr>
      <w:r w:rsidDel="00000000" w:rsidR="00000000" w:rsidRPr="00000000">
        <w:rPr>
          <w:rtl w:val="0"/>
        </w:rPr>
      </w:r>
    </w:p>
    <w:p w:rsidR="00000000" w:rsidDel="00000000" w:rsidP="00000000" w:rsidRDefault="00000000" w:rsidRPr="00000000" w14:paraId="00000003">
      <w:pPr>
        <w:pageBreakBefore w:val="0"/>
        <w:rPr>
          <w:b w:val="1"/>
        </w:rPr>
      </w:pPr>
      <w:r w:rsidDel="00000000" w:rsidR="00000000" w:rsidRPr="00000000">
        <w:rPr>
          <w:b w:val="1"/>
          <w:rtl w:val="0"/>
        </w:rPr>
        <w:t xml:space="preserve">Who this book is for:</w:t>
      </w:r>
    </w:p>
    <w:p w:rsidR="00000000" w:rsidDel="00000000" w:rsidP="00000000" w:rsidRDefault="00000000" w:rsidRPr="00000000" w14:paraId="00000004">
      <w:pPr>
        <w:pageBreakBefore w:val="0"/>
        <w:rPr>
          <w:color w:val="ff0000"/>
        </w:rPr>
      </w:pPr>
      <w:r w:rsidDel="00000000" w:rsidR="00000000" w:rsidRPr="00000000">
        <w:rPr>
          <w:rtl w:val="0"/>
        </w:rPr>
      </w:r>
    </w:p>
    <w:p w:rsidR="00000000" w:rsidDel="00000000" w:rsidP="00000000" w:rsidRDefault="00000000" w:rsidRPr="00000000" w14:paraId="00000005">
      <w:pPr>
        <w:pageBreakBefore w:val="0"/>
        <w:rPr>
          <w:color w:val="ff0000"/>
        </w:rPr>
      </w:pPr>
      <w:r w:rsidDel="00000000" w:rsidR="00000000" w:rsidRPr="00000000">
        <w:rPr>
          <w:rtl w:val="0"/>
        </w:rPr>
      </w:r>
    </w:p>
    <w:p w:rsidR="00000000" w:rsidDel="00000000" w:rsidP="00000000" w:rsidRDefault="00000000" w:rsidRPr="00000000" w14:paraId="00000006">
      <w:pPr>
        <w:pageBreakBefore w:val="0"/>
        <w:spacing w:line="480" w:lineRule="auto"/>
        <w:rPr/>
      </w:pPr>
      <w:r w:rsidDel="00000000" w:rsidR="00000000" w:rsidRPr="00000000">
        <w:rPr>
          <w:rtl w:val="0"/>
        </w:rPr>
        <w:tab/>
        <w:t xml:space="preserve">This book is intended as an introduction for farmers and Cannabis cultivators to fungi, fungal biology, and Cannabis-fungi interactions. Cannabis interacts with fungi in myriad ways throughout its lifecycle and after harvest. Fungal partners provide important benefits to Cannabis plants that improve their growth, survival, and productivity. Unfortunately, the time growers first come to recognize that fungi are living along with their Cannabis crop is when a pathogenic fungi causes a problem. A comprehensive understanding of Cannabis-fungi interactions will help growers encourage the growth of fungi that benefit their crop, while excluding and limiting the damage from those that are detrimental. </w:t>
      </w:r>
    </w:p>
    <w:p w:rsidR="00000000" w:rsidDel="00000000" w:rsidP="00000000" w:rsidRDefault="00000000" w:rsidRPr="00000000" w14:paraId="00000007">
      <w:pPr>
        <w:pageBreakBefore w:val="0"/>
        <w:jc w:val="center"/>
        <w:rPr>
          <w:b w:val="1"/>
        </w:rPr>
      </w:pPr>
      <w:r w:rsidDel="00000000" w:rsidR="00000000" w:rsidRPr="00000000">
        <w:rPr>
          <w:rtl w:val="0"/>
        </w:rPr>
      </w:r>
    </w:p>
    <w:p w:rsidR="00000000" w:rsidDel="00000000" w:rsidP="00000000" w:rsidRDefault="00000000" w:rsidRPr="00000000" w14:paraId="00000008">
      <w:pPr>
        <w:pageBreakBefore w:val="0"/>
        <w:jc w:val="left"/>
        <w:rPr>
          <w:b w:val="1"/>
        </w:rPr>
      </w:pPr>
      <w:r w:rsidDel="00000000" w:rsidR="00000000" w:rsidRPr="00000000">
        <w:rPr>
          <w:b w:val="1"/>
          <w:rtl w:val="0"/>
        </w:rPr>
        <w:t xml:space="preserve">What is Cannabis?</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Table 1. Hierarchical classification of  </w:t>
      </w:r>
      <w:r w:rsidDel="00000000" w:rsidR="00000000" w:rsidRPr="00000000">
        <w:rPr>
          <w:rFonts w:ascii="Times New Roman" w:cs="Times New Roman" w:eastAsia="Times New Roman" w:hAnsi="Times New Roman"/>
          <w:i w:val="1"/>
          <w:rtl w:val="0"/>
        </w:rPr>
        <w:t xml:space="preserve">Cannabis</w:t>
      </w:r>
      <w:r w:rsidDel="00000000" w:rsidR="00000000" w:rsidRPr="00000000">
        <w:rPr>
          <w:rtl w:val="0"/>
        </w:rPr>
      </w:r>
    </w:p>
    <w:tbl>
      <w:tblPr>
        <w:tblStyle w:val="Table1"/>
        <w:tblW w:w="8805.0" w:type="dxa"/>
        <w:jc w:val="left"/>
        <w:tblInd w:w="-100.0" w:type="dxa"/>
        <w:tblLayout w:type="fixed"/>
        <w:tblLook w:val="0400"/>
      </w:tblPr>
      <w:tblGrid>
        <w:gridCol w:w="1380"/>
        <w:gridCol w:w="7425"/>
        <w:tblGridChange w:id="0">
          <w:tblGrid>
            <w:gridCol w:w="1380"/>
            <w:gridCol w:w="74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Unranked clade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Anthophyta (</w:t>
            </w:r>
            <w:r w:rsidDel="00000000" w:rsidR="00000000" w:rsidRPr="00000000">
              <w:rPr>
                <w:color w:val="202122"/>
                <w:highlight w:val="white"/>
                <w:rtl w:val="0"/>
              </w:rPr>
              <w:t xml:space="preserve">Angiospermae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Unranked clade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Eudicot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Cannabaceae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Cannabis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pageBreakBefore w:val="0"/>
              <w:spacing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Cannabis sativa, Cannabis sativa </w:t>
            </w:r>
            <w:r w:rsidDel="00000000" w:rsidR="00000000" w:rsidRPr="00000000">
              <w:rPr>
                <w:rFonts w:ascii="Times New Roman" w:cs="Times New Roman" w:eastAsia="Times New Roman" w:hAnsi="Times New Roman"/>
                <w:rtl w:val="0"/>
              </w:rPr>
              <w:t xml:space="preserve">sub. </w:t>
            </w:r>
            <w:r w:rsidDel="00000000" w:rsidR="00000000" w:rsidRPr="00000000">
              <w:rPr>
                <w:rFonts w:ascii="Times New Roman" w:cs="Times New Roman" w:eastAsia="Times New Roman" w:hAnsi="Times New Roman"/>
                <w:i w:val="1"/>
                <w:rtl w:val="0"/>
              </w:rPr>
              <w:t xml:space="preserve">indica</w:t>
            </w:r>
            <w:r w:rsidDel="00000000" w:rsidR="00000000" w:rsidRPr="00000000">
              <w:rPr>
                <w:rFonts w:ascii="Times New Roman" w:cs="Times New Roman" w:eastAsia="Times New Roman" w:hAnsi="Times New Roman"/>
                <w:rtl w:val="0"/>
              </w:rPr>
              <w:t xml:space="preserve"> var.</w:t>
            </w:r>
            <w:r w:rsidDel="00000000" w:rsidR="00000000" w:rsidRPr="00000000">
              <w:rPr>
                <w:rFonts w:ascii="Times New Roman" w:cs="Times New Roman" w:eastAsia="Times New Roman" w:hAnsi="Times New Roman"/>
                <w:i w:val="1"/>
                <w:rtl w:val="0"/>
              </w:rPr>
              <w:t xml:space="preserve"> afghanica </w:t>
            </w:r>
            <w:r w:rsidDel="00000000" w:rsidR="00000000" w:rsidRPr="00000000">
              <w:rPr>
                <w:rFonts w:ascii="Times New Roman" w:cs="Times New Roman" w:eastAsia="Times New Roman" w:hAnsi="Times New Roman"/>
                <w:rtl w:val="0"/>
              </w:rPr>
              <w:t xml:space="preserve">(“Indica”)</w:t>
            </w:r>
            <w:r w:rsidDel="00000000" w:rsidR="00000000" w:rsidRPr="00000000">
              <w:rPr>
                <w:rFonts w:ascii="Times New Roman" w:cs="Times New Roman" w:eastAsia="Times New Roman" w:hAnsi="Times New Roman"/>
                <w:i w:val="1"/>
                <w:rtl w:val="0"/>
              </w:rPr>
              <w:t xml:space="preserve">,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(“Sativa”)</w:t>
            </w:r>
            <w:r w:rsidDel="00000000" w:rsidR="00000000" w:rsidRPr="00000000">
              <w:rPr>
                <w:rFonts w:ascii="Times New Roman" w:cs="Times New Roman" w:eastAsia="Times New Roman" w:hAnsi="Times New Roman"/>
                <w:i w:val="1"/>
                <w:rtl w:val="0"/>
              </w:rPr>
              <w:t xml:space="preserve">,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ruderalis </w:t>
            </w:r>
            <w:r w:rsidDel="00000000" w:rsidR="00000000" w:rsidRPr="00000000">
              <w:rPr>
                <w:rFonts w:ascii="Times New Roman" w:cs="Times New Roman" w:eastAsia="Times New Roman" w:hAnsi="Times New Roman"/>
                <w:rtl w:val="0"/>
              </w:rPr>
              <w:t xml:space="preserve">(“Ruderalis”), </w:t>
            </w:r>
            <w:r w:rsidDel="00000000" w:rsidR="00000000" w:rsidRPr="00000000">
              <w:rPr>
                <w:rFonts w:ascii="Times New Roman" w:cs="Times New Roman" w:eastAsia="Times New Roman" w:hAnsi="Times New Roman"/>
                <w:i w:val="1"/>
                <w:rtl w:val="0"/>
              </w:rPr>
              <w:t xml:space="preserve">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himalayensis, Cannabis sativa </w:t>
            </w:r>
            <w:r w:rsidDel="00000000" w:rsidR="00000000" w:rsidRPr="00000000">
              <w:rPr>
                <w:rFonts w:ascii="Times New Roman" w:cs="Times New Roman" w:eastAsia="Times New Roman" w:hAnsi="Times New Roman"/>
                <w:rtl w:val="0"/>
              </w:rPr>
              <w:t xml:space="preserve">sub</w:t>
            </w:r>
            <w:r w:rsidDel="00000000" w:rsidR="00000000" w:rsidRPr="00000000">
              <w:rPr>
                <w:rFonts w:ascii="Times New Roman" w:cs="Times New Roman" w:eastAsia="Times New Roman" w:hAnsi="Times New Roman"/>
                <w:i w:val="1"/>
                <w:rtl w:val="0"/>
              </w:rPr>
              <w:t xml:space="preserve">. indica </w:t>
            </w:r>
            <w:r w:rsidDel="00000000" w:rsidR="00000000" w:rsidRPr="00000000">
              <w:rPr>
                <w:rFonts w:ascii="Times New Roman" w:cs="Times New Roman" w:eastAsia="Times New Roman" w:hAnsi="Times New Roman"/>
                <w:rtl w:val="0"/>
              </w:rPr>
              <w:t xml:space="preserve">var</w:t>
            </w:r>
            <w:r w:rsidDel="00000000" w:rsidR="00000000" w:rsidRPr="00000000">
              <w:rPr>
                <w:rFonts w:ascii="Times New Roman" w:cs="Times New Roman" w:eastAsia="Times New Roman" w:hAnsi="Times New Roman"/>
                <w:i w:val="1"/>
                <w:rtl w:val="0"/>
              </w:rPr>
              <w:t xml:space="preserve">. asperrima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Marijuana, pot, bahng, ganja, tea, mary jane, mota, electric/devils lettuce, dagga, má, wacky tobacco, weed, herb, chronic, hydro...</w:t>
            </w:r>
            <w:r w:rsidDel="00000000" w:rsidR="00000000" w:rsidRPr="00000000">
              <w:rPr>
                <w:rtl w:val="0"/>
              </w:rPr>
            </w:r>
          </w:p>
        </w:tc>
      </w:tr>
    </w:tbl>
    <w:p w:rsidR="00000000" w:rsidDel="00000000" w:rsidP="00000000" w:rsidRDefault="00000000" w:rsidRPr="00000000" w14:paraId="0000001C">
      <w:pPr>
        <w:pageBreakBefore w:val="0"/>
        <w:spacing w:line="480" w:lineRule="auto"/>
        <w:rPr/>
      </w:pPr>
      <w:r w:rsidDel="00000000" w:rsidR="00000000" w:rsidRPr="00000000">
        <w:rPr>
          <w:rtl w:val="0"/>
        </w:rPr>
      </w:r>
    </w:p>
    <w:p w:rsidR="00000000" w:rsidDel="00000000" w:rsidP="00000000" w:rsidRDefault="00000000" w:rsidRPr="00000000" w14:paraId="0000001D">
      <w:pPr>
        <w:pageBreakBefore w:val="0"/>
        <w:rPr>
          <w:b w:val="1"/>
        </w:rPr>
      </w:pPr>
      <w:r w:rsidDel="00000000" w:rsidR="00000000" w:rsidRPr="00000000">
        <w:rPr>
          <w:rtl w:val="0"/>
        </w:rPr>
      </w:r>
    </w:p>
    <w:p w:rsidR="00000000" w:rsidDel="00000000" w:rsidP="00000000" w:rsidRDefault="00000000" w:rsidRPr="00000000" w14:paraId="0000001E">
      <w:pPr>
        <w:pageBreakBefore w:val="0"/>
        <w:rPr>
          <w:b w:val="1"/>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Cannabis as a species</w:t>
      </w:r>
    </w:p>
    <w:p w:rsidR="00000000" w:rsidDel="00000000" w:rsidP="00000000" w:rsidRDefault="00000000" w:rsidRPr="00000000" w14:paraId="00000020">
      <w:pPr>
        <w:pageBreakBefore w:val="0"/>
        <w:rPr/>
      </w:pPr>
      <w:r w:rsidDel="00000000" w:rsidR="00000000" w:rsidRPr="00000000">
        <w:rPr>
          <w:rtl w:val="0"/>
        </w:rPr>
        <w:tab/>
        <w:t xml:space="preserve">Cannabis is a flowering plant (Angiospermae a.k.a. Magnoliophyta) that has a long history of human </w:t>
      </w:r>
      <w:commentRangeStart w:id="0"/>
      <w:r w:rsidDel="00000000" w:rsidR="00000000" w:rsidRPr="00000000">
        <w:rPr>
          <w:rtl w:val="0"/>
        </w:rPr>
        <w:t xml:space="preserve">use</w:t>
      </w:r>
      <w:commentRangeEnd w:id="0"/>
      <w:r w:rsidDel="00000000" w:rsidR="00000000" w:rsidRPr="00000000">
        <w:commentReference w:id="0"/>
      </w:r>
      <w:r w:rsidDel="00000000" w:rsidR="00000000" w:rsidRPr="00000000">
        <w:rPr>
          <w:rtl w:val="0"/>
        </w:rPr>
        <w:t xml:space="preserve"> as a food, medicine, and inebriant. Usually distinct male and female plants bear flowers of only one sex (dioecious, meaning two houses). However, individual plants that bear both flower sexes (monecious, meaning one house) are relatively common. Consistently monecious varieties have been developed for agricultural use as fiber and crop seed cultivars. Cannabis is wind pollinated (though insect mediated transfers may play a minor role in pollination). Male plants prolifically produce pollen capable of surviving on air currents for many miles. </w:t>
      </w:r>
    </w:p>
    <w:p w:rsidR="00000000" w:rsidDel="00000000" w:rsidP="00000000" w:rsidRDefault="00000000" w:rsidRPr="00000000" w14:paraId="00000021">
      <w:pPr>
        <w:pageBreakBefore w:val="0"/>
        <w:rPr/>
      </w:pPr>
      <w:r w:rsidDel="00000000" w:rsidR="00000000" w:rsidRPr="00000000">
        <w:rPr>
          <w:rtl w:val="0"/>
        </w:rPr>
        <w:tab/>
        <w:t xml:space="preserve">Cannabis is a eudicot, meaning it is a member of a cohesive clade of plants that characteristically emerge from their seed with two cotyledons, a specialized embryonic leaf that is the first to grow. The leaves of Cannabis are most often palmately compound, oppositely arranged on the stem of young plants, changing to alternate as the plant matures. The flowers occur on compound inflorescences (panicales) and are much reduced, with the only visible portion being the two receptive stigmas on the pistil of each flower. The bracts and bracteoles (known incorrectly as the “calyx”) are specialized leaves of the inflorescence that bear resin rich, glandular trichomes.  These trichomes are where the majority of cannabinoids are concentrated within the plant. The </w:t>
      </w:r>
      <w:commentRangeStart w:id="1"/>
      <w:r w:rsidDel="00000000" w:rsidR="00000000" w:rsidRPr="00000000">
        <w:rPr>
          <w:rtl w:val="0"/>
        </w:rPr>
        <w:t xml:space="preserve">calyx</w:t>
      </w:r>
      <w:commentRangeEnd w:id="1"/>
      <w:r w:rsidDel="00000000" w:rsidR="00000000" w:rsidRPr="00000000">
        <w:commentReference w:id="1"/>
      </w:r>
      <w:r w:rsidDel="00000000" w:rsidR="00000000" w:rsidRPr="00000000">
        <w:rPr>
          <w:rtl w:val="0"/>
        </w:rPr>
        <w:t xml:space="preserve">, the fused ring comprising the flower petals, is an inconspicuous membranous ring adherent to the </w:t>
      </w:r>
      <w:r w:rsidDel="00000000" w:rsidR="00000000" w:rsidRPr="00000000">
        <w:rPr>
          <w:rtl w:val="0"/>
        </w:rPr>
        <w:t xml:space="preserve">fruit</w:t>
      </w:r>
      <w:r w:rsidDel="00000000" w:rsidR="00000000" w:rsidRPr="00000000">
        <w:rPr>
          <w:rtl w:val="0"/>
        </w:rPr>
        <w:t xml:space="preserve">, sometimes this adheres to, and can be rubbed off of mature seed. The fruit is classified as an achene or nut (Cronquist and </w:t>
      </w:r>
      <w:commentRangeStart w:id="2"/>
      <w:r w:rsidDel="00000000" w:rsidR="00000000" w:rsidRPr="00000000">
        <w:rPr>
          <w:rtl w:val="0"/>
        </w:rPr>
        <w:t xml:space="preserve">Takhtadzhi︠a︡n</w:t>
      </w:r>
      <w:commentRangeEnd w:id="2"/>
      <w:r w:rsidDel="00000000" w:rsidR="00000000" w:rsidRPr="00000000">
        <w:commentReference w:id="2"/>
      </w:r>
      <w:r w:rsidDel="00000000" w:rsidR="00000000" w:rsidRPr="00000000">
        <w:rPr>
          <w:rtl w:val="0"/>
        </w:rPr>
        <w:t xml:space="preserve">, 1981)  The two stigmas, the receptive parts of each pistil, arise from two fused carpels that together form a unilocular ovary.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rPr>
      </w:pPr>
      <w:r w:rsidDel="00000000" w:rsidR="00000000" w:rsidRPr="00000000">
        <w:rPr>
          <w:rtl w:val="0"/>
        </w:rPr>
      </w:r>
    </w:p>
    <w:p w:rsidR="00000000" w:rsidDel="00000000" w:rsidP="00000000" w:rsidRDefault="00000000" w:rsidRPr="00000000" w14:paraId="00000024">
      <w:pPr>
        <w:pageBreakBefore w:val="0"/>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2-12-13T21:51:33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references from "diclinism in canndabis"</w:t>
      </w:r>
    </w:p>
  </w:comment>
  <w:comment w:author="Brandon Potter" w:id="2" w:date="2020-07-17T03:55:43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https://www.google.com/books/edition/An_Integrated_System_of_Classification_o/EB6qflbmcrwC?hl=en&amp;gbpv=0</w:t>
      </w:r>
    </w:p>
  </w:comment>
  <w:comment w:author="Brandon Potter" w:id="0" w:date="2020-07-09T01:19:03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 chinese use paper, iseal use paper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