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Entomopathogenic and Predacious Fungi</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jc w:val="center"/>
        <w:rPr>
          <w:b w:val="1"/>
        </w:rPr>
      </w:pPr>
      <w:sdt>
        <w:sdtPr>
          <w:tag w:val="goog_rdk_0"/>
        </w:sdtPr>
        <w:sdtContent>
          <w:commentRangeStart w:id="0"/>
        </w:sdtContent>
      </w:sdt>
      <w:r w:rsidDel="00000000" w:rsidR="00000000" w:rsidRPr="00000000">
        <w:rPr/>
        <w:drawing>
          <wp:inline distB="114300" distT="114300" distL="114300" distR="114300">
            <wp:extent cx="2057400" cy="127635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57400" cy="127635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Figure 10.1 Nematophagous fungus </w:t>
      </w:r>
      <w:r w:rsidDel="00000000" w:rsidR="00000000" w:rsidRPr="00000000">
        <w:rPr>
          <w:rFonts w:ascii="Times New Roman" w:cs="Times New Roman" w:eastAsia="Times New Roman" w:hAnsi="Times New Roman"/>
          <w:i w:val="1"/>
          <w:sz w:val="24"/>
          <w:szCs w:val="24"/>
          <w:rtl w:val="0"/>
        </w:rPr>
        <w:t xml:space="preserve">Arthrobotrys oligospora </w:t>
      </w:r>
      <w:r w:rsidDel="00000000" w:rsidR="00000000" w:rsidRPr="00000000">
        <w:rPr>
          <w:rFonts w:ascii="Times New Roman" w:cs="Times New Roman" w:eastAsia="Times New Roman" w:hAnsi="Times New Roman"/>
          <w:sz w:val="24"/>
          <w:szCs w:val="24"/>
          <w:rtl w:val="0"/>
        </w:rPr>
        <w:t xml:space="preserve">trapping a nematode in hyphal loop.</w:t>
      </w:r>
      <w:r w:rsidDel="00000000" w:rsidR="00000000" w:rsidRPr="00000000">
        <w:rPr>
          <w:rtl w:val="0"/>
        </w:rPr>
      </w:r>
    </w:p>
    <w:p w:rsidR="00000000" w:rsidDel="00000000" w:rsidP="00000000" w:rsidRDefault="00000000" w:rsidRPr="00000000" w14:paraId="00000007">
      <w:pPr>
        <w:pageBreakBefore w:val="0"/>
        <w:jc w:val="center"/>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w:t>
      </w:r>
    </w:p>
    <w:p w:rsidR="00000000" w:rsidDel="00000000" w:rsidP="00000000" w:rsidRDefault="00000000" w:rsidRPr="00000000" w14:paraId="00000009">
      <w:pPr>
        <w:pageBreakBefore w:val="0"/>
        <w:spacing w:line="480" w:lineRule="auto"/>
        <w:ind w:firstLine="720"/>
        <w:jc w:val="center"/>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2652713" cy="1989534"/>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52713" cy="19895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spacing w:line="240" w:lineRule="auto"/>
        <w:ind w:left="0" w:firstLine="0"/>
        <w:rPr>
          <w:color w:val="333333"/>
          <w:sz w:val="21"/>
          <w:szCs w:val="21"/>
          <w:highlight w:val="white"/>
        </w:rPr>
      </w:pPr>
      <w:r w:rsidDel="00000000" w:rsidR="00000000" w:rsidRPr="00000000">
        <w:rPr>
          <w:color w:val="333333"/>
          <w:sz w:val="21"/>
          <w:szCs w:val="21"/>
          <w:highlight w:val="white"/>
          <w:rtl w:val="0"/>
        </w:rPr>
        <w:t xml:space="preserve">Fig 10.2.XXX. Ampelomyces quisqualis growing on powdery mildew infecting a pumpkin leaf, The white mycelium is the powdery mildew; the brown structures are A. quisqualis pycnidia. Paul Bachi, University of Kentucky Research and Education Center.</w:t>
      </w:r>
    </w:p>
    <w:p w:rsidR="00000000" w:rsidDel="00000000" w:rsidP="00000000" w:rsidRDefault="00000000" w:rsidRPr="00000000" w14:paraId="0000000B">
      <w:pPr>
        <w:pageBreakBefore w:val="0"/>
        <w:spacing w:line="480" w:lineRule="auto"/>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D">
      <w:pPr>
        <w:pageBreakBefore w:val="0"/>
        <w:spacing w:line="480" w:lineRule="auto"/>
        <w:ind w:firstLine="720"/>
        <w:jc w:val="center"/>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sz w:val="24"/>
          <w:szCs w:val="24"/>
        </w:rPr>
        <w:drawing>
          <wp:inline distB="114300" distT="114300" distL="114300" distR="114300">
            <wp:extent cx="2992629" cy="2614613"/>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92629" cy="261461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10.3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fruiting body produced out of the head of mummified insect larvae.</w:t>
      </w:r>
    </w:p>
    <w:p w:rsidR="00000000" w:rsidDel="00000000" w:rsidP="00000000" w:rsidRDefault="00000000" w:rsidRPr="00000000" w14:paraId="0000000F">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1">
      <w:pPr>
        <w:pageBreakBefore w:val="0"/>
        <w:spacing w:line="480" w:lineRule="auto"/>
        <w:ind w:firstLine="720"/>
        <w:rPr>
          <w:i w:val="1"/>
          <w:color w:val="202122"/>
          <w:sz w:val="21"/>
          <w:szCs w:val="21"/>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i w:val="1"/>
          <w:color w:val="202122"/>
          <w:sz w:val="21"/>
          <w:szCs w:val="21"/>
          <w:highlight w:val="white"/>
          <w:rtl w:val="0"/>
        </w:rPr>
        <w:t xml:space="preserve">Purpureocillium</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lilacinum</w:t>
      </w:r>
      <w:r w:rsidDel="00000000" w:rsidR="00000000" w:rsidRPr="00000000">
        <w:rPr>
          <w:color w:val="202122"/>
          <w:sz w:val="21"/>
          <w:szCs w:val="21"/>
          <w:highlight w:val="white"/>
          <w:rtl w:val="0"/>
        </w:rPr>
        <w:t xml:space="preserve">, has been found as a common species occurring on California dispensary </w:t>
      </w:r>
      <w:r w:rsidDel="00000000" w:rsidR="00000000" w:rsidRPr="00000000">
        <w:rPr>
          <w:i w:val="1"/>
          <w:color w:val="202122"/>
          <w:sz w:val="21"/>
          <w:szCs w:val="21"/>
          <w:highlight w:val="white"/>
          <w:rtl w:val="0"/>
        </w:rPr>
        <w:t xml:space="preserve">Cannabis</w:t>
      </w:r>
      <w:r w:rsidDel="00000000" w:rsidR="00000000" w:rsidRPr="00000000">
        <w:rPr>
          <w:color w:val="202122"/>
          <w:sz w:val="21"/>
          <w:szCs w:val="21"/>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i w:val="1"/>
          <w:color w:val="202122"/>
          <w:sz w:val="21"/>
          <w:szCs w:val="21"/>
          <w:highlight w:val="white"/>
          <w:rtl w:val="0"/>
        </w:rPr>
        <w:t xml:space="preserve">Russula</w:t>
      </w:r>
      <w:r w:rsidDel="00000000" w:rsidR="00000000" w:rsidRPr="00000000">
        <w:rPr>
          <w:color w:val="202122"/>
          <w:sz w:val="21"/>
          <w:szCs w:val="21"/>
          <w:highlight w:val="white"/>
          <w:rtl w:val="0"/>
        </w:rPr>
        <w:t xml:space="preserve"> or </w:t>
      </w:r>
      <w:r w:rsidDel="00000000" w:rsidR="00000000" w:rsidRPr="00000000">
        <w:rPr>
          <w:i w:val="1"/>
          <w:color w:val="202122"/>
          <w:sz w:val="21"/>
          <w:szCs w:val="21"/>
          <w:highlight w:val="white"/>
          <w:rtl w:val="0"/>
        </w:rPr>
        <w:t xml:space="preserve">Lactifluus</w:t>
      </w:r>
      <w:r w:rsidDel="00000000" w:rsidR="00000000" w:rsidRPr="00000000">
        <w:rPr>
          <w:color w:val="202122"/>
          <w:sz w:val="21"/>
          <w:szCs w:val="21"/>
          <w:highlight w:val="white"/>
          <w:rtl w:val="0"/>
        </w:rPr>
        <w:t xml:space="preserve"> parasitized by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 </w:t>
      </w:r>
    </w:p>
    <w:p w:rsidR="00000000" w:rsidDel="00000000" w:rsidP="00000000" w:rsidRDefault="00000000" w:rsidRPr="00000000" w14:paraId="00000012">
      <w:pPr>
        <w:pageBreakBefore w:val="0"/>
        <w:spacing w:line="480" w:lineRule="auto"/>
        <w:ind w:firstLine="720"/>
        <w:rPr>
          <w:i w:val="1"/>
          <w:color w:val="202122"/>
          <w:sz w:val="21"/>
          <w:szCs w:val="21"/>
          <w:highlight w:val="white"/>
        </w:rPr>
      </w:pPr>
      <w:r w:rsidDel="00000000" w:rsidR="00000000" w:rsidRPr="00000000">
        <w:rPr>
          <w:rtl w:val="0"/>
        </w:rPr>
      </w:r>
    </w:p>
    <w:p w:rsidR="00000000" w:rsidDel="00000000" w:rsidP="00000000" w:rsidRDefault="00000000" w:rsidRPr="00000000" w14:paraId="00000013">
      <w:pPr>
        <w:pageBreakBefore w:val="0"/>
        <w:spacing w:line="480" w:lineRule="auto"/>
        <w:ind w:hanging="720"/>
        <w:jc w:val="center"/>
        <w:rPr>
          <w:i w:val="1"/>
          <w:color w:val="202122"/>
          <w:sz w:val="21"/>
          <w:szCs w:val="21"/>
          <w:highlight w:val="white"/>
        </w:rPr>
      </w:pPr>
      <w:r w:rsidDel="00000000" w:rsidR="00000000" w:rsidRPr="00000000">
        <w:rPr>
          <w:i w:val="1"/>
          <w:color w:val="202122"/>
          <w:sz w:val="21"/>
          <w:szCs w:val="21"/>
          <w:highlight w:val="white"/>
        </w:rPr>
        <w:drawing>
          <wp:inline distB="114300" distT="114300" distL="114300" distR="114300">
            <wp:extent cx="4096373" cy="4457700"/>
            <wp:effectExtent b="0" l="0" r="0" t="0"/>
            <wp:docPr id="17" name="image1.jpg"/>
            <a:graphic>
              <a:graphicData uri="http://schemas.openxmlformats.org/drawingml/2006/picture">
                <pic:pic>
                  <pic:nvPicPr>
                    <pic:cNvPr id="0" name="image1.jpg"/>
                    <pic:cNvPicPr preferRelativeResize="0"/>
                  </pic:nvPicPr>
                  <pic:blipFill>
                    <a:blip r:embed="rId12"/>
                    <a:srcRect b="0" l="25827" r="5211" t="0"/>
                    <a:stretch>
                      <a:fillRect/>
                    </a:stretch>
                  </pic:blipFill>
                  <pic:spPr>
                    <a:xfrm rot="16200000">
                      <a:off x="0" y="0"/>
                      <a:ext cx="4096373"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line="480" w:lineRule="auto"/>
        <w:ind w:left="0" w:firstLine="0"/>
        <w:rPr>
          <w:color w:val="202122"/>
          <w:sz w:val="21"/>
          <w:szCs w:val="21"/>
          <w:highlight w:val="white"/>
        </w:rPr>
      </w:pPr>
      <w:r w:rsidDel="00000000" w:rsidR="00000000" w:rsidRPr="00000000">
        <w:rPr>
          <w:color w:val="202122"/>
          <w:sz w:val="21"/>
          <w:szCs w:val="21"/>
          <w:highlight w:val="white"/>
          <w:rtl w:val="0"/>
        </w:rPr>
        <w:t xml:space="preserve">FIgure 10.4. A “lobster mushroom” is actually a gilled mushroom of Russula or Lactifluus covered by a thin coating of the parasite,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w:t>
      </w:r>
      <w:r w:rsidDel="00000000" w:rsidR="00000000" w:rsidRPr="00000000">
        <w:rPr>
          <w:color w:val="202122"/>
          <w:sz w:val="21"/>
          <w:szCs w:val="21"/>
          <w:highlight w:val="white"/>
          <w:rtl w:val="0"/>
        </w:rPr>
        <w:t xml:space="preserve">. </w:t>
      </w:r>
    </w:p>
    <w:p w:rsidR="00000000" w:rsidDel="00000000" w:rsidP="00000000" w:rsidRDefault="00000000" w:rsidRPr="00000000" w14:paraId="0000001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w:t>
      </w: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spores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6) Production of sporulating structure outside of mummified insect body (</w:t>
      </w:r>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Zimmerman</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1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7">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10.2.x Commercially available biocontrol fungi that can act as bioinsecticides include </w:t>
      </w: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20">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2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w:t>
      </w:r>
    </w:p>
    <w:p w:rsidR="00000000" w:rsidDel="00000000" w:rsidP="00000000" w:rsidRDefault="00000000" w:rsidRPr="00000000" w14:paraId="00000024">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2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2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7">
      <w:pPr>
        <w:pageBreakBefore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4406812"/>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52850" cy="440681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10.5 Examples of different types of traps that various fungi employ to lure and capture nematodes in soil. (Kumar 2017).</w:t>
      </w:r>
    </w:p>
    <w:p w:rsidR="00000000" w:rsidDel="00000000" w:rsidP="00000000" w:rsidRDefault="00000000" w:rsidRPr="00000000" w14:paraId="00000029">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w:t>
      </w:r>
      <w:sdt>
        <w:sdtPr>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process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Certain soil fungi can metabolize nitrate and release nitrous gas in low oxygen environments (Hayatsu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B">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1-11-01T21:36:33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internally?</w:t>
      </w:r>
    </w:p>
  </w:comment>
  <w:comment w:author="Brandon Potter" w:id="1" w:date="2021-11-01T20:25:59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3" w:date="2021-11-01T20:44:42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would be a cool figure if we can find or make one</w:t>
      </w:r>
    </w:p>
  </w:comment>
  <w:comment w:author="Brandon Potter" w:id="4" w:date="2021-11-01T22:27:26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Nitrogen cycle figure from UWLAX bio lectures here</w:t>
      </w:r>
    </w:p>
  </w:comment>
  <w:comment w:author="Brandon Potter" w:id="0" w:date="2021-11-01T20:10:51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source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F" w15:done="0"/>
  <w15:commentEx w15:paraId="00000030" w15:done="0"/>
  <w15:commentEx w15:paraId="00000031" w15:done="0"/>
  <w15:commentEx w15:paraId="00000032" w15:done="0"/>
  <w15:commentEx w15:paraId="000000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T8EymcAqQpPuCT6JNMjXgj0MA==">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