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Hemp Canker</w:t>
      </w:r>
      <w:r w:rsidDel="00000000" w:rsidR="00000000" w:rsidRPr="00000000">
        <w:rPr>
          <w:rtl w:val="0"/>
        </w:rPr>
      </w:r>
    </w:p>
    <w:p w:rsidR="00000000" w:rsidDel="00000000" w:rsidP="00000000" w:rsidRDefault="00000000" w:rsidRPr="00000000" w14:paraId="00000002">
      <w:pPr>
        <w:pageBreakBefore w:val="0"/>
        <w:spacing w:after="240" w:line="480" w:lineRule="auto"/>
        <w:rPr/>
      </w:pPr>
      <w:r w:rsidDel="00000000" w:rsidR="00000000" w:rsidRPr="00000000">
        <w:rPr>
          <w:rtl w:val="0"/>
        </w:rPr>
      </w:r>
    </w:p>
    <w:tbl>
      <w:tblPr>
        <w:tblStyle w:val="Table1"/>
        <w:tblW w:w="9340.0" w:type="dxa"/>
        <w:jc w:val="left"/>
        <w:tblInd w:w="-100.0" w:type="dxa"/>
        <w:tblLayout w:type="fixed"/>
        <w:tblLook w:val="0400"/>
      </w:tblPr>
      <w:tblGrid>
        <w:gridCol w:w="1137"/>
        <w:gridCol w:w="1425"/>
        <w:gridCol w:w="1824"/>
        <w:gridCol w:w="1824"/>
        <w:gridCol w:w="1585"/>
        <w:gridCol w:w="1545"/>
        <w:tblGridChange w:id="0">
          <w:tblGrid>
            <w:gridCol w:w="1137"/>
            <w:gridCol w:w="1425"/>
            <w:gridCol w:w="1824"/>
            <w:gridCol w:w="1824"/>
            <w:gridCol w:w="1585"/>
            <w:gridCol w:w="15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Capnodiales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Davidiellaceae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Ascochyta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Cladosporium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sclerotiorum &amp;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cannabis, P. exigua, P. glomerata, P. herbarum, P. piskorzii, P. nebulosa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A. </w:t>
            </w:r>
            <w:r w:rsidDel="00000000" w:rsidR="00000000" w:rsidRPr="00000000">
              <w:rPr>
                <w:rFonts w:ascii="Arial" w:cs="Arial" w:eastAsia="Arial" w:hAnsi="Arial"/>
                <w:i w:val="1"/>
                <w:color w:val="333333"/>
                <w:sz w:val="21"/>
                <w:szCs w:val="21"/>
                <w:highlight w:val="white"/>
                <w:rtl w:val="0"/>
              </w:rPr>
              <w:t xml:space="preserve">c</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annabina, A. arcuata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C. herbarum, C. resinae, C. tenuissiumum, C. cladosporioides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sulphureum, F. avenaceum, F. sulphurem, F. graminearum.</w:t>
            </w:r>
            <w:r w:rsidDel="00000000" w:rsidR="00000000" w:rsidRPr="00000000">
              <w:rPr>
                <w:rtl w:val="0"/>
              </w:rPr>
            </w:r>
          </w:p>
        </w:tc>
      </w:tr>
    </w:tbl>
    <w:p w:rsidR="00000000" w:rsidDel="00000000" w:rsidP="00000000" w:rsidRDefault="00000000" w:rsidRPr="00000000" w14:paraId="0000002D">
      <w:pPr>
        <w:pageBreakBefore w:val="0"/>
        <w:spacing w:line="48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00300" cy="2561788"/>
            <wp:effectExtent b="0" l="0" r="0" t="0"/>
            <wp:docPr descr="https://lh4.googleusercontent.com/r7YMM8O4elNiGiRwuFVq4W2j3XWyLF6O2BVlMhUz0rnUuNruJrWUKcXw5aNuq7er_1QcJjYxdctxiChzJz1GbabX_9PoWMAdSBH017vAmp5gPnOjpt8vTTFWmKe2npDzjIGV-1FT" id="16" name="image2.png"/>
            <a:graphic>
              <a:graphicData uri="http://schemas.openxmlformats.org/drawingml/2006/picture">
                <pic:pic>
                  <pic:nvPicPr>
                    <pic:cNvPr descr="https://lh4.googleusercontent.com/r7YMM8O4elNiGiRwuFVq4W2j3XWyLF6O2BVlMhUz0rnUuNruJrWUKcXw5aNuq7er_1QcJjYxdctxiChzJz1GbabX_9PoWMAdSBH017vAmp5gPnOjpt8vTTFWmKe2npDzjIGV-1FT" id="0" name="image2.png"/>
                    <pic:cNvPicPr preferRelativeResize="0"/>
                  </pic:nvPicPr>
                  <pic:blipFill>
                    <a:blip r:embed="rId7"/>
                    <a:srcRect b="0" l="0" r="0" t="0"/>
                    <a:stretch>
                      <a:fillRect/>
                    </a:stretch>
                  </pic:blipFill>
                  <pic:spPr>
                    <a:xfrm>
                      <a:off x="0" y="0"/>
                      <a:ext cx="2400300" cy="25617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sclerotiorum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growing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indica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India (Sharma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rtl w:val="0"/>
        </w:rPr>
        <w:tab/>
      </w:r>
      <w:r w:rsidDel="00000000" w:rsidR="00000000" w:rsidRPr="00000000">
        <w:rPr>
          <w:rtl w:val="0"/>
        </w:rPr>
        <w:t xml:space="preserve">As</w:t>
      </w:r>
      <w:r w:rsidDel="00000000" w:rsidR="00000000" w:rsidRPr="00000000">
        <w:rPr>
          <w:b w:val="1"/>
          <w:rtl w:val="0"/>
        </w:rPr>
        <w:t xml:space="preserve"> </w:t>
      </w:r>
      <w:r w:rsidDel="00000000" w:rsidR="00000000" w:rsidRPr="00000000">
        <w:rPr>
          <w:rtl w:val="0"/>
        </w:rPr>
        <w:t xml:space="preserve">Cannabis cultivation becomes more and more wide-spread, diseases that were once few and far between are becoming ever more common. Such is true with canker diseases in Cannabis plants. Unfortunately fungi causing cankers (or Hemp Cankers in particular) are generalist pathogens that are able to parasitize a number of different plant species. The symptoms of Hemp Canker can start out as cotton-like mycelium growing on the stem or near a nodal branch.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333333"/>
          <w:highlight w:val="whit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Hemp Canker is a disease typically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minor</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These fungi can infect over 350 different species of crops from a diversity of plant families. Purdy considers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one of the most nonspecific, omnivorous, and successful of all plant pathogens </w:t>
      </w:r>
      <w:r w:rsidDel="00000000" w:rsidR="00000000" w:rsidRPr="00000000">
        <w:rPr>
          <w:rtl w:val="0"/>
        </w:rPr>
        <w:t xml:space="preserve">(Purdy, 1979)</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This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pathogen</w:t>
      </w:r>
      <w:r w:rsidDel="00000000" w:rsidR="00000000" w:rsidRPr="00000000">
        <w:rPr>
          <w:color w:val="333333"/>
          <w:highlight w:val="white"/>
          <w:rtl w:val="0"/>
        </w:rPr>
        <w:t xml:space="preserve"> broadley affects Cannabis gene pools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(Sharma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2016).</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ab/>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Diseases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are also known as cottony rot, watery soft rot, stem rot, drop, crown rot, blossom rot, and probably other names as well. </w:t>
      </w:r>
      <w:r w:rsidDel="00000000" w:rsidR="00000000" w:rsidRPr="00000000">
        <w:rPr>
          <w:color w:val="333333"/>
          <w:highlight w:val="white"/>
          <w:rtl w:val="0"/>
        </w:rPr>
        <w:t xml:space="preserve">Many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other fungal species can cause canker infections on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though it is most commonly</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333333"/>
          <w:highlight w:val="white"/>
        </w:rPr>
      </w:pPr>
      <w:r w:rsidDel="00000000" w:rsidR="00000000" w:rsidRPr="00000000">
        <w:rPr>
          <w:color w:val="333333"/>
          <w:highlight w:val="white"/>
          <w:rtl w:val="0"/>
        </w:rPr>
        <w:t xml:space="preserve">A canker is simply a name given to a disease expression that is caused by any number of bacteria or fungi. The symptoms typically include a lesion on the stem that can be irregular and sunken, swollen, flattened and/or cracked. Hemp canker on </w:t>
      </w:r>
      <w:r w:rsidDel="00000000" w:rsidR="00000000" w:rsidRPr="00000000">
        <w:rPr>
          <w:i w:val="1"/>
          <w:color w:val="333333"/>
          <w:highlight w:val="white"/>
          <w:rtl w:val="0"/>
        </w:rPr>
        <w:t xml:space="preserve">Cannabis</w:t>
      </w:r>
      <w:r w:rsidDel="00000000" w:rsidR="00000000" w:rsidRPr="00000000">
        <w:rPr>
          <w:color w:val="333333"/>
          <w:highlight w:val="white"/>
          <w:rtl w:val="0"/>
        </w:rPr>
        <w:t xml:space="preserve"> is usually first detected by white mycelium growing on the stem, often near nodes, that can later produce small black sclerotia. This can girdle the stems, thus killing the plant entirely. Unfortunately, by the time this pathogen is detected, usually it is too late to save the affected plant. Sometimes, the fungus grows within the pith of </w:t>
      </w:r>
      <w:r w:rsidDel="00000000" w:rsidR="00000000" w:rsidRPr="00000000">
        <w:rPr>
          <w:i w:val="1"/>
          <w:color w:val="333333"/>
          <w:highlight w:val="white"/>
          <w:rtl w:val="0"/>
        </w:rPr>
        <w:t xml:space="preserve">Cannabis</w:t>
      </w:r>
      <w:r w:rsidDel="00000000" w:rsidR="00000000" w:rsidRPr="00000000">
        <w:rPr>
          <w:color w:val="333333"/>
          <w:highlight w:val="white"/>
          <w:rtl w:val="0"/>
        </w:rPr>
        <w:t xml:space="preserve">, presenting as a wilt before fungus is obvious on the outside of the stem.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333333"/>
          <w:highlight w:val="white"/>
        </w:rPr>
      </w:pPr>
      <w:r w:rsidDel="00000000" w:rsidR="00000000" w:rsidRPr="00000000">
        <w:rPr>
          <w:rtl w:val="0"/>
        </w:rPr>
      </w:r>
    </w:p>
    <w:p w:rsidR="00000000" w:rsidDel="00000000" w:rsidP="00000000" w:rsidRDefault="00000000" w:rsidRPr="00000000" w14:paraId="00000036">
      <w:pPr>
        <w:pageBreakBefore w:val="0"/>
        <w:spacing w:line="480" w:lineRule="auto"/>
        <w:ind w:firstLine="720"/>
        <w:rPr>
          <w:color w:val="333333"/>
          <w:highlight w:val="white"/>
        </w:rPr>
      </w:pPr>
      <w:r w:rsidDel="00000000" w:rsidR="00000000" w:rsidRPr="00000000">
        <w:rPr>
          <w:color w:val="333333"/>
          <w:highlight w:val="white"/>
        </w:rPr>
        <w:drawing>
          <wp:inline distB="114300" distT="114300" distL="114300" distR="114300">
            <wp:extent cx="4700588" cy="3988029"/>
            <wp:effectExtent b="0" l="0" r="0" t="0"/>
            <wp:docPr id="17" name="image1.jpg"/>
            <a:graphic>
              <a:graphicData uri="http://schemas.openxmlformats.org/drawingml/2006/picture">
                <pic:pic>
                  <pic:nvPicPr>
                    <pic:cNvPr id="0" name="image1.jpg"/>
                    <pic:cNvPicPr preferRelativeResize="0"/>
                  </pic:nvPicPr>
                  <pic:blipFill>
                    <a:blip r:embed="rId8"/>
                    <a:srcRect b="6836" l="28044" r="6409" t="19017"/>
                    <a:stretch>
                      <a:fillRect/>
                    </a:stretch>
                  </pic:blipFill>
                  <pic:spPr>
                    <a:xfrm>
                      <a:off x="0" y="0"/>
                      <a:ext cx="4700588" cy="398802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ind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color w:val="333333"/>
          <w:highlight w:val="white"/>
          <w:rtl w:val="0"/>
        </w:rPr>
        <w:t xml:space="preserve">Figure 16.2 The dead tops that can be seen throughout this greenhouse were caused by </w:t>
      </w:r>
      <w:r w:rsidDel="00000000" w:rsidR="00000000" w:rsidRPr="00000000">
        <w:rPr>
          <w:i w:val="1"/>
          <w:color w:val="333333"/>
          <w:highlight w:val="white"/>
          <w:rtl w:val="0"/>
        </w:rPr>
        <w:t xml:space="preserve">S. sclerotiorum</w:t>
      </w:r>
      <w:r w:rsidDel="00000000" w:rsidR="00000000" w:rsidRPr="00000000">
        <w:rPr>
          <w:color w:val="333333"/>
          <w:highlight w:val="white"/>
          <w:rtl w:val="0"/>
        </w:rPr>
        <w:t xml:space="preserve"> girdling the stem from within. Sclerotia were formed inside the stem within the pith. </w:t>
      </w:r>
      <w:r w:rsidDel="00000000" w:rsidR="00000000" w:rsidRPr="00000000">
        <w:rPr>
          <w:rtl w:val="0"/>
        </w:rPr>
      </w:r>
    </w:p>
    <w:p w:rsidR="00000000" w:rsidDel="00000000" w:rsidP="00000000" w:rsidRDefault="00000000" w:rsidRPr="00000000" w14:paraId="00000038">
      <w:pPr>
        <w:pageBreakBefore w:val="0"/>
        <w:spacing w:line="480"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minor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are ascomycetes within </w:t>
      </w:r>
      <w:r w:rsidDel="00000000" w:rsidR="00000000" w:rsidRPr="00000000">
        <w:rPr>
          <w:color w:val="333333"/>
          <w:highlight w:val="white"/>
          <w:rtl w:val="0"/>
        </w:rPr>
        <w:t xml:space="preserve">the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family Sclerotiniaceae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occupied by many other plant parasites, including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Botrytis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Sclerotina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are necrotrophic pathogens</w:t>
      </w:r>
      <w:r w:rsidDel="00000000" w:rsidR="00000000" w:rsidRPr="00000000">
        <w:rPr>
          <w:color w:val="333333"/>
          <w:highlight w:val="whit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capable of growing saprophytically, but </w:t>
      </w:r>
      <w:r w:rsidDel="00000000" w:rsidR="00000000" w:rsidRPr="00000000">
        <w:rPr>
          <w:color w:val="333333"/>
          <w:highlight w:val="white"/>
          <w:rtl w:val="0"/>
        </w:rPr>
        <w:t xml:space="preserve">are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weak competitors. However</w:t>
      </w:r>
      <w:r w:rsidDel="00000000" w:rsidR="00000000" w:rsidRPr="00000000">
        <w:rPr>
          <w:color w:val="333333"/>
          <w:highlight w:val="white"/>
          <w:rtl w:val="0"/>
        </w:rPr>
        <w:t xml:space="preserve">, like </w:t>
      </w:r>
      <w:r w:rsidDel="00000000" w:rsidR="00000000" w:rsidRPr="00000000">
        <w:rPr>
          <w:i w:val="1"/>
          <w:color w:val="333333"/>
          <w:highlight w:val="white"/>
          <w:rtl w:val="0"/>
        </w:rPr>
        <w:t xml:space="preserve">Botrytis,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when they infect living hosts they require senescing host plant tissue to colonise and mount a necrotrophic attack. Once established as a weak saprophyte on dead or dying host tissue,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attempts an enzymatic assault</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on nearby living host tissue in order to actively kill and consume it. These fung</w:t>
      </w:r>
      <w:r w:rsidDel="00000000" w:rsidR="00000000" w:rsidRPr="00000000">
        <w:rPr>
          <w:color w:val="333333"/>
          <w:highlight w:val="white"/>
          <w:rtl w:val="0"/>
        </w:rPr>
        <w:t xml:space="preserve">i</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produce an array of extracellular enzymes, including oxalic acid (a known virulence factor of plant pathogens</w:t>
      </w:r>
      <w:r w:rsidDel="00000000" w:rsidR="00000000" w:rsidRPr="00000000">
        <w:rPr>
          <w:color w:val="333333"/>
          <w:highlight w:val="white"/>
          <w:rtl w:val="0"/>
        </w:rPr>
        <w:t xml:space="preserv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to damage and weaken the host cells prior to infection</w:t>
      </w:r>
      <w:r w:rsidDel="00000000" w:rsidR="00000000" w:rsidRPr="00000000">
        <w:rPr>
          <w:color w:val="333333"/>
          <w:highlight w:val="whit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(Petrofeza and Nasser 2012).</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first appears as white cottony mycelial growth before forming hardened black structures (sclerotia). Mycelial growth and sclerotia formation may occur covertly within the stem, usually killing the plant above the diseased area.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disseminate via windborne ascospores produced in mushroom</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apothecia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(grey mold). Unlike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Botryotinia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sexual stage of the asexual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have a cooresponding asexual stage. </w:t>
      </w:r>
      <w:r w:rsidDel="00000000" w:rsidR="00000000" w:rsidRPr="00000000">
        <w:rPr>
          <w:rtl w:val="0"/>
        </w:rPr>
        <w:t xml:space="preserve">Therefore, within canopy disease amplification does not occur, rather infections represent unique isolates originating from apothecia in the environment, or soil borne infections.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i w:val="1"/>
          <w:rtl w:val="0"/>
        </w:rPr>
        <w:t xml:space="preserve">Sclerotinia </w:t>
      </w:r>
      <w:r w:rsidDel="00000000" w:rsidR="00000000" w:rsidRPr="00000000">
        <w:rPr>
          <w:rtl w:val="0"/>
        </w:rPr>
        <w:t xml:space="preserve">is a homothallic ascomycete, meaning it is capable of sexual reproduction through self fertilization.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Sclerotia</w:t>
      </w:r>
      <w:r w:rsidDel="00000000" w:rsidR="00000000" w:rsidRPr="00000000">
        <w:rPr>
          <w:rtl w:val="0"/>
        </w:rPr>
        <w:t xml:space="preserve">, which are stone-like, hardened, melanized hyphal structures that look like hardened bits of charcoal (Figure 15.3),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produced during</w:t>
      </w:r>
      <w:r w:rsidDel="00000000" w:rsidR="00000000" w:rsidRPr="00000000">
        <w:rPr>
          <w:rtl w:val="0"/>
        </w:rPr>
        <w:t xml:space="preserve">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growing season within or on their previous plant host.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produces these structures to overwinter in the soil or in host plant debris at rest until the environment becomes favorable to growth again. </w:t>
      </w:r>
      <w:r w:rsidDel="00000000" w:rsidR="00000000" w:rsidRPr="00000000">
        <w:rPr>
          <w:rtl w:val="0"/>
        </w:rPr>
        <w:t xml:space="preserve">When environmental conditions are favorable, fruiting bodies arise directly from the previous seasons sclerotia to produce sexual, wind- (or occasionally insect-) dispersed ascospores.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Sclerotia may also germinate vegetative hyphae and grow through the soil to infect physically proximate plants asexually, even though no asexual spores are produced.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grow in a wide variety of environmental conditions, which helps </w:t>
      </w:r>
      <w:r w:rsidDel="00000000" w:rsidR="00000000" w:rsidRPr="00000000">
        <w:rPr>
          <w:rtl w:val="0"/>
        </w:rPr>
        <w:t xml:space="preserve">make it 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successful. Although this fungus prefers cool, moist climates, it has also been documented in hot dry areas as well and has been shown to grow from 0-32oC, with impeded growth nearing either extreme (Purdy</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1979).</w:t>
      </w:r>
    </w:p>
    <w:p w:rsidR="00000000" w:rsidDel="00000000" w:rsidP="00000000" w:rsidRDefault="00000000" w:rsidRPr="00000000" w14:paraId="0000003E">
      <w:pPr>
        <w:pageBreakBefore w:val="0"/>
        <w:spacing w:line="48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widely dispersed pathogens with wide host species ranges. Specific infection sources may be shared equipment and sclerotia in seed lots. The seed coat of seed itself may also harbor infective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(Sharma et al., 201</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seed treatments should be used for seed suspected of harboring pathogens</w:t>
      </w:r>
      <w:r w:rsidDel="00000000" w:rsidR="00000000" w:rsidRPr="00000000">
        <w:rPr>
          <w:rtl w:val="0"/>
        </w:rPr>
        <w:t xml:space="preserve"> (see chapter on </w:t>
      </w:r>
      <w:r w:rsidDel="00000000" w:rsidR="00000000" w:rsidRPr="00000000">
        <w:rPr>
          <w:i w:val="1"/>
          <w:rtl w:val="0"/>
        </w:rPr>
        <w:t xml:space="preserve">Botrytis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 thrive in high moisture environments. Sclerotia are </w:t>
      </w:r>
      <w:r w:rsidDel="00000000" w:rsidR="00000000" w:rsidRPr="00000000">
        <w:rPr>
          <w:rtl w:val="0"/>
        </w:rPr>
        <w:t xml:space="preserve">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moisture to break their dormancy. Excessive field moisture is positively associated with disease incidence (Abawi and Grogan 1979).  Deep plowing (with care not to spread disease via implements) and the incorporation of organic materials can decrease sclerotia survival (Mueller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2002</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Prolonged flooding</w:t>
      </w:r>
      <w:r w:rsidDel="00000000" w:rsidR="00000000" w:rsidRPr="00000000">
        <w:rPr>
          <w:rtl w:val="0"/>
        </w:rPr>
        <w:t xml:space="preserve"> (3-5 weeks)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also be effective for heavily infested fields (Steadman 1979). However, Steadman also noted that </w:t>
      </w:r>
      <w:r w:rsidDel="00000000" w:rsidR="00000000" w:rsidRPr="00000000">
        <w:rPr>
          <w:rtl w:val="0"/>
        </w:rPr>
        <w:t xml:space="preserve">subsequently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ensuring well drained soil during the growing season is </w:t>
      </w:r>
      <w:r w:rsidDel="00000000" w:rsidR="00000000" w:rsidRPr="00000000">
        <w:rPr>
          <w:rtl w:val="0"/>
        </w:rPr>
        <w:t xml:space="preserve">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limiting disease pressure. Long crop rotations (3+ years) with cereal crops or other non-host plants can reduce inoculum density, though sclerotia may survive in </w:t>
      </w:r>
      <w:r w:rsidDel="00000000" w:rsidR="00000000" w:rsidRPr="00000000">
        <w:rPr>
          <w:rtl w:val="0"/>
        </w:rPr>
        <w:t xml:space="preserve">dormancy for many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years. Microbial treatments,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viride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color w:val="222222"/>
          <w:highlight w:val="white"/>
          <w:rtl w:val="0"/>
        </w:rPr>
        <w:t xml:space="preserve">Pankaj et al 2011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combinations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Pseudomonas aeruginosa, Trichoderma harzianum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(Jain et al, 2015) were effective at reducing disease incidence and improving plant vigor in the presence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01AC"/>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501AC"/>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29mSBaS+BnHCfBbiVnnKyNV9Zw==">CgMxLjAyCGguZ2pkZ3hzOAByITFlRjFIZExURU5PLUtvUUlMWXlOVHlkdGxPRDgtU1V5RA==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2020-02-17T23:03:00Z</dcterms:created>
  <dc:creator>kyle kaszynski</dc:creator>
</cp:coreProperties>
</file>