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Chapter 1</w:t>
      </w:r>
      <w:r w:rsidDel="00000000" w:rsidR="00000000" w:rsidRPr="00000000">
        <w:rPr>
          <w:b w:val="1"/>
          <w:rtl w:val="0"/>
        </w:rPr>
        <w:t xml:space="preserve">9</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b w:val="1"/>
          <w:i w:val="0"/>
          <w:smallCaps w:val="0"/>
          <w:strike w:val="0"/>
          <w:color w:val="000000"/>
          <w:sz w:val="24"/>
          <w:szCs w:val="24"/>
          <w:u w:val="none"/>
          <w:shd w:fill="auto" w:val="clear"/>
          <w:vertAlign w:val="baseline"/>
          <w:rtl w:val="0"/>
        </w:rPr>
        <w:t xml:space="preserve">Plant Defenses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Physical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All plants have cell walls that allow plants to remain erect and also act as a barrier of protection. However, this also means that plants are unable to move like animals do and thus cannot evade potential predators or pests. Therefore, plants have evolved other mechanisms for defending themselves including physical defenses, chemical defenses, and immune systems which all serve to protect the plant and increase its overall fitness.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line of defense plants have against pathogens, similar to ourselves, is a physical barrier. Both woody plants and humans have a layer of dead tissue that is constantly produced and sloughed off; among plants it is their bark, among humans it is our skin.  The protection of the internal body within is an important purpose of bark and skin. On plant parts that do not develop bark, such as leaves, there are still protective layers of epidermis, coated with waxy cuticle.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plants also </w:t>
      </w:r>
      <w:r w:rsidDel="00000000" w:rsidR="00000000" w:rsidRPr="00000000">
        <w:rPr>
          <w:rtl w:val="0"/>
        </w:rPr>
        <w:t xml:space="preserve">possess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trichomes, for which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especially famous (Table </w:t>
      </w:r>
      <w:r w:rsidDel="00000000" w:rsidR="00000000" w:rsidRPr="00000000">
        <w:rPr>
          <w:rtl w:val="0"/>
        </w:rPr>
        <w:t xml:space="preserve">18.1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Trichomes may serve myriad roles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increasing the boundary (humidity) layer near the leaf, shading leaves from </w:t>
      </w:r>
      <w:r w:rsidDel="00000000" w:rsidR="00000000" w:rsidRPr="00000000">
        <w:rPr>
          <w:rtl w:val="0"/>
        </w:rPr>
        <w:t xml:space="preserve">intense light,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physically detering herbivory, and secreting defensive chemicals. Each plant cell also possesses a selectively permeable plasma membrane contained within </w:t>
      </w:r>
      <w:r w:rsidDel="00000000" w:rsidR="00000000" w:rsidRPr="00000000">
        <w:rPr>
          <w:rtl w:val="0"/>
        </w:rPr>
        <w:t xml:space="preserve">a cell wall composed of lignin, cellulose, and xylan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Roots</w:t>
      </w:r>
      <w:r w:rsidDel="00000000" w:rsidR="00000000" w:rsidRPr="00000000">
        <w:rPr>
          <w:rtl w:val="0"/>
        </w:rPr>
        <w:t xml:space="preserve"> have a specialized internal barrier, the Casparian strip, that forces incoming water through to enter the symplast and pass through the plasma membrane of cells before entering the vascular tissue for transport throughout the rest of the plant body.  The apoplast refers to water transport in between cells, whereas the symplast refers to water transport among cells after entering through the plasma membrane (Fig 18.1). Forcing water through the plasma membrane of cells allows the cell to exclude large molecules and organisms, unless there are specific transport channels and proteins that permit their entrance.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2362200" cy="1591377"/>
            <wp:effectExtent b="0" l="0" r="0" t="0"/>
            <wp:docPr id="10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362200" cy="1591377"/>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t xml:space="preserve">Figure 19.1. Diagram of plant root depicting various types of root tissue. Note the protective casparian strip surrounding the precious vascular tissue.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most susceptible areas of an undamaged plant body to infection are the stomata. Stomata are openings that allow the exchange of gas. Necessarily, these openings are physically at high risk of exploitation by organisms (pathogens, commensals, and mutualists) that grow inside plants. Often fungi will form an </w:t>
      </w:r>
      <w:r w:rsidDel="00000000" w:rsidR="00000000" w:rsidRPr="00000000">
        <w:rPr>
          <w:rtl w:val="0"/>
        </w:rPr>
        <w:t xml:space="preserve">appressorium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directly on top of a stoma, permitting easier access by pushing between the two guard cells, </w:t>
      </w:r>
      <w:r w:rsidDel="00000000" w:rsidR="00000000" w:rsidRPr="00000000">
        <w:rPr>
          <w:rtl w:val="0"/>
        </w:rPr>
        <w:t xml:space="preserve">rather than breaking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new opening through the leaf cuticle and epidermis (Fig 18.2). Root</w:t>
      </w:r>
      <w:r w:rsidDel="00000000" w:rsidR="00000000" w:rsidRPr="00000000">
        <w:rPr>
          <w:rtl w:val="0"/>
        </w:rPr>
        <w:t xml:space="preserve">-hairs are also often targeted by microbes as a means of entry. </w:t>
      </w: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0">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https://deepblue.lib.umich.edu/bitstream/handle/2027.42/142132/ajb211846.pdf?sequence=1&amp;isAllowed=y</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1</w:t>
      </w:r>
      <w:r w:rsidDel="00000000" w:rsidR="00000000" w:rsidRPr="00000000">
        <w:rPr>
          <w:rtl w:val="0"/>
        </w:rPr>
        <w:t xml:space="preserve">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Trichome types found on Cannabis</w:t>
      </w:r>
    </w:p>
    <w:tbl>
      <w:tblPr>
        <w:tblStyle w:val="Table1"/>
        <w:tblW w:w="9356.0" w:type="dxa"/>
        <w:jc w:val="left"/>
        <w:tblInd w:w="-100.0" w:type="dxa"/>
        <w:tblLayout w:type="fixed"/>
        <w:tblLook w:val="0400"/>
      </w:tblPr>
      <w:tblGrid>
        <w:gridCol w:w="1301"/>
        <w:gridCol w:w="1905"/>
        <w:gridCol w:w="1620"/>
        <w:gridCol w:w="4530"/>
        <w:tblGridChange w:id="0">
          <w:tblGrid>
            <w:gridCol w:w="1301"/>
            <w:gridCol w:w="1905"/>
            <w:gridCol w:w="1620"/>
            <w:gridCol w:w="4530"/>
          </w:tblGrid>
        </w:tblGridChange>
      </w:tblGrid>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Approximate sizes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Non-glandular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Non-cystolithic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7f7f7" w:val="clear"/>
                <w:vertAlign w:val="baseline"/>
                <w:rtl w:val="0"/>
              </w:rPr>
              <w:t xml:space="preserve">70-125 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 unbranched, simple in shape. Unicellular. Occur most densely on the underside of leaves and bracts. </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Cystolithic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7f7f7" w:val="clear"/>
                <w:vertAlign w:val="baseline"/>
                <w:rtl w:val="0"/>
              </w:rPr>
              <w:t xml:space="preserve">250-370μ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Similar to </w:t>
            </w:r>
            <w:r w:rsidDel="00000000" w:rsidR="00000000" w:rsidRPr="00000000">
              <w:rPr>
                <w:rtl w:val="0"/>
              </w:rPr>
              <w:t xml:space="preserve">non-cystolithic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shape, but larger. Contains cystoliths, calcified outgrowths of the cell wall, at their base. </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Glandular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Bulbous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10-30 </w:t>
            </w:r>
            <w:r w:rsidDel="00000000" w:rsidR="00000000" w:rsidRPr="00000000">
              <w:rPr>
                <w:rFonts w:ascii="Times New Roman" w:cs="Times New Roman" w:eastAsia="Times New Roman" w:hAnsi="Times New Roman"/>
                <w:b w:val="0"/>
                <w:i w:val="0"/>
                <w:smallCaps w:val="0"/>
                <w:strike w:val="0"/>
                <w:color w:val="000000"/>
                <w:sz w:val="24"/>
                <w:szCs w:val="24"/>
                <w:u w:val="none"/>
                <w:shd w:fill="f7f7f7"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Diminutive trichome with secretory cells. Variable structure.</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Capitate sessile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25-100 </w:t>
            </w:r>
            <w:r w:rsidDel="00000000" w:rsidR="00000000" w:rsidRPr="00000000">
              <w:rPr>
                <w:rFonts w:ascii="Times New Roman" w:cs="Times New Roman" w:eastAsia="Times New Roman" w:hAnsi="Times New Roman"/>
                <w:b w:val="0"/>
                <w:i w:val="0"/>
                <w:smallCaps w:val="0"/>
                <w:strike w:val="0"/>
                <w:color w:val="000000"/>
                <w:sz w:val="24"/>
                <w:szCs w:val="24"/>
                <w:u w:val="none"/>
                <w:shd w:fill="f7f7f7"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Large glandular head with secretory cells often attached by several cells, but only one cell high. </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Capitate-stalked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7f7f7" w:val="clear"/>
                <w:vertAlign w:val="baseline"/>
                <w:rtl w:val="0"/>
              </w:rPr>
              <w:t xml:space="preserve">70-150 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stalk up to 200 </w:t>
            </w:r>
            <w:r w:rsidDel="00000000" w:rsidR="00000000" w:rsidRPr="00000000">
              <w:rPr>
                <w:rFonts w:ascii="Times New Roman" w:cs="Times New Roman" w:eastAsia="Times New Roman" w:hAnsi="Times New Roman"/>
                <w:b w:val="0"/>
                <w:i w:val="0"/>
                <w:smallCaps w:val="0"/>
                <w:strike w:val="0"/>
                <w:color w:val="000000"/>
                <w:sz w:val="24"/>
                <w:szCs w:val="24"/>
                <w:u w:val="none"/>
                <w:shd w:fill="f7f7f7"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Large glandular head with secretory cells situated on top of a slender, multicellular stalk.</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Antherial Sessil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25-100 </w:t>
            </w:r>
            <w:r w:rsidDel="00000000" w:rsidR="00000000" w:rsidRPr="00000000">
              <w:rPr>
                <w:rFonts w:ascii="Times New Roman" w:cs="Times New Roman" w:eastAsia="Times New Roman" w:hAnsi="Times New Roman"/>
                <w:b w:val="0"/>
                <w:i w:val="0"/>
                <w:smallCaps w:val="0"/>
                <w:strike w:val="0"/>
                <w:color w:val="000000"/>
                <w:sz w:val="24"/>
                <w:szCs w:val="24"/>
                <w:u w:val="none"/>
                <w:shd w:fill="f7f7f7"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Occur only on the anthers and calyx of male flowers.</w:t>
            </w:r>
          </w:p>
        </w:tc>
      </w:tr>
    </w:tbl>
    <w:p w:rsidR="00000000" w:rsidDel="00000000" w:rsidP="00000000" w:rsidRDefault="00000000" w:rsidRPr="00000000" w14:paraId="0000002B">
      <w:pPr>
        <w:pageBreakBefore w:val="0"/>
        <w:spacing w:after="240" w:lineRule="auto"/>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12235" cy="3797804"/>
            <wp:effectExtent b="0" l="0" r="0" t="0"/>
            <wp:docPr descr="https://lh4.googleusercontent.com/1ln6OI91AfUpPaYl_JYaEnXnhcXhjZatqZk0ZZCgsfSdcHDrq_ZtzstaO-ZPHO48n0BLII-HtHxRDsx2GxB8dH17Z9nm9FgKxzx4js6oC3sjyVBwe7fAS6w90tXoEVwsXgzS9AQ1" id="110" name="image4.png"/>
            <a:graphic>
              <a:graphicData uri="http://schemas.openxmlformats.org/drawingml/2006/picture">
                <pic:pic>
                  <pic:nvPicPr>
                    <pic:cNvPr descr="https://lh4.googleusercontent.com/1ln6OI91AfUpPaYl_JYaEnXnhcXhjZatqZk0ZZCgsfSdcHDrq_ZtzstaO-ZPHO48n0BLII-HtHxRDsx2GxB8dH17Z9nm9FgKxzx4js6oC3sjyVBwe7fAS6w90tXoEVwsXgzS9AQ1" id="0" name="image4.png"/>
                    <pic:cNvPicPr preferRelativeResize="0"/>
                  </pic:nvPicPr>
                  <pic:blipFill>
                    <a:blip r:embed="rId11"/>
                    <a:srcRect b="0" l="0" r="0" t="0"/>
                    <a:stretch>
                      <a:fillRect/>
                    </a:stretch>
                  </pic:blipFill>
                  <pic:spPr>
                    <a:xfrm>
                      <a:off x="0" y="0"/>
                      <a:ext cx="5212235" cy="379780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Chemical</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produce a variety of chemicals directly effective against pathogen attack, called secondary metabolites, a </w:t>
      </w:r>
      <w:r w:rsidDel="00000000" w:rsidR="00000000" w:rsidRPr="00000000">
        <w:rPr>
          <w:rtl w:val="0"/>
        </w:rPr>
        <w:t xml:space="preserve">catch-all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term for any molecule produced by a plant not directly involved in the primary metabolism of a plant. These may include terpenes, phenolics, alkaloids, phytoalexins, defensins, enzymes, a</w:t>
      </w:r>
      <w:r w:rsidDel="00000000" w:rsidR="00000000" w:rsidRPr="00000000">
        <w:rPr>
          <w:rtl w:val="0"/>
        </w:rPr>
        <w:t xml:space="preserve">mong others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Many secondary metabolites are important for plant health and survival by mediating microbial interactions and defending the plant against microbial or animal attack.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Secondary metabolites that are produced or activated only after contact with a pathogen are called </w:t>
      </w:r>
      <w:r w:rsidDel="00000000" w:rsidR="00000000" w:rsidRPr="00000000">
        <w:rPr>
          <w:i w:val="0"/>
          <w:smallCaps w:val="0"/>
          <w:strike w:val="0"/>
          <w:color w:val="000000"/>
          <w:sz w:val="24"/>
          <w:szCs w:val="24"/>
          <w:u w:val="none"/>
          <w:shd w:fill="auto" w:val="clear"/>
          <w:vertAlign w:val="baseline"/>
          <w:rtl w:val="0"/>
        </w:rPr>
        <w:t xml:space="preserve">phytoalexins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Though sometimes this term is broadened to include all plant defense chemicals, defense chemicals present pre-infection are not true phytoalexins. Recent attempts to </w:t>
      </w:r>
      <w:r w:rsidDel="00000000" w:rsidR="00000000" w:rsidRPr="00000000">
        <w:rPr>
          <w:rtl w:val="0"/>
        </w:rPr>
        <w:t xml:space="preserve">categorize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immense variety of phytoalexins and plant defense chemicals are </w:t>
      </w:r>
      <w:r w:rsidDel="00000000" w:rsidR="00000000" w:rsidRPr="00000000">
        <w:rPr>
          <w:rtl w:val="0"/>
        </w:rPr>
        <w:t xml:space="preserve">summarized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Table 18.2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1</w:t>
      </w:r>
      <w:r w:rsidDel="00000000" w:rsidR="00000000" w:rsidRPr="00000000">
        <w:rPr>
          <w:rtl w:val="0"/>
        </w:rPr>
        <w:t xml:space="preserve">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tl w:val="0"/>
        </w:rPr>
        <w:t xml:space="preserve">Chemical defenses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plants involved in microbial defenses. </w:t>
      </w:r>
    </w:p>
    <w:p w:rsidR="00000000" w:rsidDel="00000000" w:rsidP="00000000" w:rsidRDefault="00000000" w:rsidRPr="00000000" w14:paraId="00000034">
      <w:pPr>
        <w:pageBreakBefore w:val="0"/>
        <w:rPr/>
      </w:pPr>
      <w:r w:rsidDel="00000000" w:rsidR="00000000" w:rsidRPr="00000000">
        <w:rPr>
          <w:rtl w:val="0"/>
        </w:rPr>
      </w:r>
    </w:p>
    <w:tbl>
      <w:tblPr>
        <w:tblStyle w:val="Table2"/>
        <w:tblW w:w="6000.0" w:type="dxa"/>
        <w:jc w:val="left"/>
        <w:tblInd w:w="-100.0" w:type="dxa"/>
        <w:tblLayout w:type="fixed"/>
        <w:tblLook w:val="0400"/>
      </w:tblPr>
      <w:tblGrid>
        <w:gridCol w:w="2670"/>
        <w:gridCol w:w="3330"/>
        <w:tblGridChange w:id="0">
          <w:tblGrid>
            <w:gridCol w:w="2670"/>
            <w:gridCol w:w="3330"/>
          </w:tblGrid>
        </w:tblGridChange>
      </w:tblGrid>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Non-Nitrogen Containing</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Terpenes/Terpenoids</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Flavonoids</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Lignans</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Phenylpropanoids</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Coumarins </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Tannins</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t xml:space="preserve">Steroids</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Saponins</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t xml:space="preserve">Polyacetylenes</w:t>
            </w: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Fatty acids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Nitrogen Containing</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Alkaloids</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2"/>
                <w:szCs w:val="22"/>
                <w:rtl w:val="0"/>
              </w:rPr>
              <w:t xml:space="preserve">Non-protein</w:t>
            </w:r>
            <w:r w:rsidDel="00000000" w:rsidR="00000000" w:rsidRPr="00000000">
              <w:rPr>
                <w:i w:val="0"/>
                <w:smallCaps w:val="0"/>
                <w:strike w:val="0"/>
                <w:color w:val="000000"/>
                <w:sz w:val="22"/>
                <w:szCs w:val="22"/>
                <w:u w:val="none"/>
                <w:shd w:fill="auto" w:val="clear"/>
                <w:vertAlign w:val="baseline"/>
                <w:rtl w:val="0"/>
              </w:rPr>
              <w:t xml:space="preserve"> amino acids</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Amines</w:t>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Alkamides</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Lectins  </w:t>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Peptides </w:t>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2"/>
                <w:szCs w:val="22"/>
                <w:rtl w:val="0"/>
              </w:rPr>
              <w:t xml:space="preserve">Polypeptides</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Enzymes</w:t>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Defensins</w:t>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Small interfering RNAs</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Nucleic acid extracellular traps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0052">
      <w:pPr>
        <w:pageBreakBefore w:val="0"/>
        <w:spacing w:after="240" w:lineRule="auto"/>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Plant Immunity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lack an adaptive immune response, like those found in animals. However, plants are not helpless. They have innate abilities to respond to pest and pathogen attack by changing aspects of their physical growth and the production and distribution of their protective chemical arsenal. Following a trigger, plants are able to “induce” a whole plant immune response. Depending on the nature of the trigger and subsequent signaling pathway (jasmonate or salicylate, respectively) such an induced state is called induced systemic resistance (ISR) or systemic acquired resistance (SAR) (</w:t>
      </w:r>
      <w:r w:rsidDel="00000000" w:rsidR="00000000" w:rsidRPr="00000000">
        <w:rPr>
          <w:rtl w:val="0"/>
        </w:rPr>
        <w:t xml:space="preserve">Wang </w:t>
      </w:r>
      <w:r w:rsidDel="00000000" w:rsidR="00000000" w:rsidRPr="00000000">
        <w:rPr>
          <w:i w:val="1"/>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2004). Both ISR and SAR prime the immune responses of the entire plant, but ISR is a milder response than SAR.  ISR is often triggered by interactions with symbiotic microbes, such as Rhizobia or mycorrhizae, whereas SAR is more often a response to pathogenic attack. </w:t>
      </w:r>
      <w:r w:rsidDel="00000000" w:rsidR="00000000" w:rsidRPr="00000000">
        <w:rPr>
          <w:rtl w:val="0"/>
        </w:rPr>
        <w:t xml:space="preserve">Through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ISR and SAR plants recognize foriegn invaders via pattern triggered immunity (PTI) and effector triggered immunity (ETI).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 19.2. Abbreviations of commonly encountered terms when discussing plant immune responses.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Induced Systemic Resistance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Systemic Acquired Resistance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Pattern Triggered Immunity (aka Basal Immunity)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Effector Triggered Immunity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Microbe-Associated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Damage-Associated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Nematode-Associated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Pathogen-Associated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PGPR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Plant Growth Promoting Rhizobacteria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PR-proteins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Pathogenesis-Related proteins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Reactive Oxygen Species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Resistance genes involved in ETI, most often of the nucleotide binding, leucine rich repeat (NB-LRR) or pattern recognition receptor protein (PRR) classes</w:t>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72">
      <w:pPr>
        <w:pageBreakBefore w:val="0"/>
        <w:spacing w:line="480" w:lineRule="auto"/>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Pattern triggered immunity (PTI) (aka basal immunity):</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Pattern triggered immunity in plants </w:t>
      </w:r>
      <w:r w:rsidDel="00000000" w:rsidR="00000000" w:rsidRPr="00000000">
        <w:rPr>
          <w:rtl w:val="0"/>
        </w:rPr>
        <w:t xml:space="preserve">is 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evolved sensitivity to microbe-associated molecular patterns (MAMPs) and damage-associated molecular patterns (DAMPs). MAMPs are often fundamental, conserved portions of the microbial pathogen, such as essential cell wall or membrane components (i.e. lipopolysaccharide in bacteria and chitin in fungi) which cannot be altered by single gene mutations in the microbe genome. DAMPs, on the other hand, represent damaged cell machinery of the host plant itself (i.e. cell wall fragments, damaged proteins, DNA and RNA fragments). DAMPs recognition is more indirect </w:t>
      </w:r>
      <w:r w:rsidDel="00000000" w:rsidR="00000000" w:rsidRPr="00000000">
        <w:rPr>
          <w:rtl w:val="0"/>
        </w:rPr>
        <w:t xml:space="preserve">than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MAMPs. DAMPs are not under the control of the pathogen genes; they result from inevitable damage which occurs during pathogenic invasion of a host plant.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4410879" cy="1696492"/>
            <wp:effectExtent b="0" l="0" r="0" t="0"/>
            <wp:docPr id="109"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4410879" cy="1696492"/>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Figure 19.3. Fungal mycelium invading through stomata on plant </w:t>
      </w:r>
      <w:sdt>
        <w:sdtPr>
          <w:tag w:val="goog_rdk_0"/>
        </w:sdtPr>
        <w:sdtContent>
          <w:commentRangeStart w:id="0"/>
        </w:sdtContent>
      </w:sdt>
      <w:r w:rsidDel="00000000" w:rsidR="00000000" w:rsidRPr="00000000">
        <w:rPr>
          <w:rtl w:val="0"/>
        </w:rPr>
        <w:t xml:space="preserve">leaf</w:t>
      </w:r>
      <w:commentRangeEnd w:id="0"/>
      <w:r w:rsidDel="00000000" w:rsidR="00000000" w:rsidRPr="00000000">
        <w:commentReference w:id="0"/>
      </w:r>
      <w:r w:rsidDel="00000000" w:rsidR="00000000" w:rsidRPr="00000000">
        <w:rPr>
          <w:rFonts w:ascii="Arial" w:cs="Arial" w:eastAsia="Arial" w:hAnsi="Arial"/>
          <w:sz w:val="28"/>
          <w:szCs w:val="28"/>
          <w:rtl w:val="0"/>
        </w:rPr>
        <w:t xml:space="preserve"> </w:t>
      </w:r>
      <w:r w:rsidDel="00000000" w:rsidR="00000000" w:rsidRPr="00000000">
        <w:rPr>
          <w:rtl w:val="0"/>
        </w:rPr>
        <w:t xml:space="preserve">(</w:t>
      </w:r>
      <w:r w:rsidDel="00000000" w:rsidR="00000000" w:rsidRPr="00000000">
        <w:rPr>
          <w:color w:val="1f1f1f"/>
          <w:highlight w:val="white"/>
          <w:rtl w:val="0"/>
        </w:rPr>
        <w:t xml:space="preserve">Mohammadian et al 2009)</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Recognition of necessarily conserved cell features of pathogen species (as in MAMPs) or indirect indicators of pathogen invasion (as in DAMPs) prevents the pathogen from evolving mechanisms to evade the plant immune system. PTI is so broadly responsive to basic microbial signatures, that it may be activated by most symbiotic microbes as well as pathogens.  Nematode associated molecular patterns (NAMPs) are also recognized</w:t>
      </w:r>
      <w:r w:rsidDel="00000000" w:rsidR="00000000" w:rsidRPr="00000000">
        <w:rPr>
          <w:rtl w:val="0"/>
        </w:rPr>
        <w:t xml:space="preserve">. Additionally,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iral capsid </w:t>
      </w:r>
      <w:r w:rsidDel="00000000" w:rsidR="00000000" w:rsidRPr="00000000">
        <w:rPr>
          <w:rtl w:val="0"/>
        </w:rPr>
        <w:t xml:space="preserve">proteins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potentially other viral molecular patterns, are grouped within pathogen associated molecular patterns (PAMPs) (Chintakuntlawa</w:t>
      </w:r>
      <w:r w:rsidDel="00000000" w:rsidR="00000000" w:rsidRPr="00000000">
        <w:rPr>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al, 2010).</w:t>
      </w:r>
      <w:r w:rsidDel="00000000" w:rsidR="00000000" w:rsidRPr="00000000">
        <w:rPr>
          <w:rtl w:val="0"/>
        </w:rPr>
      </w:r>
    </w:p>
    <w:p w:rsidR="00000000" w:rsidDel="00000000" w:rsidP="00000000" w:rsidRDefault="00000000" w:rsidRPr="00000000" w14:paraId="0000007A">
      <w:pPr>
        <w:pageBreakBefore w:val="0"/>
        <w:spacing w:line="480" w:lineRule="auto"/>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Effector triggered immunity (ETI):</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Effector triggered immunity describes a concept that has been historically referred to as the gene-for-gene relationship.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gene-for-gene relationship is in many ways a road map (or perhaps more appropriately a treadmill) through the evolutionary history between a host and pathogen. For each gene that enables a pathogen to cause disease, there may be a corresponding gene among the host species that counteracts the gene in the pathogen and permits plant resistance.  Many of the pathogen genes which enable virulence code for metabolites called effectors (proteins), which act on the machinery (proteins) of the host plant (Fig. 18.3).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time a gene that confers virulence to the pathogen emerges, a selective pressure is exerted on the plant host population (natural selection). Susceptible plants are either killed or diminished in their ability to reproduce; if there are some individual plants with some form of genetic resistance they will survive and reproduce more prolifically. As a result, genes for resistance become more common (are ‘naturally selected’) in the population's gene pool. This neutralizes the ability of the pathogen variety, or race, to cause disease among most plants in the population</w:t>
      </w:r>
      <w:r w:rsidDel="00000000" w:rsidR="00000000" w:rsidRPr="00000000">
        <w:rPr>
          <w:rtl w:val="0"/>
        </w:rPr>
        <w:t xml:space="preserve">; 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ntil and unless a genetic mutation arises which somehow permits the pathogen to evade the newly common gene of plant immunity, which has now spread through the host population. When this type of evolutionary interaction occurs, a single gene in the pathogen, which would allow it to act virulently in a susceptible plant host, corresponds to a single gene in a resistant host plant which neutralizes its action; hence the term ‘gene-for-gene</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80">
      <w:pPr>
        <w:ind w:firstLine="720"/>
        <w:jc w:val="center"/>
        <w:rPr/>
      </w:pPr>
      <w:r w:rsidDel="00000000" w:rsidR="00000000" w:rsidRPr="00000000">
        <w:rPr/>
        <w:drawing>
          <wp:inline distB="114300" distT="114300" distL="114300" distR="114300">
            <wp:extent cx="3120056" cy="2786360"/>
            <wp:effectExtent b="0" l="0" r="0" t="0"/>
            <wp:docPr id="112" name="image1.gif"/>
            <a:graphic>
              <a:graphicData uri="http://schemas.openxmlformats.org/drawingml/2006/picture">
                <pic:pic>
                  <pic:nvPicPr>
                    <pic:cNvPr id="0" name="image1.gif"/>
                    <pic:cNvPicPr preferRelativeResize="0"/>
                  </pic:nvPicPr>
                  <pic:blipFill>
                    <a:blip r:embed="rId13"/>
                    <a:srcRect b="0" l="0" r="0" t="0"/>
                    <a:stretch>
                      <a:fillRect/>
                    </a:stretch>
                  </pic:blipFill>
                  <pic:spPr>
                    <a:xfrm>
                      <a:off x="0" y="0"/>
                      <a:ext cx="3120056" cy="278636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Figure 19.X. Diagram of plant immune system elicited by various effectors leading to increased expression of particular secondary metabolites. (Dangl et al 2013).</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line="480" w:lineRule="auto"/>
        <w:rPr/>
      </w:pPr>
      <w:r w:rsidDel="00000000" w:rsidR="00000000" w:rsidRPr="00000000">
        <w:rPr>
          <w:rtl w:val="0"/>
        </w:rPr>
        <w:tab/>
        <w:t xml:space="preserve">A zig-zag model is often used to interpret the interplay of PTI and ETI. PTI is triggered by nearly all microbial invasions. Some microbes have evolved effectors which act against PTI to permit their persistence in the plant host. If the plant host is resistant, it has R-genes to respond to the microbial effectors, neutralizing them. Microbes may evolve new, or variations of, effectors to sidestep the host plant R-genes, thus carrying on a never ending arms race. </w:t>
      </w:r>
    </w:p>
    <w:p w:rsidR="00000000" w:rsidDel="00000000" w:rsidP="00000000" w:rsidRDefault="00000000" w:rsidRPr="00000000" w14:paraId="00000084">
      <w:pPr>
        <w:spacing w:line="48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0" distT="0" distL="0" distR="0">
            <wp:extent cx="4395788" cy="2713099"/>
            <wp:effectExtent b="0" l="0" r="0" t="0"/>
            <wp:docPr descr="https://lh5.googleusercontent.com/12-Re5rckQe0ISJ3s8-1VRp7Ex4u5QYT1comMGpa33xypH9c8fSE0VPFTY2w-50SB0OQ9G2LI3aaHVdA3uYu01Z8VDGrjIPoH28wvR1DU7PXAqFR0mTG81ZVimgV1sLMbJvH56zT" id="111" name="image3.png"/>
            <a:graphic>
              <a:graphicData uri="http://schemas.openxmlformats.org/drawingml/2006/picture">
                <pic:pic>
                  <pic:nvPicPr>
                    <pic:cNvPr descr="https://lh5.googleusercontent.com/12-Re5rckQe0ISJ3s8-1VRp7Ex4u5QYT1comMGpa33xypH9c8fSE0VPFTY2w-50SB0OQ9G2LI3aaHVdA3uYu01Z8VDGrjIPoH28wvR1DU7PXAqFR0mTG81ZVimgV1sLMbJvH56zT" id="0" name="image3.png"/>
                    <pic:cNvPicPr preferRelativeResize="0"/>
                  </pic:nvPicPr>
                  <pic:blipFill>
                    <a:blip r:embed="rId14"/>
                    <a:srcRect b="0" l="0" r="0" t="15802"/>
                    <a:stretch>
                      <a:fillRect/>
                    </a:stretch>
                  </pic:blipFill>
                  <pic:spPr>
                    <a:xfrm>
                      <a:off x="0" y="0"/>
                      <a:ext cx="4395788" cy="2713099"/>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Figure 19.5 Zig zag model of plant immunity (Jones and Dangl 2006).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line="480" w:lineRule="auto"/>
        <w:rPr/>
      </w:pPr>
      <w:r w:rsidDel="00000000" w:rsidR="00000000" w:rsidRPr="00000000">
        <w:rPr>
          <w:rtl w:val="0"/>
        </w:rPr>
        <w:t xml:space="preserve">    </w:t>
        <w:tab/>
        <w:t xml:space="preserve">Because such a diverse group of molecules are able to trigger immune responses, and the type of plant response based on the trigger molecule is not always consistent with the zig-zag model, the “danger model” has been proposed with the term “danger signal” denoting all molecular triggers of plant immunity. Rather than classifying the immune response as simply PTI or ETI, it as been suggested that plant immune responses may be divided as either intracellular or extracellular, in what is called  the “spatial immunity model.” This model suggests a distinct difference between extracellular immunogenic pattern (ExIP) which triggers an extracellularly triggered response (ExTR), and an intracellular immunogenic pattern (IxIP) which triggers an intracellularly triggered response (IxTR). Cell-surface receptors mediate recognition and activation of the ExTR, whereas intracellular, cytoplasmic receptors (mostly NLRs in the R protein class) recognize and activate the IxTR.  The categorization of ExTR and IxTR rather than PTI and ETI may more truly represent the biology behind plant immunity. (Van der burgh and joosten, 2019).</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 genes conferring vertical resistance are mostly among the R-genes involved in ETI</w:t>
      </w:r>
      <w:r w:rsidDel="00000000" w:rsidR="00000000" w:rsidRPr="00000000">
        <w:rPr>
          <w:rtl w:val="0"/>
        </w:rPr>
        <w:t xml:space="preserve"> in a gene-for-gene fashion.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 major classes of R-g</w:t>
      </w:r>
      <w:r w:rsidDel="00000000" w:rsidR="00000000" w:rsidRPr="00000000">
        <w:rPr>
          <w:rtl w:val="0"/>
        </w:rPr>
        <w:t xml:space="preserve">enes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genes that code for nucleotide binding site-leucine rich repeat (NBS-LRR) proteins</w:t>
      </w:r>
      <w:r w:rsidDel="00000000" w:rsidR="00000000" w:rsidRPr="00000000">
        <w:rPr>
          <w:rtl w:val="0"/>
        </w:rPr>
        <w:t xml:space="preserve"> 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pattern recognition receptor (PRR) proteins. Pattern recognition receptors are also involved in pattern triggered immunity (PTI).</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families of proteins recognizing effectors found in plants have analogues among animals. For instance the NB-LRR protein family in plants is extremely similar to t</w:t>
      </w:r>
      <w:sdt>
        <w:sdtPr>
          <w:tag w:val="goog_rdk_1"/>
        </w:sdtPr>
        <w:sdtContent>
          <w:commentRangeStart w:id="1"/>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nucleotide-binding oligomerization domain leucine rich repeat (NOD-LRR) proteins among mammals (Choi and Klessig, 2016). The similarity in structure and function of these protein </w:t>
      </w:r>
      <w:commentRangeEnd w:id="1"/>
      <w:r w:rsidDel="00000000" w:rsidR="00000000" w:rsidRPr="00000000">
        <w:commentReference w:id="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families is most likely the result of convergent evolution, rather than divergence from a protein present in a common ancestor of plants and mammals (Ausubel, 2005). However, the similarity is striking. If these protein families are related through descent from a common ancestor, these are in fact homologous proteins rather than unrelated analogs. </w:t>
      </w:r>
    </w:p>
    <w:p w:rsidR="00000000" w:rsidDel="00000000" w:rsidP="00000000" w:rsidRDefault="00000000" w:rsidRPr="00000000" w14:paraId="0000008C">
      <w:pPr>
        <w:pageBreakBefore w:val="0"/>
        <w:spacing w:line="480" w:lineRule="auto"/>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Systemic acquired resistance (SAR) and induced systemic resistance (ISR):</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ETI and PTI are able to increase the subsequent ability of a plant to respond to pathogen attack. Depending on how the plants defenses are activated, different pathways are set in motion to increase plant resistance. Induced systemic resistance (ISR) generally occurs when PTI is activated and is mediated largely by plant hormones jasmonate and ethylene, whereas ETI is associated with the plant response, systemic acquired resistance (SAR), and is mediated primarily by salicylic acid activity (Table 18.3).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Table 19.3. Features of SAR and ISR</w:t>
      </w:r>
    </w:p>
    <w:tbl>
      <w:tblPr>
        <w:tblStyle w:val="Table4"/>
        <w:tblW w:w="9360.0" w:type="dxa"/>
        <w:jc w:val="left"/>
        <w:tblInd w:w="-100.0" w:type="dxa"/>
        <w:tblLayout w:type="fixed"/>
        <w:tblLook w:val="0400"/>
      </w:tblPr>
      <w:tblGrid>
        <w:gridCol w:w="5795"/>
        <w:gridCol w:w="3565"/>
        <w:tblGridChange w:id="0">
          <w:tblGrid>
            <w:gridCol w:w="5795"/>
            <w:gridCol w:w="35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rPr/>
            </w:pPr>
            <w:r w:rsidDel="00000000" w:rsidR="00000000" w:rsidRPr="00000000">
              <w:rPr>
                <w:rtl w:val="0"/>
              </w:rPr>
              <w:t xml:space="preserve">Systemic acquired resistance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rPr/>
            </w:pPr>
            <w:r w:rsidDel="00000000" w:rsidR="00000000" w:rsidRPr="00000000">
              <w:rPr>
                <w:rtl w:val="0"/>
              </w:rPr>
              <w:t xml:space="preserve">Induced systemic resistance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t xml:space="preserve">Triggered by biotic and abiotic stressors (MAMPs/DAMPs/Abiotic)</w:t>
            </w:r>
            <w:r w:rsidDel="00000000" w:rsidR="00000000" w:rsidRPr="00000000">
              <w:rPr>
                <w:rtl w:val="0"/>
              </w:rPr>
            </w:r>
          </w:p>
          <w:p w:rsidR="00000000" w:rsidDel="00000000" w:rsidP="00000000" w:rsidRDefault="00000000" w:rsidRPr="00000000" w14:paraId="00000094">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t xml:space="preserve">Hypersensitive response- Localized Reactive oxygen species (ROS) burst causes host cell death around area of infection</w:t>
            </w:r>
            <w:r w:rsidDel="00000000" w:rsidR="00000000" w:rsidRPr="00000000">
              <w:rPr>
                <w:rtl w:val="0"/>
              </w:rPr>
            </w:r>
          </w:p>
          <w:p w:rsidR="00000000" w:rsidDel="00000000" w:rsidP="00000000" w:rsidRDefault="00000000" w:rsidRPr="00000000" w14:paraId="00000095">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t xml:space="preserve">Pathogenesis-related proteins (PR-proteins)  accumulate</w:t>
            </w:r>
            <w:r w:rsidDel="00000000" w:rsidR="00000000" w:rsidRPr="00000000">
              <w:rPr>
                <w:rtl w:val="0"/>
              </w:rPr>
            </w:r>
          </w:p>
          <w:p w:rsidR="00000000" w:rsidDel="00000000" w:rsidP="00000000" w:rsidRDefault="00000000" w:rsidRPr="00000000" w14:paraId="00000096">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t xml:space="preserve">Callose production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Salicylic acid ‘independent’</w:t>
            </w:r>
            <w:r w:rsidDel="00000000" w:rsidR="00000000" w:rsidRPr="00000000">
              <w:rPr>
                <w:rtl w:val="0"/>
              </w:rPr>
            </w:r>
          </w:p>
          <w:p w:rsidR="00000000" w:rsidDel="00000000" w:rsidP="00000000" w:rsidRDefault="00000000" w:rsidRPr="00000000" w14:paraId="00000098">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Mediated by jasmonate/ethylene signal transduction</w:t>
            </w:r>
            <w:r w:rsidDel="00000000" w:rsidR="00000000" w:rsidRPr="00000000">
              <w:rPr>
                <w:rtl w:val="0"/>
              </w:rPr>
            </w:r>
          </w:p>
          <w:p w:rsidR="00000000" w:rsidDel="00000000" w:rsidP="00000000" w:rsidRDefault="00000000" w:rsidRPr="00000000" w14:paraId="00000099">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Triggered by biotic inducers (MAMPs)</w:t>
            </w:r>
            <w:r w:rsidDel="00000000" w:rsidR="00000000" w:rsidRPr="00000000">
              <w:rPr>
                <w:rtl w:val="0"/>
              </w:rPr>
            </w:r>
          </w:p>
          <w:p w:rsidR="00000000" w:rsidDel="00000000" w:rsidP="00000000" w:rsidRDefault="00000000" w:rsidRPr="00000000" w14:paraId="0000009A">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Callose production</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induced immune responses among plants are not at all similar to the adaptive immunity of animals, which have antibody producing B-cells capable of producing novel antibodies and adding efficacious antibodies to their repertoire. Rather ISR and SAR activate and upregulate a variety of innate immune responses of which the host plant is capable. Plants in which ISR or SAR has been activated are more resistant to subsequent pathogen or pest attack throughout the entire plant body.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ISR can be induced by plant growth promoting rhizobacteria (PGPR), and was in fact discovered in systems researching these rhizobacteria (van loon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1998).  The phenotypic effect of SAR and ISR are similar in that disease occurrence and severity may be reduced. However, these pathways are activated under different conditions, by different signaling pathways, and </w:t>
      </w:r>
      <w:r w:rsidDel="00000000" w:rsidR="00000000" w:rsidRPr="00000000">
        <w:rPr>
          <w:rtl w:val="0"/>
        </w:rPr>
        <w:t xml:space="preserve">result in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 </w:t>
      </w:r>
      <w:r w:rsidDel="00000000" w:rsidR="00000000" w:rsidRPr="00000000">
        <w:rPr>
          <w:rtl w:val="0"/>
        </w:rPr>
        <w:t xml:space="preserve">effects (though there is significant crosstalk among salicylic acid, jasmonate, and ethylene in both systems)</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SAR for instance is characterized by the production of pathogenesis related proteins (PR-proteins) and the hypersensitive response.  PR-proteins are a diverse group of proteins involved in plant defense (including as enzymes and defensins) that are not produced following ISR activation. The hypersensitive response refers to localized host cell death (apoptosis) induced by a burst of toxic reactive oxygen species (ROS) in cells surrounding the diseased portion of the plant. At the same time, there are also directly overlapping effects of ISR and SAR, such as the production of callose, a beta-gluca</w:t>
      </w:r>
      <w:r w:rsidDel="00000000" w:rsidR="00000000" w:rsidRPr="00000000">
        <w:rPr>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among other roles, serves to modulate the permeability of plasmodesmata. Following ISR and SAR activation, callose is produced to strengthen cell walls and limit pathogen dispersal within the plant.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1-11-09T21:44:51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cite. move up in chapter? this is mentioned in the text earlier</w:t>
      </w:r>
    </w:p>
  </w:comment>
  <w:comment w:author="Brandon Potter" w:id="1" w:date="2021-11-09T21:51:51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Figure with each type?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A4" w15:done="0"/>
  <w15:commentEx w15:paraId="000000A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38392E"/>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38392E"/>
    <w:pPr>
      <w:spacing w:after="100" w:afterAutospacing="1" w:before="100" w:beforeAutospacing="1"/>
    </w:pPr>
  </w:style>
  <w:style w:type="character" w:styleId="Hyperlink">
    <w:name w:val="Hyperlink"/>
    <w:basedOn w:val="DefaultParagraphFont"/>
    <w:uiPriority w:val="99"/>
    <w:semiHidden w:val="1"/>
    <w:unhideWhenUsed w:val="1"/>
    <w:rsid w:val="0038392E"/>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deepblue.lib.umich.edu/bitstream/handle/2027.42/142132/ajb211846.pdf?sequence=1&amp;isAllowed=y" TargetMode="External"/><Relationship Id="rId13" Type="http://schemas.openxmlformats.org/officeDocument/2006/relationships/image" Target="media/image1.gif"/><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DrbcwrfYcs8QRHNbKJAvXZgPlw==">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2020-02-17T23:06:00Z</dcterms:created>
  <dc:creator>kyle kaszynski</dc:creator>
</cp:coreProperties>
</file>